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60C48C" w14:textId="77777777" w:rsidR="004A0137" w:rsidRDefault="004A0137" w:rsidP="004A0137">
      <w:pPr>
        <w:rPr>
          <w:rFonts w:ascii="Arial" w:hAnsi="Arial" w:cs="Arial"/>
        </w:rPr>
      </w:pPr>
    </w:p>
    <w:p w14:paraId="2761379B" w14:textId="77777777" w:rsidR="004A0137" w:rsidRPr="00B03B8D" w:rsidRDefault="004A0137" w:rsidP="004A0137">
      <w:pPr>
        <w:pStyle w:val="Heading3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B03B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FIGURE TITLES AND LEGENDS</w:t>
      </w:r>
    </w:p>
    <w:p w14:paraId="579EFBD1" w14:textId="77777777" w:rsidR="004A0137" w:rsidRDefault="004A0137" w:rsidP="004A0137">
      <w:pPr>
        <w:rPr>
          <w:rFonts w:ascii="Arial" w:eastAsia="Arial" w:hAnsi="Arial" w:cs="Arial"/>
          <w:b/>
        </w:rPr>
      </w:pPr>
    </w:p>
    <w:p w14:paraId="092F57D9" w14:textId="16BB27CA" w:rsidR="004A0137" w:rsidRDefault="004A0137" w:rsidP="004A0137">
      <w:pPr>
        <w:rPr>
          <w:rFonts w:ascii="Arial" w:eastAsia="Arial" w:hAnsi="Arial" w:cs="Arial"/>
          <w:b/>
          <w:bCs/>
          <w:u w:val="single"/>
        </w:rPr>
      </w:pPr>
      <w:r w:rsidRPr="0083182E">
        <w:rPr>
          <w:rFonts w:ascii="Arial" w:eastAsia="Arial" w:hAnsi="Arial" w:cs="Arial"/>
          <w:b/>
          <w:bCs/>
          <w:u w:val="single"/>
        </w:rPr>
        <w:t>Fig</w:t>
      </w:r>
      <w:r>
        <w:rPr>
          <w:rFonts w:ascii="Arial" w:eastAsia="Arial" w:hAnsi="Arial" w:cs="Arial"/>
          <w:b/>
          <w:bCs/>
          <w:u w:val="single"/>
        </w:rPr>
        <w:t>. 5 |</w:t>
      </w:r>
      <w:r w:rsidRPr="0083182E">
        <w:rPr>
          <w:rFonts w:ascii="Arial" w:eastAsia="Arial" w:hAnsi="Arial" w:cs="Arial"/>
          <w:b/>
          <w:bCs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</w:rPr>
        <w:t>R</w:t>
      </w:r>
      <w:r w:rsidRPr="004A0137">
        <w:rPr>
          <w:rFonts w:ascii="Arial" w:eastAsia="Arial" w:hAnsi="Arial" w:cs="Arial"/>
          <w:b/>
          <w:bCs/>
          <w:u w:val="single"/>
        </w:rPr>
        <w:t xml:space="preserve">educed BH4-pathway transcriptional </w:t>
      </w:r>
      <w:r>
        <w:rPr>
          <w:rFonts w:ascii="Arial" w:eastAsia="Arial" w:hAnsi="Arial" w:cs="Arial"/>
          <w:b/>
          <w:bCs/>
          <w:u w:val="single"/>
        </w:rPr>
        <w:t>scores in highly plastic state across breast cancer, pancreatic cancer, melanoma and neuroblastoma.</w:t>
      </w:r>
    </w:p>
    <w:p w14:paraId="7849C7EA" w14:textId="77777777" w:rsidR="004A0137" w:rsidRPr="0083182E" w:rsidRDefault="004A0137" w:rsidP="004A0137">
      <w:pPr>
        <w:rPr>
          <w:rFonts w:ascii="Arial" w:eastAsia="Arial" w:hAnsi="Arial" w:cs="Arial"/>
          <w:b/>
          <w:bCs/>
          <w:u w:val="single"/>
        </w:rPr>
      </w:pPr>
    </w:p>
    <w:p w14:paraId="41876307" w14:textId="162C4D45" w:rsidR="004A0137" w:rsidRPr="00B60733" w:rsidRDefault="004A0137" w:rsidP="004A0137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a, </w:t>
      </w:r>
      <w:r w:rsidR="00D602DD" w:rsidRPr="00D602DD">
        <w:rPr>
          <w:rFonts w:ascii="Arial" w:hAnsi="Arial" w:cs="Arial"/>
        </w:rPr>
        <w:t>Schematic of the analytical framework using a seven-gene BH4-pathway transcriptional score to evaluate pathway activity along a continuum of cell differentiation states across human scRNA-seq and bulk tumor datasets.</w:t>
      </w:r>
      <w:r w:rsidR="00D602DD">
        <w:rPr>
          <w:rFonts w:ascii="Arial" w:hAnsi="Arial" w:cs="Arial"/>
        </w:rPr>
        <w:t xml:space="preserve"> </w:t>
      </w:r>
      <w:r w:rsidR="00D602DD" w:rsidRPr="007576F6">
        <w:rPr>
          <w:rFonts w:ascii="Arial" w:hAnsi="Arial" w:cs="Arial"/>
        </w:rPr>
        <w:t>Signature scores in scRNA-seq datasets (</w:t>
      </w:r>
      <w:r w:rsidR="00D602DD">
        <w:rPr>
          <w:rFonts w:ascii="Arial" w:hAnsi="Arial" w:cs="Arial"/>
          <w:b/>
          <w:bCs/>
        </w:rPr>
        <w:t>b,</w:t>
      </w:r>
      <w:r w:rsidR="00D602DD" w:rsidRPr="007576F6">
        <w:rPr>
          <w:rFonts w:ascii="Arial" w:hAnsi="Arial" w:cs="Arial"/>
          <w:b/>
          <w:bCs/>
        </w:rPr>
        <w:t>d–f</w:t>
      </w:r>
      <w:r w:rsidR="00D602DD" w:rsidRPr="007576F6">
        <w:rPr>
          <w:rFonts w:ascii="Arial" w:hAnsi="Arial" w:cs="Arial"/>
        </w:rPr>
        <w:t>) were calculated using AddModuleScore_UCell, and in bulk RNA-seq datasets (</w:t>
      </w:r>
      <w:r w:rsidR="00D602DD">
        <w:rPr>
          <w:rFonts w:ascii="Arial" w:hAnsi="Arial" w:cs="Arial"/>
        </w:rPr>
        <w:t xml:space="preserve">c, </w:t>
      </w:r>
      <w:r w:rsidR="00D602DD" w:rsidRPr="007576F6">
        <w:rPr>
          <w:rFonts w:ascii="Arial" w:hAnsi="Arial" w:cs="Arial"/>
          <w:b/>
          <w:bCs/>
        </w:rPr>
        <w:t>g–i</w:t>
      </w:r>
      <w:r w:rsidR="00D602DD" w:rsidRPr="007576F6">
        <w:rPr>
          <w:rFonts w:ascii="Arial" w:hAnsi="Arial" w:cs="Arial"/>
        </w:rPr>
        <w:t>) were calculated using ssGSEA.</w:t>
      </w:r>
    </w:p>
    <w:p w14:paraId="01EEE986" w14:textId="77777777" w:rsidR="004A0137" w:rsidRPr="003C0CF9" w:rsidRDefault="004A0137" w:rsidP="004A0137">
      <w:pPr>
        <w:rPr>
          <w:rFonts w:ascii="Arial" w:hAnsi="Arial" w:cs="Arial"/>
        </w:rPr>
      </w:pPr>
    </w:p>
    <w:p w14:paraId="06B65D93" w14:textId="77777777" w:rsidR="004A0137" w:rsidRDefault="004A0137" w:rsidP="004A013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b,</w:t>
      </w:r>
    </w:p>
    <w:p w14:paraId="6A6DF2D4" w14:textId="77777777" w:rsidR="004A0137" w:rsidRDefault="004A0137" w:rsidP="004A0137">
      <w:pPr>
        <w:rPr>
          <w:rFonts w:ascii="Arial" w:hAnsi="Arial" w:cs="Arial"/>
          <w:b/>
          <w:bCs/>
        </w:rPr>
      </w:pPr>
    </w:p>
    <w:p w14:paraId="45817553" w14:textId="67E77C48" w:rsidR="004A0137" w:rsidRPr="00B60733" w:rsidRDefault="004A0137" w:rsidP="004A0137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c,</w:t>
      </w:r>
      <w:r w:rsidRPr="00B60733">
        <w:rPr>
          <w:rFonts w:ascii="Arial" w:hAnsi="Arial" w:cs="Arial"/>
        </w:rPr>
        <w:t xml:space="preserve"> </w:t>
      </w:r>
    </w:p>
    <w:p w14:paraId="127EBB1D" w14:textId="77777777" w:rsidR="004A0137" w:rsidRDefault="004A0137" w:rsidP="004A0137">
      <w:pPr>
        <w:rPr>
          <w:rFonts w:ascii="Arial" w:hAnsi="Arial" w:cs="Arial"/>
        </w:rPr>
      </w:pPr>
    </w:p>
    <w:p w14:paraId="22DCF65E" w14:textId="5BC7B228" w:rsidR="004A0137" w:rsidRDefault="004A0137" w:rsidP="004A0137">
      <w:pPr>
        <w:rPr>
          <w:rFonts w:ascii="Arial" w:hAnsi="Arial" w:cs="Arial"/>
        </w:rPr>
      </w:pPr>
      <w:r w:rsidRPr="00B60733">
        <w:rPr>
          <w:rFonts w:ascii="Arial" w:hAnsi="Arial" w:cs="Arial"/>
          <w:b/>
          <w:bCs/>
        </w:rPr>
        <w:t>d</w:t>
      </w:r>
      <w:r>
        <w:rPr>
          <w:rFonts w:ascii="Arial" w:hAnsi="Arial" w:cs="Arial"/>
        </w:rPr>
        <w:t xml:space="preserve">, </w:t>
      </w:r>
      <w:r w:rsidRPr="004A0137">
        <w:rPr>
          <w:rFonts w:ascii="Arial" w:hAnsi="Arial" w:cs="Arial"/>
        </w:rPr>
        <w:t xml:space="preserve">UMAP of scRNA-seq data from an autochthonous </w:t>
      </w:r>
      <w:r w:rsidRPr="004A0137">
        <w:rPr>
          <w:rFonts w:ascii="Arial" w:hAnsi="Arial" w:cs="Arial"/>
          <w:i/>
          <w:iCs/>
        </w:rPr>
        <w:t>Kras</w:t>
      </w:r>
      <w:r w:rsidRPr="004A0137">
        <w:rPr>
          <w:rFonts w:ascii="Arial" w:hAnsi="Arial" w:cs="Arial"/>
          <w:i/>
          <w:iCs/>
          <w:vertAlign w:val="superscript"/>
        </w:rPr>
        <w:t>G12D</w:t>
      </w:r>
      <w:r w:rsidRPr="004A0137">
        <w:rPr>
          <w:rFonts w:ascii="Arial" w:hAnsi="Arial" w:cs="Arial"/>
          <w:i/>
          <w:iCs/>
        </w:rPr>
        <w:t xml:space="preserve">;Trp53-deficient </w:t>
      </w:r>
      <w:r w:rsidRPr="004A0137">
        <w:rPr>
          <w:rFonts w:ascii="Arial" w:hAnsi="Arial" w:cs="Arial"/>
        </w:rPr>
        <w:t>murine PDAC model (n=14,382 cells</w:t>
      </w:r>
      <w:r>
        <w:rPr>
          <w:rFonts w:ascii="Arial" w:hAnsi="Arial" w:cs="Arial"/>
        </w:rPr>
        <w:t xml:space="preserve"> from 15 mice</w:t>
      </w:r>
      <w:r w:rsidRPr="004A0137">
        <w:rPr>
          <w:rFonts w:ascii="Arial" w:hAnsi="Arial" w:cs="Arial"/>
        </w:rPr>
        <w:t>; PMID: 35952360), displaying BH4-pathway scores and annotated cell states.</w:t>
      </w:r>
    </w:p>
    <w:p w14:paraId="50729E1F" w14:textId="77777777" w:rsidR="004A0137" w:rsidRDefault="004A0137" w:rsidP="004A0137">
      <w:pPr>
        <w:rPr>
          <w:rFonts w:ascii="Arial" w:hAnsi="Arial" w:cs="Arial"/>
        </w:rPr>
      </w:pPr>
    </w:p>
    <w:p w14:paraId="37ACDCCB" w14:textId="28E9330B" w:rsidR="004A0137" w:rsidRDefault="004A0137" w:rsidP="004A0137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e</w:t>
      </w:r>
      <w:r>
        <w:rPr>
          <w:rFonts w:ascii="Arial" w:hAnsi="Arial" w:cs="Arial"/>
        </w:rPr>
        <w:t>,</w:t>
      </w:r>
      <w:r w:rsidRPr="004A0137">
        <w:rPr>
          <w:rFonts w:hAnsi="Symbol"/>
        </w:rPr>
        <w:t xml:space="preserve"> </w:t>
      </w:r>
      <w:r w:rsidRPr="004A0137">
        <w:rPr>
          <w:rFonts w:ascii="Arial" w:hAnsi="Arial" w:cs="Arial"/>
        </w:rPr>
        <w:t>BH4-pathway signature scores across luminal (n =3,690</w:t>
      </w:r>
      <w:r>
        <w:rPr>
          <w:rFonts w:ascii="Arial" w:hAnsi="Arial" w:cs="Arial"/>
        </w:rPr>
        <w:t xml:space="preserve"> cells</w:t>
      </w:r>
      <w:r w:rsidRPr="004A0137">
        <w:rPr>
          <w:rFonts w:ascii="Arial" w:hAnsi="Arial" w:cs="Arial"/>
        </w:rPr>
        <w:t xml:space="preserve">), basal (n=4,522), and mesenchymal (n=5,105) malignant cell populations from the murine PDAC </w:t>
      </w:r>
      <w:r>
        <w:rPr>
          <w:rFonts w:ascii="Arial" w:hAnsi="Arial" w:cs="Arial"/>
        </w:rPr>
        <w:t xml:space="preserve">scRNA-seq dataset </w:t>
      </w:r>
      <w:r w:rsidRPr="004A0137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15 mice; </w:t>
      </w:r>
      <w:r w:rsidRPr="004A0137">
        <w:rPr>
          <w:rFonts w:ascii="Arial" w:hAnsi="Arial" w:cs="Arial"/>
        </w:rPr>
        <w:t>PMID: 35952360).</w:t>
      </w:r>
    </w:p>
    <w:p w14:paraId="50760BA4" w14:textId="77777777" w:rsidR="004A0137" w:rsidRDefault="004A0137" w:rsidP="004A0137">
      <w:pPr>
        <w:rPr>
          <w:rFonts w:ascii="Arial" w:hAnsi="Arial" w:cs="Arial"/>
        </w:rPr>
      </w:pPr>
    </w:p>
    <w:p w14:paraId="051F43B7" w14:textId="3D45CBD5" w:rsidR="004A0137" w:rsidRPr="004A0137" w:rsidRDefault="004A0137" w:rsidP="004A0137">
      <w:pPr>
        <w:rPr>
          <w:rFonts w:ascii="Arial" w:hAnsi="Arial" w:cs="Arial"/>
          <w:b/>
          <w:bCs/>
        </w:rPr>
      </w:pPr>
      <w:r w:rsidRPr="004A0137">
        <w:rPr>
          <w:rFonts w:ascii="Arial" w:hAnsi="Arial" w:cs="Arial"/>
          <w:b/>
          <w:bCs/>
        </w:rPr>
        <w:t xml:space="preserve">f, </w:t>
      </w:r>
      <w:r w:rsidRPr="004A0137">
        <w:rPr>
          <w:rFonts w:ascii="Arial" w:hAnsi="Arial" w:cs="Arial"/>
        </w:rPr>
        <w:t>BH4-pathway signature scores across classical (n=2,</w:t>
      </w:r>
      <w:r w:rsidR="00EE7CBC">
        <w:rPr>
          <w:rFonts w:ascii="Arial" w:hAnsi="Arial" w:cs="Arial"/>
        </w:rPr>
        <w:t>887</w:t>
      </w:r>
      <w:r>
        <w:rPr>
          <w:rFonts w:ascii="Arial" w:hAnsi="Arial" w:cs="Arial"/>
        </w:rPr>
        <w:t xml:space="preserve"> cells</w:t>
      </w:r>
      <w:r w:rsidRPr="004A0137">
        <w:rPr>
          <w:rFonts w:ascii="Arial" w:hAnsi="Arial" w:cs="Arial"/>
        </w:rPr>
        <w:t>), intermediate co-expressor (IC;</w:t>
      </w:r>
      <w:r w:rsidRPr="004A0137">
        <w:t xml:space="preserve"> </w:t>
      </w:r>
      <w:r w:rsidRPr="004A0137">
        <w:rPr>
          <w:rFonts w:ascii="Arial" w:hAnsi="Arial" w:cs="Arial"/>
        </w:rPr>
        <w:t>n=</w:t>
      </w:r>
      <w:r w:rsidR="00EE7CBC">
        <w:rPr>
          <w:rFonts w:ascii="Arial" w:hAnsi="Arial" w:cs="Arial"/>
        </w:rPr>
        <w:t>331</w:t>
      </w:r>
      <w:r w:rsidRPr="004A0137">
        <w:rPr>
          <w:rFonts w:ascii="Arial" w:hAnsi="Arial" w:cs="Arial"/>
        </w:rPr>
        <w:t>), and basal (n=1,</w:t>
      </w:r>
      <w:r w:rsidR="00EE7CBC">
        <w:rPr>
          <w:rFonts w:ascii="Arial" w:hAnsi="Arial" w:cs="Arial"/>
        </w:rPr>
        <w:t>833</w:t>
      </w:r>
      <w:r w:rsidRPr="004A0137">
        <w:rPr>
          <w:rFonts w:ascii="Arial" w:hAnsi="Arial" w:cs="Arial"/>
        </w:rPr>
        <w:t>) cell populations in human primary PDAC scRNA-seq cohorts (</w:t>
      </w:r>
      <w:r w:rsidR="00EE7CBC">
        <w:rPr>
          <w:rFonts w:ascii="Arial" w:hAnsi="Arial" w:cs="Arial"/>
        </w:rPr>
        <w:t xml:space="preserve">19 </w:t>
      </w:r>
      <w:r>
        <w:rPr>
          <w:rFonts w:ascii="Arial" w:hAnsi="Arial" w:cs="Arial"/>
        </w:rPr>
        <w:t xml:space="preserve">primary tumors; </w:t>
      </w:r>
      <w:r w:rsidRPr="004A0137">
        <w:rPr>
          <w:rFonts w:ascii="Arial" w:hAnsi="Arial" w:cs="Arial"/>
        </w:rPr>
        <w:t xml:space="preserve">PMID: </w:t>
      </w:r>
      <w:r w:rsidR="00EE7CBC" w:rsidRPr="00EE7CBC">
        <w:rPr>
          <w:rFonts w:ascii="Arial" w:hAnsi="Arial" w:cs="Arial"/>
        </w:rPr>
        <w:t>38702773</w:t>
      </w:r>
      <w:r w:rsidRPr="004A0137">
        <w:rPr>
          <w:rFonts w:ascii="Arial" w:hAnsi="Arial" w:cs="Arial"/>
        </w:rPr>
        <w:t>).</w:t>
      </w:r>
    </w:p>
    <w:p w14:paraId="01EBE301" w14:textId="77777777" w:rsidR="004A0137" w:rsidRPr="004A0137" w:rsidRDefault="004A0137" w:rsidP="004A0137">
      <w:pPr>
        <w:rPr>
          <w:rFonts w:ascii="Arial" w:hAnsi="Arial" w:cs="Arial"/>
          <w:b/>
          <w:bCs/>
        </w:rPr>
      </w:pPr>
    </w:p>
    <w:p w14:paraId="5A0E59FB" w14:textId="17E2521E" w:rsidR="004A0137" w:rsidRPr="004A0137" w:rsidRDefault="004A0137" w:rsidP="004A0137">
      <w:pPr>
        <w:rPr>
          <w:rFonts w:ascii="Arial" w:hAnsi="Arial" w:cs="Arial"/>
        </w:rPr>
      </w:pPr>
      <w:r w:rsidRPr="004A0137">
        <w:rPr>
          <w:rFonts w:ascii="Arial" w:hAnsi="Arial" w:cs="Arial"/>
          <w:b/>
          <w:bCs/>
        </w:rPr>
        <w:t xml:space="preserve">g, </w:t>
      </w:r>
      <w:r w:rsidRPr="004A0137">
        <w:rPr>
          <w:rFonts w:ascii="Arial" w:hAnsi="Arial" w:cs="Arial"/>
        </w:rPr>
        <w:t>BH4-pathway ssGSEA scores across a four-state melanoma differentiation trajectory (PMID: 29657129): melanocytic (n=122</w:t>
      </w:r>
      <w:r>
        <w:rPr>
          <w:rFonts w:ascii="Arial" w:hAnsi="Arial" w:cs="Arial"/>
        </w:rPr>
        <w:t xml:space="preserve"> samples</w:t>
      </w:r>
      <w:r w:rsidRPr="004A0137">
        <w:rPr>
          <w:rFonts w:ascii="Arial" w:hAnsi="Arial" w:cs="Arial"/>
        </w:rPr>
        <w:t>), transitory (n=292), neural crest-like (NCL;</w:t>
      </w:r>
      <w:r w:rsidRPr="004A0137">
        <w:t xml:space="preserve"> </w:t>
      </w:r>
      <w:r w:rsidRPr="004A0137">
        <w:rPr>
          <w:rFonts w:ascii="Arial" w:hAnsi="Arial" w:cs="Arial"/>
        </w:rPr>
        <w:t>n=37), and undifferentiated (Undiff;</w:t>
      </w:r>
      <w:r w:rsidRPr="004A0137">
        <w:t xml:space="preserve"> </w:t>
      </w:r>
      <w:r w:rsidRPr="004A0137">
        <w:rPr>
          <w:rFonts w:ascii="Arial" w:hAnsi="Arial" w:cs="Arial"/>
        </w:rPr>
        <w:t>n=16) using human TCGA bulk RNA-seq data.</w:t>
      </w:r>
    </w:p>
    <w:p w14:paraId="70DFFD10" w14:textId="77777777" w:rsidR="004A0137" w:rsidRPr="004A0137" w:rsidRDefault="004A0137" w:rsidP="004A0137">
      <w:pPr>
        <w:rPr>
          <w:rFonts w:ascii="Arial" w:hAnsi="Arial" w:cs="Arial"/>
        </w:rPr>
      </w:pPr>
    </w:p>
    <w:p w14:paraId="4149F033" w14:textId="28EB393B" w:rsidR="004A0137" w:rsidRDefault="004A0137" w:rsidP="004A0137">
      <w:pPr>
        <w:rPr>
          <w:rFonts w:ascii="Arial" w:hAnsi="Arial" w:cs="Arial"/>
        </w:rPr>
      </w:pPr>
      <w:r w:rsidRPr="004A0137">
        <w:rPr>
          <w:rFonts w:ascii="Arial" w:hAnsi="Arial" w:cs="Arial"/>
          <w:b/>
          <w:bCs/>
        </w:rPr>
        <w:t>h</w:t>
      </w:r>
      <w:r w:rsidR="007576F6">
        <w:rPr>
          <w:rFonts w:ascii="Arial" w:hAnsi="Arial" w:cs="Arial"/>
          <w:b/>
          <w:bCs/>
        </w:rPr>
        <w:t xml:space="preserve">-I, </w:t>
      </w:r>
      <w:r w:rsidR="007576F6" w:rsidRPr="007576F6">
        <w:rPr>
          <w:rFonts w:ascii="Arial" w:hAnsi="Arial" w:cs="Arial"/>
        </w:rPr>
        <w:t>Scatter plots demonstrating the inverse correlation between BH4 scores and MES-ADRN scores in bulk RNA-seq data from human neuroblastoma tumors within the SEQC cohort (</w:t>
      </w:r>
      <w:r w:rsidR="007576F6" w:rsidRPr="007576F6">
        <w:rPr>
          <w:rFonts w:ascii="Arial" w:hAnsi="Arial" w:cs="Arial"/>
          <w:b/>
          <w:bCs/>
        </w:rPr>
        <w:t>h</w:t>
      </w:r>
      <w:r w:rsidR="007576F6" w:rsidRPr="007576F6">
        <w:rPr>
          <w:rFonts w:ascii="Arial" w:hAnsi="Arial" w:cs="Arial"/>
        </w:rPr>
        <w:t>,</w:t>
      </w:r>
      <w:r w:rsidR="007576F6" w:rsidRPr="007576F6">
        <w:t xml:space="preserve"> </w:t>
      </w:r>
      <w:r w:rsidR="007576F6" w:rsidRPr="007576F6">
        <w:rPr>
          <w:rFonts w:ascii="Arial" w:hAnsi="Arial" w:cs="Arial"/>
        </w:rPr>
        <w:t>n=498</w:t>
      </w:r>
      <w:r w:rsidR="007576F6">
        <w:rPr>
          <w:rFonts w:ascii="Arial" w:hAnsi="Arial" w:cs="Arial"/>
        </w:rPr>
        <w:t xml:space="preserve"> tumors</w:t>
      </w:r>
      <w:r w:rsidR="007576F6" w:rsidRPr="007576F6">
        <w:rPr>
          <w:rFonts w:ascii="Arial" w:hAnsi="Arial" w:cs="Arial"/>
        </w:rPr>
        <w:t>) and the Treehouse cohort (</w:t>
      </w:r>
      <w:r w:rsidR="007576F6" w:rsidRPr="007576F6">
        <w:rPr>
          <w:rFonts w:ascii="Arial" w:hAnsi="Arial" w:cs="Arial"/>
          <w:b/>
          <w:bCs/>
        </w:rPr>
        <w:t>i</w:t>
      </w:r>
      <w:r w:rsidR="007576F6" w:rsidRPr="007576F6">
        <w:rPr>
          <w:rFonts w:ascii="Arial" w:hAnsi="Arial" w:cs="Arial"/>
        </w:rPr>
        <w:t>,</w:t>
      </w:r>
      <w:r w:rsidR="007576F6" w:rsidRPr="007576F6">
        <w:t xml:space="preserve"> </w:t>
      </w:r>
      <w:r w:rsidR="007576F6" w:rsidRPr="007576F6">
        <w:rPr>
          <w:rFonts w:ascii="Arial" w:hAnsi="Arial" w:cs="Arial"/>
        </w:rPr>
        <w:t>n=221).</w:t>
      </w:r>
    </w:p>
    <w:p w14:paraId="11E43BC8" w14:textId="77777777" w:rsidR="004A0137" w:rsidRDefault="004A0137" w:rsidP="004A0137">
      <w:pPr>
        <w:rPr>
          <w:rFonts w:ascii="Arial" w:hAnsi="Arial" w:cs="Arial"/>
        </w:rPr>
      </w:pPr>
    </w:p>
    <w:p w14:paraId="0EA74846" w14:textId="2253EE7D" w:rsidR="004A0137" w:rsidRPr="007576F6" w:rsidRDefault="004A0137" w:rsidP="004A0137">
      <w:pPr>
        <w:rPr>
          <w:rFonts w:ascii="Arial" w:eastAsia="Arial" w:hAnsi="Arial" w:cs="Arial"/>
        </w:rPr>
      </w:pPr>
      <w:r w:rsidRPr="00BB427E">
        <w:rPr>
          <w:rFonts w:ascii="Arial" w:hAnsi="Arial" w:cs="Arial"/>
          <w:b/>
          <w:bCs/>
        </w:rPr>
        <w:t>Statistical Analysis:</w:t>
      </w:r>
      <w:r w:rsidRPr="00BB427E">
        <w:rPr>
          <w:rFonts w:ascii="Arial" w:hAnsi="Arial" w:cs="Arial"/>
        </w:rPr>
        <w:t xml:space="preserve"> </w:t>
      </w:r>
      <w:r w:rsidR="007576F6" w:rsidRPr="007576F6">
        <w:rPr>
          <w:rFonts w:ascii="Arial" w:hAnsi="Arial" w:cs="Arial"/>
        </w:rPr>
        <w:t>For all boxplots (</w:t>
      </w:r>
      <w:r w:rsidR="007576F6" w:rsidRPr="007576F6">
        <w:rPr>
          <w:rFonts w:ascii="Arial" w:hAnsi="Arial" w:cs="Arial"/>
          <w:b/>
          <w:bCs/>
        </w:rPr>
        <w:t>e–g</w:t>
      </w:r>
      <w:r w:rsidR="007576F6" w:rsidRPr="007576F6">
        <w:rPr>
          <w:rFonts w:ascii="Arial" w:hAnsi="Arial" w:cs="Arial"/>
        </w:rPr>
        <w:t xml:space="preserve">), statistical significance was determined using pairwise Wilcoxon rank-sum tests, with </w:t>
      </w:r>
      <m:oMath>
        <m:r>
          <w:rPr>
            <w:rFonts w:ascii="Cambria Math" w:hAnsi="Cambria Math" w:cs="Arial"/>
          </w:rPr>
          <m:t>p</m:t>
        </m:r>
      </m:oMath>
      <w:r w:rsidR="007576F6" w:rsidRPr="007576F6">
        <w:rPr>
          <w:rFonts w:ascii="Arial" w:hAnsi="Arial" w:cs="Arial"/>
        </w:rPr>
        <w:t>-values corrected for multiple hypothesis testing using the Benjamini-Hochberg (BH) method</w:t>
      </w:r>
      <w:r w:rsidR="007576F6">
        <w:rPr>
          <w:rFonts w:ascii="Arial" w:hAnsi="Arial" w:cs="Arial"/>
        </w:rPr>
        <w:t>.</w:t>
      </w:r>
      <w:r w:rsidR="007576F6">
        <w:rPr>
          <w:rFonts w:ascii="Arial" w:eastAsia="Arial" w:hAnsi="Arial" w:cs="Arial"/>
        </w:rPr>
        <w:t xml:space="preserve"> </w:t>
      </w:r>
      <w:r w:rsidRPr="003D0D37">
        <w:rPr>
          <w:rFonts w:ascii="Arial" w:eastAsia="Arial" w:hAnsi="Arial" w:cs="Arial"/>
        </w:rPr>
        <w:t>ns, not significant. *P&lt;0.05, **P&lt;0.01, ***P&lt;0.001, ****P&lt;0.0001.</w:t>
      </w:r>
    </w:p>
    <w:p w14:paraId="428C5695" w14:textId="77777777" w:rsidR="004A0137" w:rsidRPr="003D0D37" w:rsidRDefault="004A0137" w:rsidP="004A0137">
      <w:pPr>
        <w:rPr>
          <w:rFonts w:ascii="Arial" w:eastAsia="Arial" w:hAnsi="Arial" w:cs="Arial"/>
        </w:rPr>
      </w:pPr>
    </w:p>
    <w:p w14:paraId="1CE271F7" w14:textId="77777777" w:rsidR="004A0137" w:rsidRDefault="004A0137" w:rsidP="004A0137">
      <w:pPr>
        <w:rPr>
          <w:rFonts w:ascii="Arial" w:hAnsi="Arial" w:cs="Arial"/>
        </w:rPr>
      </w:pPr>
    </w:p>
    <w:p w14:paraId="363AD06C" w14:textId="77777777" w:rsidR="004A0137" w:rsidRDefault="004A0137" w:rsidP="004A0137"/>
    <w:p w14:paraId="07ABE83D" w14:textId="77777777" w:rsidR="00390C8B" w:rsidRDefault="00390C8B"/>
    <w:sectPr w:rsidR="00390C8B" w:rsidSect="004A0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137"/>
    <w:rsid w:val="00024A38"/>
    <w:rsid w:val="00162BB6"/>
    <w:rsid w:val="00390C8B"/>
    <w:rsid w:val="004A0137"/>
    <w:rsid w:val="00576529"/>
    <w:rsid w:val="005A507F"/>
    <w:rsid w:val="006E3FF0"/>
    <w:rsid w:val="007576F6"/>
    <w:rsid w:val="00773701"/>
    <w:rsid w:val="00984F3B"/>
    <w:rsid w:val="00A54570"/>
    <w:rsid w:val="00B32D39"/>
    <w:rsid w:val="00D602DD"/>
    <w:rsid w:val="00EE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9774615"/>
  <w14:defaultImageDpi w14:val="32767"/>
  <w15:chartTrackingRefBased/>
  <w15:docId w15:val="{8DE87ADE-490A-CF4A-9E6F-FA7355F1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13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13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13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013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13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13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13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13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13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13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1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0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13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A0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137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A0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137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A0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1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0137"/>
    <w:rPr>
      <w:rFonts w:eastAsia="Calibri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4A013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Tong</dc:creator>
  <cp:keywords/>
  <dc:description/>
  <cp:lastModifiedBy>Evelyn Tong</cp:lastModifiedBy>
  <cp:revision>3</cp:revision>
  <dcterms:created xsi:type="dcterms:W3CDTF">2026-08-31T18:31:00Z</dcterms:created>
  <dcterms:modified xsi:type="dcterms:W3CDTF">2026-09-02T16:01:00Z</dcterms:modified>
</cp:coreProperties>
</file>