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Собираем карту проблем и ресурсов территории</w:t>
      </w:r>
    </w:p>
    <w:p/>
    <w:p>
      <w:r>
        <w:rPr>
          <w:b/>
          <w:sz w:val="48"/>
        </w:rPr>
        <w:t>Условия проведения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Число участников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Минимум: 10 человек.</w:t>
            </w:r>
          </w:p>
          <w:p>
            <w:pPr>
              <w:pStyle w:val="ListBullet"/>
            </w:pPr>
            <w:r>
              <w:t>Оптимум: 15–30 человек.</w:t>
            </w:r>
          </w:p>
          <w:p>
            <w:pPr>
              <w:pStyle w:val="ListBullet"/>
            </w:pPr>
            <w:r>
              <w:t>Максимум: 50 человек (при делении на группы).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4320"/>
          </w:tcPr>
          <w:p/>
          <w:p>
            <w:r>
              <w:rPr>
                <w:b/>
                <w:sz w:val="32"/>
              </w:rPr>
              <w:t>Формат состоит из нескольких этапов и может быть распределён во времени:</w:t>
            </w:r>
          </w:p>
          <w:p>
            <w:pPr>
              <w:pStyle w:val="ListBullet"/>
            </w:pPr>
            <w:r>
              <w:t>запуск и инструкция — 30–45 минут;</w:t>
            </w:r>
          </w:p>
          <w:p>
            <w:pPr>
              <w:pStyle w:val="ListBullet"/>
            </w:pPr>
            <w:r>
              <w:t>самостоятельный сбор — 24–48 часов;</w:t>
            </w:r>
          </w:p>
          <w:p>
            <w:pPr>
              <w:pStyle w:val="ListBullet"/>
            </w:pPr>
            <w:r>
              <w:t>групповая работа с картами — 1,5–2 часа;</w:t>
            </w:r>
          </w:p>
          <w:p>
            <w:pPr>
              <w:pStyle w:val="ListBullet"/>
            </w:pPr>
            <w:r>
              <w:t>итоговая выставка и обсуждение — 1,5–2 часа.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Рассадка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Работа в малых группах за столами (5–8 человек).</w:t>
            </w:r>
          </w:p>
          <w:p>
            <w:pPr>
              <w:pStyle w:val="ListBullet"/>
            </w:pPr>
            <w:r>
              <w:t>Отдельное пространство для размещения карт и выставки.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Пространство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помещение для групповой работы;</w:t>
            </w:r>
          </w:p>
          <w:p>
            <w:pPr>
              <w:pStyle w:val="ListBullet"/>
            </w:pPr>
            <w:r>
              <w:t>возможность выхода в город;</w:t>
            </w:r>
          </w:p>
          <w:p>
            <w:pPr>
              <w:pStyle w:val="ListBullet"/>
            </w:pPr>
            <w:r>
              <w:t>место для размещения фото, карт и цитат.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Материалы</w:t>
            </w:r>
          </w:p>
        </w:tc>
        <w:tc>
          <w:tcPr>
            <w:tcW w:type="dxa" w:w="4320"/>
          </w:tcPr>
          <w:p/>
          <w:p>
            <w:r>
              <w:rPr>
                <w:b/>
                <w:sz w:val="32"/>
              </w:rPr>
              <w:t>Минимально:</w:t>
            </w:r>
          </w:p>
          <w:p>
            <w:pPr>
              <w:pStyle w:val="ListBullet"/>
            </w:pPr>
            <w:r>
              <w:t>большая карта города или района;</w:t>
            </w:r>
          </w:p>
          <w:p>
            <w:pPr>
              <w:pStyle w:val="ListBullet"/>
            </w:pPr>
            <w:r>
              <w:t>маркеры, стикеры, бумага;</w:t>
            </w:r>
          </w:p>
          <w:p>
            <w:pPr>
              <w:pStyle w:val="ListBullet"/>
            </w:pPr>
            <w:r>
              <w:t>скотч или кнопки.</w:t>
            </w:r>
          </w:p>
          <w:p>
            <w:r>
              <w:rPr>
                <w:b/>
                <w:sz w:val="32"/>
              </w:rPr>
              <w:t>Дополнительно:</w:t>
            </w:r>
          </w:p>
          <w:p>
            <w:pPr>
              <w:pStyle w:val="ListBullet"/>
            </w:pPr>
            <w:r>
              <w:t>смартфоны для фото;</w:t>
            </w:r>
          </w:p>
          <w:p>
            <w:pPr>
              <w:pStyle w:val="ListBullet"/>
            </w:pPr>
            <w:r>
              <w:t>принтер или экран;</w:t>
            </w:r>
          </w:p>
          <w:p>
            <w:pPr>
              <w:pStyle w:val="ListBullet"/>
            </w:pPr>
            <w:r>
              <w:t>стенды или стены для выставки.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Ведущий — организует процесс и удерживает логику формата.</w:t>
            </w:r>
          </w:p>
          <w:p>
            <w:pPr>
              <w:pStyle w:val="ListBullet"/>
            </w:pPr>
            <w:r>
              <w:t>Помощник (по возможности) — поддержка фиксации и логистики.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