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Марафон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10–40 человек;</w:t>
            </w:r>
          </w:p>
          <w:p>
            <w:pPr>
              <w:pStyle w:val="ListBullet"/>
            </w:pPr>
            <w:r>
              <w:t>при большем числе требуется увеличение числа координаторов.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1–3 часа.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не требуется;</w:t>
            </w:r>
          </w:p>
          <w:p>
            <w:pPr>
              <w:pStyle w:val="ListBullet"/>
            </w:pPr>
            <w:r>
              <w:t>сбор и инструктаж — в общей зоне.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конкретная локация, связанная с задачей (парк, двор, общественное пространство);</w:t>
            </w:r>
          </w:p>
          <w:p>
            <w:pPr>
              <w:pStyle w:val="ListBullet"/>
            </w:pPr>
            <w:r>
              <w:t>безопасная и заранее осмотренная территория.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инвентарь и расходные материалы по задаче;</w:t>
            </w:r>
          </w:p>
          <w:p>
            <w:pPr>
              <w:pStyle w:val="ListBullet"/>
            </w:pPr>
            <w:r>
              <w:t>перчатки, мешки, инструменты — по необходимости;</w:t>
            </w:r>
          </w:p>
          <w:p>
            <w:pPr>
              <w:pStyle w:val="ListBullet"/>
            </w:pPr>
            <w:r>
              <w:t>табличка или краткое описание цели марафона;</w:t>
            </w:r>
          </w:p>
          <w:p>
            <w:pPr>
              <w:pStyle w:val="ListBullet"/>
            </w:pPr>
            <w:r>
              <w:t>вода, аптечка первой помощи.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координатор марафона;</w:t>
            </w:r>
          </w:p>
          <w:p>
            <w:pPr>
              <w:pStyle w:val="ListBullet"/>
            </w:pPr>
            <w:r>
              <w:t>ведущий инструктажа;</w:t>
            </w:r>
          </w:p>
          <w:p>
            <w:pPr>
              <w:pStyle w:val="ListBullet"/>
            </w:pPr>
            <w:r>
              <w:t>волонтёры-наставники (по необходимости).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