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Нетворкинг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15–40 человек;</w:t>
            </w:r>
          </w:p>
          <w:p>
            <w:pPr>
              <w:pStyle w:val="ListBullet"/>
            </w:pPr>
            <w:r>
              <w:t>минимально: от 10 человек.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60 минут.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свободная;</w:t>
            </w:r>
          </w:p>
          <w:p>
            <w:pPr>
              <w:pStyle w:val="ListBullet"/>
            </w:pPr>
            <w:r>
              <w:t>зоны для общения стоя или за небольшими столами.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нейтральная площадка (общественный центр, коворкинг, зал НКО);</w:t>
            </w:r>
          </w:p>
          <w:p>
            <w:pPr>
              <w:pStyle w:val="ListBullet"/>
            </w:pPr>
            <w:r>
              <w:t>возможность свободно перемещаться;</w:t>
            </w:r>
          </w:p>
          <w:p>
            <w:pPr>
              <w:pStyle w:val="ListBullet"/>
            </w:pPr>
            <w:r>
              <w:t>низкий уровень фонового шума.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бейджи с именем и организацией;</w:t>
            </w:r>
          </w:p>
          <w:p>
            <w:pPr>
              <w:pStyle w:val="ListBullet"/>
            </w:pPr>
            <w:r>
              <w:t>маркеры;</w:t>
            </w:r>
          </w:p>
          <w:p>
            <w:pPr>
              <w:pStyle w:val="ListBullet"/>
            </w:pPr>
            <w:r>
              <w:t>флипчарт или доска (по желанию);</w:t>
            </w:r>
          </w:p>
          <w:p>
            <w:pPr>
              <w:pStyle w:val="ListBullet"/>
            </w:pPr>
            <w:r>
              <w:t>таймер или часы.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(модератор нетворкинга);</w:t>
            </w:r>
          </w:p>
          <w:p>
            <w:pPr>
              <w:pStyle w:val="ListBullet"/>
            </w:pPr>
            <w:r>
              <w:t>координатор площадки — по необходимости.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