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Нетворкинг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(офлайн, 60 минут)</w:t>
      </w:r>
    </w:p>
    <w:p>
      <w:r>
        <w:rPr>
          <w:b/>
          <w:sz w:val="32"/>
        </w:rPr>
        <w:t>Этап 1. Подготовка (до мероприятия)</w:t>
      </w:r>
    </w:p>
    <w:p>
      <w:r>
        <w:rPr>
          <w:b/>
          <w:sz w:val="32"/>
        </w:rPr>
        <w:t>Команда:</w:t>
      </w:r>
    </w:p>
    <w:p>
      <w:pPr>
        <w:pStyle w:val="ListBullet"/>
      </w:pPr>
      <w:r>
        <w:t>определяет цель встречи;</w:t>
      </w:r>
    </w:p>
    <w:p>
      <w:pPr>
        <w:pStyle w:val="ListBullet"/>
      </w:pPr>
      <w:r>
        <w:t>формирует список приглашённых;</w:t>
      </w:r>
    </w:p>
    <w:p>
      <w:pPr>
        <w:pStyle w:val="ListBullet"/>
      </w:pPr>
      <w:r>
        <w:t>подготавливает пространство и бейджи.</w:t>
      </w:r>
    </w:p>
    <w:p>
      <w:r>
        <w:rPr>
          <w:b/>
          <w:sz w:val="32"/>
        </w:rPr>
        <w:t>Этап 2. Введение и правила (5–10 минут)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приветствует участников;</w:t>
      </w:r>
    </w:p>
    <w:p>
      <w:pPr>
        <w:pStyle w:val="ListBullet"/>
      </w:pPr>
      <w:r>
        <w:t>кратко обозначает цель нетворкинга;</w:t>
      </w:r>
    </w:p>
    <w:p>
      <w:pPr>
        <w:pStyle w:val="ListBullet"/>
      </w:pPr>
      <w:r>
        <w:t>объясняет формат свободного общения;</w:t>
      </w:r>
    </w:p>
    <w:p>
      <w:pPr>
        <w:pStyle w:val="ListBullet"/>
      </w:pPr>
      <w:r>
        <w:t>предлагает ориентир: с кем и о чём стоит познакомиться.</w:t>
      </w:r>
    </w:p>
    <w:p>
      <w:r>
        <w:rPr>
          <w:b/>
          <w:sz w:val="32"/>
        </w:rPr>
        <w:t>Этап 3. Свободное общение (40–45 минут)</w:t>
      </w:r>
    </w:p>
    <w:p>
      <w:r>
        <w:rPr>
          <w:b/>
          <w:sz w:val="32"/>
        </w:rPr>
        <w:t>Участники:</w:t>
      </w:r>
    </w:p>
    <w:p>
      <w:pPr>
        <w:pStyle w:val="ListBullet"/>
      </w:pPr>
      <w:r>
        <w:t>знакомятся друг с другом;</w:t>
      </w:r>
    </w:p>
    <w:p>
      <w:pPr>
        <w:pStyle w:val="ListBullet"/>
      </w:pPr>
      <w:r>
        <w:t>обмениваются контактами;</w:t>
      </w:r>
    </w:p>
    <w:p>
      <w:pPr>
        <w:pStyle w:val="ListBullet"/>
      </w:pPr>
      <w:r>
        <w:t>кратко рассказывают о своей деятельности и интересах.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следит за временем;</w:t>
      </w:r>
    </w:p>
    <w:p>
      <w:pPr>
        <w:pStyle w:val="ListBullet"/>
      </w:pPr>
      <w:r>
        <w:t>при необходимости мягко вовлекает менее активных участников.</w:t>
      </w:r>
    </w:p>
    <w:p>
      <w:r>
        <w:rPr>
          <w:b/>
          <w:sz w:val="32"/>
        </w:rPr>
        <w:t>Этап 4. Завершение (5–10 минут)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благодарит участников;</w:t>
      </w:r>
    </w:p>
    <w:p>
      <w:pPr>
        <w:pStyle w:val="ListBullet"/>
      </w:pPr>
      <w:r>
        <w:t>предлагает зафиксировать контакты;</w:t>
      </w:r>
    </w:p>
    <w:p>
      <w:pPr>
        <w:pStyle w:val="ListBullet"/>
      </w:pPr>
      <w:r>
        <w:t>подсказывает следующий шаг (индивидуальные встречи, продолжение общения).</w:t>
      </w:r>
    </w:p>
    <w:p>
      <w:r>
        <w:rPr>
          <w:b/>
          <w:sz w:val="32"/>
        </w:rPr>
        <w:t>Подготовка участников и ориентиры общения</w:t>
      </w:r>
    </w:p>
    <w:p>
      <w:r>
        <w:rPr>
          <w:b/>
          <w:sz w:val="32"/>
        </w:rPr>
        <w:t>Рекомендации участникам</w:t>
      </w:r>
    </w:p>
    <w:p>
      <w:pPr>
        <w:pStyle w:val="ListBullet"/>
      </w:pPr>
      <w:r>
        <w:t>кратко представляться (кто вы и чем занимаетесь);</w:t>
      </w:r>
    </w:p>
    <w:p>
      <w:pPr>
        <w:pStyle w:val="ListBullet"/>
      </w:pPr>
      <w:r>
        <w:t>обозначать интерес к сотрудничеству;</w:t>
      </w:r>
    </w:p>
    <w:p>
      <w:pPr>
        <w:pStyle w:val="ListBullet"/>
      </w:pPr>
      <w:r>
        <w:t>фиксировать контакты сразу.</w:t>
      </w:r>
    </w:p>
    <w:p>
      <w:r>
        <w:rPr>
          <w:b/>
          <w:sz w:val="32"/>
        </w:rPr>
        <w:t>Примеры фокуса общения</w:t>
      </w:r>
    </w:p>
    <w:p>
      <w:pPr>
        <w:pStyle w:val="ListBullet"/>
      </w:pPr>
      <w:r>
        <w:t>партнёрство в мероприятиях;</w:t>
      </w:r>
    </w:p>
    <w:p>
      <w:pPr>
        <w:pStyle w:val="ListBullet"/>
      </w:pPr>
      <w:r>
        <w:t>совместные проекты;</w:t>
      </w:r>
    </w:p>
    <w:p>
      <w:pPr>
        <w:pStyle w:val="ListBullet"/>
      </w:pPr>
      <w:r>
        <w:t>ресурсная или информационная поддержка.</w:t>
      </w:r>
    </w:p>
    <w:p/>
    <w:p>
      <w:r>
        <w:rPr>
          <w:b/>
          <w:sz w:val="48"/>
        </w:rPr>
        <w:t>Особенность формата проведения</w:t>
      </w:r>
    </w:p>
    <w:p>
      <w:r>
        <w:t>Общение строится в свободном режиме; участники самостоятельно выбирают собеседников; ведущий задаёт рамку и следит за временем; акцент на знакомстве и выявлении точек пересечения; формат не предполагает выступлений или презентаций.</w:t>
      </w:r>
    </w:p>
    <w:p>
      <w:r>
        <w:t>Формат эффективен как часть более крупного события.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