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72"/>
        </w:rPr>
        <w:t>Плейбэк-театр</w:t>
      </w:r>
    </w:p>
    <w:p/>
    <w:p>
      <w:r>
        <w:rPr>
          <w:b/>
          <w:sz w:val="48"/>
        </w:rPr>
        <w:t>Роль ведущего</w:t>
      </w:r>
    </w:p>
    <w:p>
      <w:r>
        <w:rPr>
          <w:b/>
          <w:sz w:val="32"/>
        </w:rPr>
        <w:t>Ведущий-кондактор (со стороны труппы):</w:t>
      </w:r>
    </w:p>
    <w:p>
      <w:pPr>
        <w:pStyle w:val="ListBullet"/>
      </w:pPr>
      <w:r>
        <w:t>отвечает за безопасность процесса;</w:t>
      </w:r>
    </w:p>
    <w:p>
      <w:pPr>
        <w:pStyle w:val="ListBullet"/>
      </w:pPr>
      <w:r>
        <w:t>выбирает истории для проигрывания;</w:t>
      </w:r>
    </w:p>
    <w:p>
      <w:pPr>
        <w:pStyle w:val="ListBullet"/>
      </w:pPr>
      <w:r>
        <w:t>управляет динамикой и эмоциональной нагрузкой;</w:t>
      </w:r>
    </w:p>
    <w:p>
      <w:pPr>
        <w:pStyle w:val="ListBullet"/>
      </w:pPr>
      <w:r>
        <w:t>завершает формат.</w:t>
      </w:r>
    </w:p>
    <w:p>
      <w:r>
        <w:rPr>
          <w:b/>
          <w:sz w:val="32"/>
        </w:rPr>
        <w:t>Координатор от НКО:</w:t>
      </w:r>
    </w:p>
    <w:p>
      <w:pPr>
        <w:pStyle w:val="ListBullet"/>
      </w:pPr>
      <w:r>
        <w:t>обеспечивает условия и пространство;</w:t>
      </w:r>
    </w:p>
    <w:p>
      <w:pPr>
        <w:pStyle w:val="ListBullet"/>
      </w:pPr>
      <w:r>
        <w:t>информирует участников о характере формата;</w:t>
      </w:r>
    </w:p>
    <w:p>
      <w:pPr>
        <w:pStyle w:val="ListBullet"/>
      </w:pPr>
      <w:r>
        <w:t>назначает контактного человека от НКО, к которому участник может обратиться и выйти из пространства при сильной эмоциональной реакции.</w:t>
      </w:r>
    </w:p>
    <w:p>
      <w:r>
        <w:rPr>
          <w:b/>
          <w:sz w:val="32"/>
        </w:rPr>
        <w:t>Чек-лист для координатора НКО</w:t>
      </w:r>
    </w:p>
    <w:p>
      <w:r>
        <w:rPr>
          <w:b/>
          <w:sz w:val="32"/>
        </w:rPr>
        <w:t>До мероприятия</w:t>
      </w:r>
    </w:p>
    <w:p>
      <w:pPr>
        <w:pStyle w:val="ListBullet"/>
      </w:pPr>
      <w:r>
        <w:t>пригласить профессиональную труппу;</w:t>
      </w:r>
    </w:p>
    <w:p>
      <w:pPr>
        <w:pStyle w:val="ListBullet"/>
      </w:pPr>
      <w:r>
        <w:t>согласовать рамки и ограничения;</w:t>
      </w:r>
    </w:p>
    <w:p>
      <w:pPr>
        <w:pStyle w:val="ListBullet"/>
      </w:pPr>
      <w:r>
        <w:t>предупредить участников о возможной эмоциональной реакции;</w:t>
      </w:r>
    </w:p>
    <w:p>
      <w:pPr>
        <w:pStyle w:val="ListBullet"/>
      </w:pPr>
      <w:r>
        <w:t>назначить контактного человека поддержки.</w:t>
      </w:r>
    </w:p>
    <w:p>
      <w:r>
        <w:rPr>
          <w:b/>
          <w:sz w:val="32"/>
        </w:rPr>
        <w:t>Во время</w:t>
      </w:r>
    </w:p>
    <w:p>
      <w:pPr>
        <w:pStyle w:val="ListBullet"/>
      </w:pPr>
      <w:r>
        <w:t>обеспечить тишину и отсутствие внешних помех;</w:t>
      </w:r>
    </w:p>
    <w:p>
      <w:pPr>
        <w:pStyle w:val="ListBullet"/>
      </w:pPr>
      <w:r>
        <w:t>быть доступным для участников, при необходимости сопровождать выход из зала.</w:t>
      </w:r>
    </w:p>
    <w:p>
      <w:r>
        <w:rPr>
          <w:b/>
          <w:sz w:val="32"/>
        </w:rPr>
        <w:t>После</w:t>
      </w:r>
    </w:p>
    <w:p>
      <w:pPr>
        <w:pStyle w:val="ListBullet"/>
      </w:pPr>
      <w:r>
        <w:t>проверить состояние участников;</w:t>
      </w:r>
    </w:p>
    <w:p>
      <w:pPr>
        <w:pStyle w:val="ListBullet"/>
      </w:pPr>
      <w:r>
        <w:t>при необходимости предложить контакты дополнительной поддержки.</w:t>
      </w:r>
    </w:p>
    <w:p/>
    <w:p>
      <w:r>
        <w:rPr>
          <w:b/>
          <w:sz w:val="48"/>
        </w:rPr>
        <w:t>Возможный результат</w:t>
      </w:r>
    </w:p>
    <w:p>
      <w:r>
        <w:t>Участники получили опыт эмоционального отклика и сопереживания, сложные темы стали видимыми и признанными; усилено чувство принятия и понимания.</w:t>
      </w:r>
    </w:p>
    <w:sectPr w:rsidR="00FC693F" w:rsidRPr="0006063C" w:rsidSect="00034616">
      <w:headerReference w:type="firs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2194560" cy="13558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ckground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4560" cy="135585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