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Обратный питч</w:t>
      </w:r>
    </w:p>
    <w:p/>
    <w:p>
      <w:r>
        <w:rPr>
          <w:b/>
          <w:sz w:val="48"/>
        </w:rPr>
        <w:t>Роль ведущего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удерживает фокус на запросе;</w:t>
      </w:r>
    </w:p>
    <w:p>
      <w:pPr>
        <w:pStyle w:val="ListBullet"/>
      </w:pPr>
      <w:r>
        <w:t>пресекает уход в абстрактные рассуждения;</w:t>
      </w:r>
    </w:p>
    <w:p>
      <w:pPr>
        <w:pStyle w:val="ListBullet"/>
      </w:pPr>
      <w:r>
        <w:t>следит за таймингом;</w:t>
      </w:r>
    </w:p>
    <w:p>
      <w:pPr>
        <w:pStyle w:val="ListBullet"/>
      </w:pPr>
      <w:r>
        <w:t>обеспечивает фиксацию результатов.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проверить формулировки запросов;</w:t>
      </w:r>
    </w:p>
    <w:p>
      <w:pPr>
        <w:pStyle w:val="ListBullet"/>
      </w:pPr>
      <w:r>
        <w:t>подготовить шаблоны фиксации;</w:t>
      </w:r>
    </w:p>
    <w:p>
      <w:pPr>
        <w:pStyle w:val="ListBullet"/>
      </w:pPr>
      <w:r>
        <w:t>продумать деление на группы.</w:t>
      </w:r>
    </w:p>
    <w:p>
      <w:r>
        <w:rPr>
          <w:b/>
          <w:sz w:val="32"/>
        </w:rPr>
        <w:t>Во время</w:t>
      </w:r>
    </w:p>
    <w:p>
      <w:pPr>
        <w:pStyle w:val="ListBullet"/>
      </w:pPr>
      <w:r>
        <w:t>держать регламент;</w:t>
      </w:r>
    </w:p>
    <w:p>
      <w:pPr>
        <w:pStyle w:val="ListBullet"/>
      </w:pPr>
      <w:r>
        <w:t>напоминать о практичности предложений;</w:t>
      </w:r>
    </w:p>
    <w:p>
      <w:pPr>
        <w:pStyle w:val="ListBullet"/>
      </w:pPr>
      <w:r>
        <w:t>останавливать обсуждения без выхода в действие.</w:t>
      </w:r>
    </w:p>
    <w:p>
      <w:r>
        <w:rPr>
          <w:b/>
          <w:sz w:val="32"/>
        </w:rPr>
        <w:t>После</w:t>
      </w:r>
    </w:p>
    <w:p>
      <w:pPr>
        <w:pStyle w:val="ListBullet"/>
      </w:pPr>
      <w:r>
        <w:t>собрать все материалы;</w:t>
      </w:r>
    </w:p>
    <w:p>
      <w:pPr>
        <w:pStyle w:val="ListBullet"/>
      </w:pPr>
      <w:r>
        <w:t>передать результаты координатору саммита.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перечень реализуемых идей под конкретные запросы;</w:t>
      </w:r>
    </w:p>
    <w:p>
      <w:pPr>
        <w:pStyle w:val="ListBullet"/>
      </w:pPr>
      <w:r>
        <w:t>зафиксированные предложения от НКО;</w:t>
      </w:r>
    </w:p>
    <w:p>
      <w:pPr>
        <w:pStyle w:val="ListBullet"/>
      </w:pPr>
      <w:r>
        <w:t>понимание возможных форм сотрудничества;</w:t>
      </w:r>
    </w:p>
    <w:p>
      <w:pPr>
        <w:pStyle w:val="ListBullet"/>
      </w:pPr>
      <w:r>
        <w:t>задел для пилотов, проектных сессий и договорённостей.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