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72"/>
        </w:rPr>
        <w:t>Быстрые свидания НКО и волонтёров</w:t>
      </w:r>
    </w:p>
    <w:p/>
    <w:p>
      <w:r>
        <w:rPr>
          <w:b/>
          <w:sz w:val="48"/>
        </w:rPr>
        <w:t>Условия проведения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Число участников</w:t>
            </w:r>
          </w:p>
        </w:tc>
        <w:tc>
          <w:tcPr>
            <w:tcW w:type="dxa" w:w="4320"/>
          </w:tcPr>
          <w:p/>
          <w:p>
            <w:pPr>
              <w:pStyle w:val="ListBullet"/>
            </w:pPr>
            <w:r>
              <w:t>НКО: 6–15 организаций;</w:t>
            </w:r>
          </w:p>
          <w:p>
            <w:pPr>
              <w:pStyle w:val="ListBullet"/>
            </w:pPr>
            <w:r>
              <w:t>волонтёры: 6–15 человек;</w:t>
            </w:r>
          </w:p>
          <w:p>
            <w:pPr>
              <w:pStyle w:val="ListBullet"/>
            </w:pPr>
            <w:r>
              <w:t>соотношение: 1 НКО — 1 волонтёр.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Время</w:t>
            </w:r>
          </w:p>
        </w:tc>
        <w:tc>
          <w:tcPr>
            <w:tcW w:type="dxa" w:w="4320"/>
          </w:tcPr>
          <w:p/>
          <w:p>
            <w:pPr>
              <w:pStyle w:val="ListBullet"/>
            </w:pPr>
            <w:r>
              <w:t>общая длительность: 1,5 часа.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Рассадка</w:t>
            </w:r>
          </w:p>
        </w:tc>
        <w:tc>
          <w:tcPr>
            <w:tcW w:type="dxa" w:w="4320"/>
          </w:tcPr>
          <w:p/>
          <w:p>
            <w:pPr>
              <w:pStyle w:val="ListBullet"/>
            </w:pPr>
            <w:r>
              <w:t>представители НКО сидят за столами;</w:t>
            </w:r>
          </w:p>
          <w:p>
            <w:pPr>
              <w:pStyle w:val="ListBullet"/>
            </w:pPr>
            <w:r>
              <w:t>волонтёры пересаживаются по сигналу ведущего;</w:t>
            </w:r>
          </w:p>
          <w:p>
            <w:pPr>
              <w:pStyle w:val="ListBullet"/>
            </w:pPr>
            <w:r>
              <w:t>каждый стол промаркирован номером или названием НКО.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Пространство</w:t>
            </w:r>
          </w:p>
        </w:tc>
        <w:tc>
          <w:tcPr>
            <w:tcW w:type="dxa" w:w="4320"/>
          </w:tcPr>
          <w:p/>
          <w:p>
            <w:pPr>
              <w:pStyle w:val="ListBullet"/>
            </w:pPr>
            <w:r>
              <w:t>один зал или большое помещение;</w:t>
            </w:r>
          </w:p>
          <w:p>
            <w:pPr>
              <w:pStyle w:val="ListBullet"/>
            </w:pPr>
            <w:r>
              <w:t>расстояние между столами, позволяющее говорить без помех;</w:t>
            </w:r>
          </w:p>
          <w:p>
            <w:pPr>
              <w:pStyle w:val="ListBullet"/>
            </w:pPr>
            <w:r>
              <w:t>возможность использовать таймер или звуковой сигнал.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Материалы</w:t>
            </w:r>
          </w:p>
        </w:tc>
        <w:tc>
          <w:tcPr>
            <w:tcW w:type="dxa" w:w="4320"/>
          </w:tcPr>
          <w:p/>
          <w:p>
            <w:r>
              <w:rPr>
                <w:b/>
                <w:sz w:val="32"/>
              </w:rPr>
              <w:t>Минимально:</w:t>
            </w:r>
          </w:p>
          <w:p>
            <w:pPr>
              <w:pStyle w:val="ListBullet"/>
            </w:pPr>
            <w:r>
              <w:t>таймер / звонок;</w:t>
            </w:r>
          </w:p>
          <w:p>
            <w:pPr>
              <w:pStyle w:val="ListBullet"/>
            </w:pPr>
            <w:r>
              <w:t>бейджи (НКО / волонтёр);</w:t>
            </w:r>
          </w:p>
          <w:p>
            <w:pPr>
              <w:pStyle w:val="ListBullet"/>
            </w:pPr>
            <w:r>
              <w:t>бумажные листы фиксации интереса;</w:t>
            </w:r>
          </w:p>
          <w:p>
            <w:pPr>
              <w:pStyle w:val="ListBullet"/>
            </w:pPr>
            <w:r>
              <w:t>ручки.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Команда</w:t>
            </w:r>
          </w:p>
        </w:tc>
        <w:tc>
          <w:tcPr>
            <w:tcW w:type="dxa" w:w="4320"/>
          </w:tcPr>
          <w:p/>
          <w:p>
            <w:pPr>
              <w:pStyle w:val="ListBullet"/>
            </w:pPr>
            <w:r>
              <w:t>Ведущий — управляет процессом и временем;</w:t>
            </w:r>
          </w:p>
          <w:p>
            <w:pPr>
              <w:pStyle w:val="ListBullet"/>
            </w:pPr>
            <w:r>
              <w:t>Помощник (по возможности) — помогает с рассадкой и материалами.</w:t>
            </w:r>
          </w:p>
        </w:tc>
      </w:tr>
    </w:tbl>
    <w:sectPr w:rsidR="00FC693F" w:rsidRPr="0006063C" w:rsidSect="00034616">
      <w:headerReference w:type="first" r:id="rId9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2194560" cy="135585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ckground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94560" cy="1355854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