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Стратегическая сессия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 / онлайн, 2–3 часа)</w:t>
      </w:r>
    </w:p>
    <w:p>
      <w:r>
        <w:rPr>
          <w:b/>
          <w:sz w:val="32"/>
        </w:rPr>
        <w:t>Этап 1. Подготовка (до мероприятия)</w:t>
      </w:r>
    </w:p>
    <w:p>
      <w:pPr>
        <w:pStyle w:val="ListBullet"/>
      </w:pPr>
      <w:r>
        <w:t>определяется один фокус сессии (проблема или задача);</w:t>
      </w:r>
    </w:p>
    <w:p>
      <w:pPr>
        <w:pStyle w:val="ListBullet"/>
      </w:pPr>
      <w:r>
        <w:t>формулируется ожидаемый результат — черновик плана действий;</w:t>
      </w:r>
    </w:p>
    <w:p>
      <w:pPr>
        <w:pStyle w:val="ListBullet"/>
      </w:pPr>
      <w:r>
        <w:t>подготавливаются вопросы и шаблон фиксации шагов;</w:t>
      </w:r>
    </w:p>
    <w:p>
      <w:pPr>
        <w:pStyle w:val="ListBullet"/>
      </w:pPr>
      <w:r>
        <w:t>назначается ответственный за фиксацию результатов.</w:t>
      </w:r>
    </w:p>
    <w:p>
      <w:r>
        <w:rPr>
          <w:b/>
          <w:sz w:val="32"/>
        </w:rPr>
        <w:t>Этап 2. Введение и рамка (10–15 минут)</w:t>
      </w:r>
    </w:p>
    <w:p>
      <w:r>
        <w:rPr>
          <w:b/>
          <w:sz w:val="32"/>
        </w:rPr>
        <w:t>Ведущий:</w:t>
      </w:r>
    </w:p>
    <w:p>
      <w:pPr>
        <w:pStyle w:val="ListBullet"/>
      </w:pPr>
      <w:r>
        <w:t>объясняет цель стратегической сессии;</w:t>
      </w:r>
    </w:p>
    <w:p>
      <w:pPr>
        <w:pStyle w:val="ListBullet"/>
      </w:pPr>
      <w:r>
        <w:t>проговаривает ограничения формата (не «всё и сразу»);</w:t>
      </w:r>
    </w:p>
    <w:p>
      <w:pPr>
        <w:pStyle w:val="ListBullet"/>
      </w:pPr>
      <w:r>
        <w:t>обозначает фокус и ожидаемый результат;</w:t>
      </w:r>
    </w:p>
    <w:p>
      <w:pPr>
        <w:pStyle w:val="ListBullet"/>
      </w:pPr>
      <w:r>
        <w:t>объясняет структуру работы.</w:t>
      </w:r>
    </w:p>
    <w:p>
      <w:r>
        <w:rPr>
          <w:b/>
          <w:sz w:val="32"/>
        </w:rPr>
        <w:t>Этап 3. Анализ текущей ситуации (30–40 минут)</w:t>
      </w:r>
    </w:p>
    <w:p>
      <w:pPr>
        <w:pStyle w:val="ListBullet"/>
      </w:pPr>
      <w:r>
        <w:t>участники в малых группах обсуждают:</w:t>
      </w:r>
    </w:p>
    <w:p>
      <w:pPr>
        <w:pStyle w:val="ListBullet"/>
      </w:pPr>
      <w:r>
        <w:t>что сейчас происходит по выбранному фокусу;</w:t>
      </w:r>
    </w:p>
    <w:p>
      <w:pPr>
        <w:pStyle w:val="ListBullet"/>
      </w:pPr>
      <w:r>
        <w:t>какие сложности и ограничения есть;</w:t>
      </w:r>
    </w:p>
    <w:p>
      <w:pPr>
        <w:pStyle w:val="ListBullet"/>
      </w:pPr>
      <w:r>
        <w:t>какие ресурсы уже имеются;</w:t>
      </w:r>
    </w:p>
    <w:p>
      <w:pPr>
        <w:pStyle w:val="ListBullet"/>
      </w:pPr>
      <w:r>
        <w:t>каждая группа фиксирует выводы.</w:t>
      </w:r>
    </w:p>
    <w:p>
      <w:r>
        <w:rPr>
          <w:b/>
          <w:sz w:val="32"/>
        </w:rPr>
        <w:t>Этап 4. Формирование направлений действий (30–40 минут)</w:t>
      </w:r>
    </w:p>
    <w:p>
      <w:pPr>
        <w:pStyle w:val="ListBullet"/>
      </w:pPr>
      <w:r>
        <w:t>на общем поле собираются ключевые выводы;</w:t>
      </w:r>
    </w:p>
    <w:p>
      <w:pPr>
        <w:pStyle w:val="ListBullet"/>
      </w:pPr>
      <w:r>
        <w:t>участники формулируют 3–5 приоритетных направлений;</w:t>
      </w:r>
    </w:p>
    <w:p>
      <w:pPr>
        <w:pStyle w:val="ListBullet"/>
      </w:pPr>
      <w:r>
        <w:t>обсуждается реалистичность каждого направления.</w:t>
      </w:r>
    </w:p>
    <w:p>
      <w:r>
        <w:rPr>
          <w:b/>
          <w:sz w:val="32"/>
        </w:rPr>
        <w:t>Этап 5. Черновик плана действий (40–60 минут)</w:t>
      </w:r>
    </w:p>
    <w:p>
      <w:r>
        <w:rPr>
          <w:b/>
          <w:sz w:val="32"/>
        </w:rPr>
        <w:t>В малых группах:</w:t>
      </w:r>
    </w:p>
    <w:p>
      <w:pPr>
        <w:pStyle w:val="ListBullet"/>
      </w:pPr>
      <w:r>
        <w:t>формулируются конкретные шаги;</w:t>
      </w:r>
    </w:p>
    <w:p>
      <w:pPr>
        <w:pStyle w:val="ListBullet"/>
      </w:pPr>
      <w:r>
        <w:t>для каждого шага фиксируются:</w:t>
      </w:r>
    </w:p>
    <w:p>
      <w:pPr>
        <w:pStyle w:val="ListBullet"/>
      </w:pPr>
      <w:r>
        <w:t>что нужно сделать;</w:t>
      </w:r>
    </w:p>
    <w:p>
      <w:pPr>
        <w:pStyle w:val="ListBullet"/>
      </w:pPr>
      <w:r>
        <w:t>кто отвечает;</w:t>
      </w:r>
    </w:p>
    <w:p>
      <w:pPr>
        <w:pStyle w:val="ListBullet"/>
      </w:pPr>
      <w:r>
        <w:t>примерный срок.</w:t>
      </w:r>
    </w:p>
    <w:p>
      <w:r>
        <w:rPr>
          <w:b/>
        </w:rPr>
        <w:t xml:space="preserve">Важно: </w:t>
      </w:r>
      <w:r>
        <w:rPr>
          <w:b w:val="0"/>
        </w:rPr>
        <w:t>план фиксируется как рабочий черновик, а не финальный документ.</w:t>
      </w:r>
    </w:p>
    <w:p>
      <w:r>
        <w:t>Общее количество шагов — не более 10–12; при превышении ведущий предлагает укрупнить или отложить часть действий.</w:t>
      </w:r>
    </w:p>
    <w:p>
      <w:r>
        <w:rPr>
          <w:b/>
          <w:sz w:val="32"/>
        </w:rPr>
        <w:t>Этап 6. Завершение и договорённости (10–15 минут)</w:t>
      </w:r>
    </w:p>
    <w:p>
      <w:pPr>
        <w:pStyle w:val="ListBullet"/>
      </w:pPr>
      <w:r>
        <w:t>общий просмотр черновика плана;</w:t>
      </w:r>
    </w:p>
    <w:p>
      <w:pPr>
        <w:pStyle w:val="ListBullet"/>
      </w:pPr>
      <w:r>
        <w:t>фиксация договорённостей о доработке после саммита;</w:t>
      </w:r>
    </w:p>
    <w:p>
      <w:pPr>
        <w:pStyle w:val="ListBullet"/>
      </w:pPr>
      <w:r>
        <w:t>определение ответственного за дальнейшее ведение плана.</w:t>
      </w:r>
    </w:p>
    <w:p>
      <w:r>
        <w:rPr>
          <w:b/>
          <w:sz w:val="32"/>
        </w:rPr>
        <w:t>Подготовка вопросов</w:t>
      </w:r>
    </w:p>
    <w:p>
      <w:r>
        <w:rPr>
          <w:b/>
          <w:sz w:val="32"/>
        </w:rPr>
        <w:t>Примеры</w:t>
      </w:r>
    </w:p>
    <w:p>
      <w:pPr>
        <w:pStyle w:val="ListBullet"/>
      </w:pPr>
      <w:r>
        <w:t>«Как усилить вовлечение волонтёров»</w:t>
      </w:r>
    </w:p>
    <w:p>
      <w:pPr>
        <w:pStyle w:val="ListBullet"/>
      </w:pPr>
      <w:r>
        <w:t>«Как стабилизировать работу проекта»</w:t>
      </w:r>
    </w:p>
    <w:p>
      <w:pPr>
        <w:pStyle w:val="ListBullet"/>
      </w:pPr>
      <w:r>
        <w:t>«Как выстроить взаимодействие с партнёрами»</w:t>
      </w:r>
    </w:p>
    <w:p>
      <w:pPr>
        <w:pStyle w:val="ListBullet"/>
      </w:pPr>
      <w:r>
        <w:t>«Как улучшить внутренние процессы команды»</w:t>
      </w:r>
    </w:p>
    <w:p/>
    <w:p>
      <w:r>
        <w:rPr>
          <w:b/>
          <w:sz w:val="48"/>
        </w:rPr>
        <w:t>Особенность формата проведения</w:t>
      </w:r>
    </w:p>
    <w:p>
      <w:r>
        <w:t>Работа ведётся по одному заранее выбранному фокусу. Сочетаются общее обсуждение и работа в малых группах. Результат фиксируется письменно по ходу сессии. Формат ориентирован на реалистичные шаги, а не декларации.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