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Ток-шоу</w:t>
      </w:r>
    </w:p>
    <w:p/>
    <w:p>
      <w:r>
        <w:rPr>
          <w:b/>
          <w:sz w:val="48"/>
        </w:rPr>
        <w:t>Роль ведущего</w:t>
      </w:r>
    </w:p>
    <w:p>
      <w:r>
        <w:t>Ведущий удерживает рамку и темп разговора, следит за таймингом ответов,  защищает гостей от давления и споров, обеспечивает понятность и связность обсуждения.</w:t>
      </w:r>
    </w:p>
    <w:p/>
    <w:p>
      <w:r>
        <w:rPr>
          <w:b/>
          <w:sz w:val="48"/>
        </w:rPr>
        <w:t>Чек-лист для ведущего</w:t>
      </w:r>
    </w:p>
    <w:p>
      <w:r>
        <w:rPr>
          <w:b/>
          <w:sz w:val="32"/>
        </w:rPr>
        <w:t>До мероприятия</w:t>
      </w:r>
    </w:p>
    <w:p>
      <w:pPr>
        <w:pStyle w:val="ListBullet"/>
      </w:pPr>
      <w:r>
        <w:t>согласовать рамки с гостями;</w:t>
      </w:r>
    </w:p>
    <w:p>
      <w:pPr>
        <w:pStyle w:val="ListBullet"/>
      </w:pPr>
      <w:r>
        <w:t>подготовить вопросы;</w:t>
      </w:r>
    </w:p>
    <w:p>
      <w:pPr>
        <w:pStyle w:val="ListBullet"/>
      </w:pPr>
      <w:r>
        <w:t>продумать механику вопросов от аудитории.</w:t>
      </w:r>
    </w:p>
    <w:p>
      <w:r>
        <w:rPr>
          <w:b/>
          <w:sz w:val="32"/>
        </w:rPr>
        <w:t>Во время</w:t>
      </w:r>
    </w:p>
    <w:p>
      <w:pPr>
        <w:pStyle w:val="ListBullet"/>
      </w:pPr>
      <w:r>
        <w:t>следить за таймингом ответов;</w:t>
      </w:r>
    </w:p>
    <w:p>
      <w:pPr>
        <w:pStyle w:val="ListBullet"/>
      </w:pPr>
      <w:r>
        <w:t>останавливать монологи;</w:t>
      </w:r>
    </w:p>
    <w:p>
      <w:pPr>
        <w:pStyle w:val="ListBullet"/>
      </w:pPr>
      <w:r>
        <w:t>поддерживать уважительный тон.</w:t>
      </w:r>
    </w:p>
    <w:p>
      <w:r>
        <w:rPr>
          <w:b/>
          <w:sz w:val="32"/>
        </w:rPr>
        <w:t>После</w:t>
      </w:r>
    </w:p>
    <w:p>
      <w:pPr>
        <w:pStyle w:val="ListBullet"/>
      </w:pPr>
      <w:r>
        <w:t>поблагодарить гостей;</w:t>
      </w:r>
    </w:p>
    <w:p>
      <w:pPr>
        <w:pStyle w:val="ListBullet"/>
      </w:pPr>
      <w:r>
        <w:t>связать формат с последующими активностями.</w:t>
      </w:r>
    </w:p>
    <w:p/>
    <w:p>
      <w:r>
        <w:rPr>
          <w:b/>
          <w:sz w:val="48"/>
        </w:rPr>
        <w:t>Возможный результат</w:t>
      </w:r>
    </w:p>
    <w:p>
      <w:pPr>
        <w:pStyle w:val="ListBullet"/>
      </w:pPr>
      <w:r>
        <w:t>участники включились в тему саммита;</w:t>
      </w:r>
    </w:p>
    <w:p>
      <w:pPr>
        <w:pStyle w:val="ListBullet"/>
      </w:pPr>
      <w:r>
        <w:t>прояснены разные точки зрения;</w:t>
      </w:r>
    </w:p>
    <w:p>
      <w:pPr>
        <w:pStyle w:val="ListBullet"/>
      </w:pPr>
      <w:r>
        <w:t>снижена дистанция между НКО и жителями;</w:t>
      </w:r>
    </w:p>
    <w:p>
      <w:pPr>
        <w:pStyle w:val="ListBullet"/>
      </w:pPr>
      <w:r>
        <w:t>создан общий контекст для дальнейшей работы.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