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Ток-шоу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 / онлайн, 45–90 минут)</w:t>
      </w:r>
    </w:p>
    <w:p>
      <w:r>
        <w:rPr>
          <w:b/>
          <w:sz w:val="32"/>
        </w:rPr>
        <w:t>Этап 1. Подготовка (до мероприятия)</w:t>
      </w:r>
    </w:p>
    <w:p>
      <w:pPr>
        <w:pStyle w:val="ListBullet"/>
      </w:pPr>
      <w:r>
        <w:t>формулируется одна тема ток-шоу;</w:t>
      </w:r>
    </w:p>
    <w:p>
      <w:pPr>
        <w:pStyle w:val="ListBullet"/>
      </w:pPr>
      <w:r>
        <w:t>подбираются гости со взаимодополняющим опытом;</w:t>
      </w:r>
    </w:p>
    <w:p>
      <w:pPr>
        <w:pStyle w:val="ListBullet"/>
      </w:pPr>
      <w:r>
        <w:t>с гостями заранее проговариваются рамки (не дебаты, не пиар);</w:t>
      </w:r>
    </w:p>
    <w:p>
      <w:pPr>
        <w:pStyle w:val="ListBullet"/>
      </w:pPr>
      <w:r>
        <w:t>ведущий готовит список опорных вопросов.</w:t>
      </w:r>
    </w:p>
    <w:p>
      <w:r>
        <w:rPr>
          <w:b/>
          <w:sz w:val="32"/>
        </w:rPr>
        <w:t>Этап 2. Введение и рамка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цель ток-шоу;</w:t>
      </w:r>
    </w:p>
    <w:p>
      <w:pPr>
        <w:pStyle w:val="ListBullet"/>
      </w:pPr>
      <w:r>
        <w:t>проговаривает правила разговора;</w:t>
      </w:r>
    </w:p>
    <w:p>
      <w:pPr>
        <w:pStyle w:val="ListBullet"/>
      </w:pPr>
      <w:r>
        <w:t>представляет гостей и их контекст;</w:t>
      </w:r>
    </w:p>
    <w:p>
      <w:pPr>
        <w:pStyle w:val="ListBullet"/>
      </w:pPr>
      <w:r>
        <w:t>обозначает, когда аудитория сможет задать вопросы.</w:t>
      </w:r>
    </w:p>
    <w:p>
      <w:r>
        <w:rPr>
          <w:b/>
          <w:sz w:val="32"/>
        </w:rPr>
        <w:t>Этап 3. Разговор с гостями (20–40 минут)</w:t>
      </w:r>
    </w:p>
    <w:p>
      <w:pPr>
        <w:pStyle w:val="ListBullet"/>
      </w:pPr>
      <w:r>
        <w:t>ведущий задаёт подготовленные вопросы;</w:t>
      </w:r>
    </w:p>
    <w:p>
      <w:pPr>
        <w:pStyle w:val="ListBullet"/>
      </w:pPr>
      <w:r>
        <w:t>гости отвечают кратко, опираясь на личный опыт;</w:t>
      </w:r>
    </w:p>
    <w:p>
      <w:pPr>
        <w:pStyle w:val="ListBullet"/>
      </w:pPr>
      <w:r>
        <w:t>ответ одного гостя — до 2–3 минут;</w:t>
      </w:r>
    </w:p>
    <w:p>
      <w:pPr>
        <w:pStyle w:val="ListBullet"/>
      </w:pPr>
      <w:r>
        <w:t>ведущий останавливает ответы, если они становятся слишком длинными или уходят от темы, и передаёт слово другому гостю;</w:t>
      </w:r>
    </w:p>
    <w:p>
      <w:pPr>
        <w:pStyle w:val="ListBullet"/>
      </w:pPr>
      <w:r>
        <w:t>ведущий возвращает разговор к основной теме.</w:t>
      </w:r>
    </w:p>
    <w:p>
      <w:r>
        <w:rPr>
          <w:b/>
          <w:sz w:val="32"/>
        </w:rPr>
        <w:t>Этап 4. Вопросы от аудитории (15–30 минут)</w:t>
      </w:r>
    </w:p>
    <w:p>
      <w:pPr>
        <w:pStyle w:val="ListBullet"/>
      </w:pPr>
      <w:r>
        <w:t>аудитория задаёт вопросы:</w:t>
      </w:r>
    </w:p>
    <w:p>
      <w:pPr>
        <w:pStyle w:val="ListBullet"/>
      </w:pPr>
      <w:r>
        <w:t>устно из зала;</w:t>
      </w:r>
    </w:p>
    <w:p>
      <w:pPr>
        <w:pStyle w:val="ListBullet"/>
      </w:pPr>
      <w:r>
        <w:t>через карточки или чат;</w:t>
      </w:r>
    </w:p>
    <w:p>
      <w:pPr>
        <w:pStyle w:val="ListBullet"/>
      </w:pPr>
      <w:r>
        <w:t>ведущий:</w:t>
      </w:r>
    </w:p>
    <w:p>
      <w:pPr>
        <w:pStyle w:val="ListBullet"/>
      </w:pPr>
      <w:r>
        <w:t>отбирает и при необходимости переформулирует вопросы для ясности;</w:t>
      </w:r>
    </w:p>
    <w:p>
      <w:pPr>
        <w:pStyle w:val="ListBullet"/>
      </w:pPr>
      <w:r>
        <w:t>следит за уважительным тоном;</w:t>
      </w:r>
    </w:p>
    <w:p>
      <w:pPr>
        <w:pStyle w:val="ListBullet"/>
      </w:pPr>
      <w:r>
        <w:t>распределяет вопросы между гостями.</w:t>
      </w:r>
    </w:p>
    <w:p>
      <w:r>
        <w:rPr>
          <w:b/>
          <w:sz w:val="32"/>
        </w:rPr>
        <w:t>Этап 5. Завершение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подводит краткий итог;</w:t>
      </w:r>
    </w:p>
    <w:p>
      <w:pPr>
        <w:pStyle w:val="ListBullet"/>
      </w:pPr>
      <w:r>
        <w:t>связывает разговор с дальнейшей программой саммита;</w:t>
      </w:r>
    </w:p>
    <w:p>
      <w:pPr>
        <w:pStyle w:val="ListBullet"/>
      </w:pPr>
      <w:r>
        <w:t>благодарит гостей и аудиторию.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Требования к теме</w:t>
      </w:r>
    </w:p>
    <w:p>
      <w:r>
        <w:rPr>
          <w:b/>
          <w:sz w:val="32"/>
        </w:rPr>
        <w:t>Тема должна быть:</w:t>
      </w:r>
    </w:p>
    <w:p>
      <w:pPr>
        <w:pStyle w:val="ListBullet"/>
      </w:pPr>
      <w:r>
        <w:t>актуальной для местного контекста;</w:t>
      </w:r>
    </w:p>
    <w:p>
      <w:pPr>
        <w:pStyle w:val="ListBullet"/>
      </w:pPr>
      <w:r>
        <w:t>понятной широкой аудитории;</w:t>
      </w:r>
    </w:p>
    <w:p>
      <w:pPr>
        <w:pStyle w:val="ListBullet"/>
      </w:pPr>
      <w:r>
        <w:t>не предполагающей полярных «за» и «против».</w:t>
      </w:r>
    </w:p>
    <w:p>
      <w:r>
        <w:rPr>
          <w:b/>
          <w:sz w:val="32"/>
        </w:rPr>
        <w:t>Примеры тем</w:t>
      </w:r>
    </w:p>
    <w:p>
      <w:pPr>
        <w:pStyle w:val="ListBullet"/>
      </w:pPr>
      <w:r>
        <w:t>«Зачем городу нужны НКО и сообщества»</w:t>
      </w:r>
    </w:p>
    <w:p>
      <w:pPr>
        <w:pStyle w:val="ListBullet"/>
      </w:pPr>
      <w:r>
        <w:t>«Как жители и НКО могут работать вместе»</w:t>
      </w:r>
    </w:p>
    <w:p>
      <w:pPr>
        <w:pStyle w:val="ListBullet"/>
      </w:pPr>
      <w:r>
        <w:t>«Почему социальные инициативы не всегда заметны»</w:t>
      </w:r>
    </w:p>
    <w:p>
      <w:pPr>
        <w:pStyle w:val="ListBullet"/>
      </w:pPr>
      <w:r>
        <w:t>«Что мешает людям включаться в волонтёрство»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формат строится вокруг одной темы;</w:t>
      </w:r>
    </w:p>
    <w:p>
      <w:pPr>
        <w:pStyle w:val="ListBullet"/>
      </w:pPr>
      <w:r>
        <w:t>ведущий управляет темпом и следит за рамкой разговора;</w:t>
      </w:r>
    </w:p>
    <w:p>
      <w:pPr>
        <w:pStyle w:val="ListBullet"/>
      </w:pPr>
      <w:r>
        <w:t>гости делятся опытом, а не спорят между собой;</w:t>
      </w:r>
    </w:p>
    <w:p>
      <w:pPr>
        <w:pStyle w:val="ListBullet"/>
      </w:pPr>
      <w:r>
        <w:t>аудитория задаёт вопросы в отдельном блоке, а не по ходу разговора;</w:t>
      </w:r>
    </w:p>
    <w:p>
      <w:pPr>
        <w:pStyle w:val="ListBullet"/>
      </w:pPr>
      <w:r>
        <w:t>цель — прояснение и вовлечение, а не поиск решений.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