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Конференция в стиле TED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до 100 человек.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офлайн;</w:t>
            </w:r>
          </w:p>
          <w:p>
            <w:pPr>
              <w:pStyle w:val="ListBullet"/>
            </w:pPr>
            <w:r>
              <w:t>продолжительность мероприятия — от нескольких часов до целого дня.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рассадка лицом к выступающему (театральная или аналогичная).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помещение, позволяющее провести серию выступлений подряд;</w:t>
            </w:r>
          </w:p>
          <w:p>
            <w:pPr>
              <w:pStyle w:val="ListBullet"/>
            </w:pPr>
            <w:r>
              <w:t>хорошая видимость и слышимость для аудитории.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оборудование для записи видео выступлений;</w:t>
            </w:r>
          </w:p>
          <w:p>
            <w:pPr>
              <w:pStyle w:val="ListBullet"/>
            </w:pPr>
            <w:r>
              <w:t>базовые условия для звука и показа (при необходимости);</w:t>
            </w:r>
          </w:p>
          <w:p>
            <w:pPr>
              <w:pStyle w:val="ListBullet"/>
            </w:pPr>
            <w:r>
              <w:t>презентации спикеров — по желанию.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организатор/координатор мероприятия;</w:t>
            </w:r>
          </w:p>
          <w:p>
            <w:pPr>
              <w:pStyle w:val="ListBullet"/>
            </w:pPr>
            <w:r>
              <w:t>ведущий;</w:t>
            </w:r>
          </w:p>
          <w:p>
            <w:pPr>
              <w:pStyle w:val="ListBullet"/>
            </w:pPr>
            <w:r>
              <w:t>техническая команда для записи и обеспечения выступлений;</w:t>
            </w:r>
          </w:p>
          <w:p>
            <w:pPr>
              <w:pStyle w:val="ListBullet"/>
            </w:pPr>
            <w:r>
              <w:t>фотограф и/или видеооператор.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