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Дмтриевна,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№8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модели конкуренции двух фирм.</w:t>
      </w:r>
    </w:p>
    <w:bookmarkEnd w:id="20"/>
    <w:bookmarkStart w:id="24" w:name="теоретичсекое-введение"/>
    <w:p>
      <w:pPr>
        <w:pStyle w:val="Heading1"/>
      </w:pPr>
      <w:r>
        <w:rPr>
          <w:bCs/>
          <w:b/>
        </w:rPr>
        <w:t xml:space="preserve">Теоретичсекое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 M – оборотные средства предприятия τ – длительность производственного цикла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рыночная цена товара</w:t>
      </w:r>
      <w:r>
        <w:t xml:space="preserve"> </w:t>
      </w:r>
      <m:oMath>
        <m:r>
          <m:t>p</m:t>
        </m:r>
        <m:r>
          <m:rPr>
            <m:sty m:val="p"/>
          </m:rPr>
          <m:t>̃</m:t>
        </m:r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 Функцию спроса товаров долговременного использования часто представляют в простейшей форме:</w:t>
      </w:r>
    </w:p>
    <w:p>
      <w:pPr>
        <w:pStyle w:val="CaptionedFigure"/>
      </w:pPr>
      <w:r>
        <w:drawing>
          <wp:inline>
            <wp:extent cx="1982804" cy="587141"/>
            <wp:effectExtent b="0" l="0" r="0" t="0"/>
            <wp:docPr descr="Функция спроса товаров долговременного использования" title="Функция спроса товаров долговременного использования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спроса товаров долговременного использования</w:t>
      </w:r>
    </w:p>
    <w:p>
      <w:pPr>
        <w:pStyle w:val="BodyText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p</m:t>
        </m:r>
        <m:r>
          <m:t>c</m:t>
        </m:r>
        <m:r>
          <m:t>r</m:t>
        </m:r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r>
          <m:t>p</m:t>
        </m:r>
        <m:r>
          <m:t>c</m:t>
        </m:r>
        <m:r>
          <m:t>r</m:t>
        </m:r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r>
          <m:t>p</m:t>
        </m:r>
        <m:r>
          <m:t>c</m:t>
        </m:r>
        <m:r>
          <m:t>r</m:t>
        </m:r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CaptionedFigure"/>
      </w:pPr>
      <w:r>
        <w:drawing>
          <wp:inline>
            <wp:extent cx="3994484" cy="673768"/>
            <wp:effectExtent b="0" l="0" r="0" t="0"/>
            <wp:docPr descr="Уравнения динамики оборотных средств" title="Уравнения динамики оборотных средств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Уравнения динамики оборотных средств</w:t>
      </w:r>
    </w:p>
    <w:p>
      <w:pPr>
        <w:pStyle w:val="BodyText"/>
      </w:pPr>
      <w:r>
        <w:t xml:space="preserve">После некоторых преобразований получаем два состояния стационарных значений</w:t>
      </w:r>
      <w:r>
        <w:t xml:space="preserve"> </w:t>
      </w:r>
      <m:oMath>
        <m:r>
          <m:t>M</m:t>
        </m:r>
      </m:oMath>
      <w:r>
        <w:t xml:space="preserve">:</w:t>
      </w:r>
    </w:p>
    <w:p>
      <w:pPr>
        <w:pStyle w:val="CaptionedFigure"/>
      </w:pPr>
      <w:r>
        <w:drawing>
          <wp:inline>
            <wp:extent cx="3368842" cy="616016"/>
            <wp:effectExtent b="0" l="0" r="0" t="0"/>
            <wp:docPr descr="Стационарные значения M после преобразования" title="Стационарные значения M после преобразования]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Стационарные значения M после преобразования</w:t>
      </w:r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−</m:t>
        </m:r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 M- 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</w:t>
      </w:r>
    </w:p>
    <w:bookmarkEnd w:id="24"/>
    <w:bookmarkStart w:id="29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bookmarkStart w:id="28" w:name="вариант-37"/>
    <w:p>
      <w:pPr>
        <w:pStyle w:val="Heading3"/>
      </w:pPr>
      <w:r>
        <w:rPr>
          <w:bCs/>
          <w:b/>
        </w:rPr>
        <w:t xml:space="preserve">Вариант 37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CaptionedFigure"/>
      </w:pPr>
      <w:r>
        <w:drawing>
          <wp:inline>
            <wp:extent cx="5334000" cy="1693734"/>
            <wp:effectExtent b="0" l="0" r="0" t="0"/>
            <wp:docPr descr="Система уравнений для модели варианта-37. Случай 1" title="Система уравнений для модели варианта-37. Случай 1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 для модели варианта-37. Случай 1</w:t>
      </w:r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r>
          <m:t>M</m:t>
        </m:r>
        <m:r>
          <m:t>1</m:t>
        </m:r>
        <m:r>
          <m:t>M</m:t>
        </m:r>
        <m:r>
          <m:t>2</m:t>
        </m:r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CaptionedFigure"/>
      </w:pPr>
      <w:r>
        <w:drawing>
          <wp:inline>
            <wp:extent cx="3657600" cy="1424538"/>
            <wp:effectExtent b="0" l="0" r="0" t="0"/>
            <wp:docPr descr="Система уравнений для модели варианта-37. Случай 2" title="Система уравнений для модели варианта-37. Случай 2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Система уравнений для модели варианта-37. Случай 2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CaptionedFigure"/>
      </w:pPr>
      <w:r>
        <w:drawing>
          <wp:inline>
            <wp:extent cx="2646947" cy="1193532"/>
            <wp:effectExtent b="0" l="0" r="0" t="0"/>
            <wp:docPr descr="Начальные условия и параметры для модели варианта-37" title="Начальные условия и параметры для модели варианта-37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947" cy="1193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Начальные условия и параметры для модели варианта-37</w:t>
      </w:r>
    </w:p>
    <w:p>
      <w:pPr>
        <w:pStyle w:val="BodyTex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BodyText"/>
      </w:pPr>
      <w:r>
        <w:t xml:space="preserve">Постройте графики изменения оборотных средств фирмы 1 и фирмы 2 без учета постоянных издержек и с веденной нормировкой для случая 2.</w:t>
      </w:r>
      <w:r>
        <w:t xml:space="preserve"> </w:t>
      </w:r>
      <w:r>
        <w:t xml:space="preserve">Выполнение лабораторной работы</w:t>
      </w:r>
      <w:r>
        <w:t xml:space="preserve"> </w:t>
      </w:r>
      <w:r>
        <w:t xml:space="preserve">Построение модели конкуренции двух фирм</w:t>
      </w:r>
    </w:p>
    <w:bookmarkEnd w:id="28"/>
    <w:bookmarkEnd w:id="29"/>
    <w:bookmarkStart w:id="34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Чтобы построить графики изменения оборотных средств фирмы 1 и фирмы 2 без учета постоянных издержек и с веденной нормировкой для случая 1, написали следующий код:</w:t>
      </w:r>
    </w:p>
    <w:p>
      <w:pPr>
        <w:pStyle w:val="CaptionedFigure"/>
      </w:pPr>
      <w:r>
        <w:drawing>
          <wp:inline>
            <wp:extent cx="5334000" cy="2455752"/>
            <wp:effectExtent b="0" l="0" r="0" t="0"/>
            <wp:docPr descr="Код для построения графиков изменения оборотных средств в варианте. Случай 1" title="Код для построения графиков изменения оборотных средств в варианте. Случай 1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построения графиков изменения оборотных средств в варианте. Случай 1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r>
        <w:drawing>
          <wp:inline>
            <wp:extent cx="5334000" cy="2523990"/>
            <wp:effectExtent b="0" l="0" r="0" t="0"/>
            <wp:docPr descr="График модели конкуренции двух фирм. Случай 1" title="График модели конкуренции двух фирм. Случай 1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конкуренции двух фирм. Случай 1</w:t>
      </w:r>
    </w:p>
    <w:p>
      <w:pPr>
        <w:pStyle w:val="BodyText"/>
      </w:pPr>
      <w:r>
        <w:t xml:space="preserve">Чтобы построить графики изменения оборотных средств фирмы 1 и фирмы 2 без учета постоянных издержек и с веденной нормировкой для случая 2, я написал следующий код:</w:t>
      </w:r>
    </w:p>
    <w:p>
      <w:pPr>
        <w:pStyle w:val="CaptionedFigure"/>
      </w:pPr>
      <w:r>
        <w:drawing>
          <wp:inline>
            <wp:extent cx="5334000" cy="2595608"/>
            <wp:effectExtent b="0" l="0" r="0" t="0"/>
            <wp:docPr descr="Код для построения графиков изменения оборотных средств в варианте. Случай 2" title="Код для построения графиков изменения оборотных средств в варианте. Случай 2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для построения графиков изменения оборотных средств в варианте. Случай 2</w:t>
      </w:r>
    </w:p>
    <w:p>
      <w:pPr>
        <w:pStyle w:val="BodyText"/>
      </w:pPr>
      <w:r>
        <w:t xml:space="preserve">Полученный график:</w:t>
      </w:r>
    </w:p>
    <w:p>
      <w:pPr>
        <w:pStyle w:val="CaptionedFigure"/>
      </w:pPr>
      <w:r>
        <w:drawing>
          <wp:inline>
            <wp:extent cx="5334000" cy="2442919"/>
            <wp:effectExtent b="0" l="0" r="0" t="0"/>
            <wp:docPr descr="График модели конкуренции двух фирм. Случай 2" title="График модели конкуренции двух фирм. Случай 2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конкуренции двух фирм. Случай 2</w:t>
      </w:r>
    </w:p>
    <w:bookmarkEnd w:id="34"/>
    <w:bookmarkStart w:id="35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Научилися выполнять построение модели конкуренции двух фирм без учета постоянных издержек и с веденной нормировкой в OpenModelica.</w:t>
      </w:r>
    </w:p>
    <w:bookmarkEnd w:id="35"/>
    <w:bookmarkStart w:id="36" w:name="список-литературы"/>
    <w:p>
      <w:pPr>
        <w:pStyle w:val="Heading1"/>
      </w:pPr>
      <w:r>
        <w:rPr>
          <w:bCs/>
          <w:b/>
        </w:rPr>
        <w:t xml:space="preserve">Список литературы</w:t>
      </w:r>
    </w:p>
    <w:p>
      <w:pPr>
        <w:pStyle w:val="FirstParagraph"/>
      </w:pPr>
      <w:r>
        <w:t xml:space="preserve">Кулябов, Д.С. - Модель конкуренции двух фирм</w:t>
      </w:r>
      <w:r>
        <w:t xml:space="preserve"> </w:t>
      </w:r>
      <w:r>
        <w:t xml:space="preserve">https://esystem.rudn.ru/pluginfile.php/1343905/mod_resource/content/2/Лабораторная%20работа%20№%207.pdf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Попова Юлия Дмтриевна, НФИбд-03-19</dc:creator>
  <dc:language>ru-RU</dc:language>
  <cp:keywords/>
  <dcterms:created xsi:type="dcterms:W3CDTF">2022-04-02T16:06:27Z</dcterms:created>
  <dcterms:modified xsi:type="dcterms:W3CDTF">2022-04-02T16:06:27Z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arp">
    <vt:lpwstr>false - 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polyglossia-lang">
    <vt:lpwstr/>
  </property>
  <property fmtid="{D5CDD505-2E9C-101B-9397-08002B2CF9AE}" pid="21" name="polyglossia-otherlangs">
    <vt:lpwstr/>
  </property>
  <property fmtid="{D5CDD505-2E9C-101B-9397-08002B2CF9AE}" pid="22" name="romanfont">
    <vt:lpwstr>PT Serif</vt:lpwstr>
  </property>
  <property fmtid="{D5CDD505-2E9C-101B-9397-08002B2CF9AE}" pid="23" name="romanfontoptions">
    <vt:lpwstr>Ligatures=TeX</vt:lpwstr>
  </property>
  <property fmtid="{D5CDD505-2E9C-101B-9397-08002B2CF9AE}" pid="24" name="sansfont">
    <vt:lpwstr>PT Sans</vt:lpwstr>
  </property>
  <property fmtid="{D5CDD505-2E9C-101B-9397-08002B2CF9AE}" pid="25" name="sansfontoptions">
    <vt:lpwstr>Ligatures=TeX,Scale=MatchLowercase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