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png" ContentType="image/png"/>
  <Override PartName="/word/media/rId25.jpg" ContentType="image/jpeg"/>
  <Override PartName="/word/media/rId26.png" ContentType="image/png"/>
  <Override PartName="/word/media/rId27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№4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Преподаватель: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гармонических колебаний.</w:t>
      </w:r>
    </w:p>
    <w:bookmarkEnd w:id="20"/>
    <w:bookmarkStart w:id="21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rPr>
          <w:bCs/>
          <w:b/>
        </w:rPr>
        <w:t xml:space="preserve">Вариант 37</w:t>
      </w:r>
    </w:p>
    <w:p>
      <w:pPr>
        <w:pStyle w:val="BodyText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16</m:t>
        </m:r>
        <m:r>
          <m:t>x</m:t>
        </m:r>
        <m:r>
          <m:rPr>
            <m:sty m:val="p"/>
          </m:rPr>
          <m:t>=</m:t>
        </m:r>
        <m:r>
          <m:t>0.5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68</m:t>
        </m:r>
        <m:r>
          <m:rPr>
            <m:sty m:val="p"/>
          </m:rPr>
          <m:t>]</m:t>
        </m:r>
      </m:oMath>
      <w:r>
        <w:t xml:space="preserve"> </w:t>
      </w:r>
      <w:r>
        <w:t xml:space="preserve">с шагом 0.05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1.8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</m:oMath>
    </w:p>
    <w:bookmarkEnd w:id="21"/>
    <w:bookmarkStart w:id="22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pStyle w:val="FirstParagraph"/>
      </w:pPr>
      <w:r>
        <w:t xml:space="preserve">Гармонические колебания - колебания, при которых физическая величина изменяется с течением времени по гармоническому закону.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γ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ω</m:t>
        </m:r>
        <m:sSup>
          <m:e>
            <m:r>
              <m:t>0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кондинсатора и тд.),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энергии,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Для однозначной разрешимости уравнения второго порядка необходимо задать два начальных условия вида: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данной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 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 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drawing>
          <wp:inline>
            <wp:extent cx="4572000" cy="3048000"/>
            <wp:effectExtent b="0" l="0" r="0" t="0"/>
            <wp:docPr descr="Программа в OpenModelica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458811"/>
            <wp:effectExtent b="0" l="0" r="0" t="0"/>
            <wp:docPr descr="Фазовый портрет для колебаний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drawing>
          <wp:inline>
            <wp:extent cx="3876675" cy="3286125"/>
            <wp:effectExtent b="0" l="0" r="0" t="0"/>
            <wp:docPr descr="Программа в OpenModelica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458811"/>
            <wp:effectExtent b="0" l="0" r="0" t="0"/>
            <wp:docPr descr="Фазовый портрет для колебаний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16</m:t>
        </m:r>
        <m:r>
          <m:t>x</m:t>
        </m:r>
        <m:r>
          <m:rPr>
            <m:sty m:val="p"/>
          </m:rPr>
          <m:t>=</m:t>
        </m:r>
        <m:r>
          <m:t>0.5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drawing>
          <wp:inline>
            <wp:extent cx="4352925" cy="3152775"/>
            <wp:effectExtent b="0" l="0" r="0" t="0"/>
            <wp:docPr descr="Программа в OpenModelica" title="" id="1" name="Picture"/>
            <a:graphic>
              <a:graphicData uri="http://schemas.openxmlformats.org/drawingml/2006/picture">
                <pic:pic>
                  <pic:nvPicPr>
                    <pic:cNvPr descr="5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458811"/>
            <wp:effectExtent b="0" l="0" r="0" t="0"/>
            <wp:docPr descr="Фазовый портрет для колебаний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рассмотрели и построили модель гармонических колебаний.</w:t>
      </w:r>
    </w:p>
    <w:bookmarkEnd w:id="30"/>
    <w:bookmarkStart w:id="3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Гармонические колебания - https://skysmart.ru/articles/physics/garmonicheskie-kolebaniya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png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7" Target="media/rId27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2022-03-05T17:27:15Z</dcterms:created>
  <dcterms:modified xsi:type="dcterms:W3CDTF">2022-03-05T17:27:15Z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