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240" w:before="240" w:line="240" w:lineRule="auto"/>
        <w:rPr/>
      </w:pPr>
      <w:bookmarkStart w:colFirst="0" w:colLast="0" w:name="_h9ybenv2iimc" w:id="0"/>
      <w:bookmarkEnd w:id="0"/>
      <w:r w:rsidDel="00000000" w:rsidR="00000000" w:rsidRPr="00000000">
        <w:rPr>
          <w:rtl w:val="0"/>
        </w:rPr>
        <w:t xml:space="preserve">Podsumowanie Etapu II</w:t>
      </w:r>
    </w:p>
    <w:p w:rsidR="00000000" w:rsidDel="00000000" w:rsidP="00000000" w:rsidRDefault="00000000" w:rsidRPr="00000000" w14:paraId="0000000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MODELE GŁĘBOKIEGO UCZENIA ORAZ TRANSFER LEARNING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color w:val="434343"/>
          <w:sz w:val="34"/>
          <w:szCs w:val="34"/>
        </w:rPr>
      </w:pPr>
      <w:bookmarkStart w:colFirst="0" w:colLast="0" w:name="_cpnok5fo3hr3" w:id="1"/>
      <w:bookmarkEnd w:id="1"/>
      <w:r w:rsidDel="00000000" w:rsidR="00000000" w:rsidRPr="00000000">
        <w:rPr>
          <w:b w:val="1"/>
          <w:bCs w:val="1"/>
          <w:color w:val="434343"/>
          <w:sz w:val="34"/>
          <w:szCs w:val="34"/>
          <w:rtl w:val="0"/>
        </w:rPr>
        <w:t xml:space="preserve">1. Cel etapu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Celem drugiego etapu projektu było zaprojektowanie, wytrenowanie oraz porównanie różnych architektur sieci neuronowych przeznaczonych do rozpoznawania emocji na podstawie obrazów twarzy. W szczególności skupiono się na porównaniu skuteczności: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własnej głębokiej konwolucyjnej sieci neuronowej (CNN),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modelu wykorzystującego transfer learning (MobileNetV2),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wariantu transfer learning z fine-tuningiem,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oraz wpływu techniki label smoothing na proces uczenia.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Celem dodatkowym było przeprowadzenie szczegółowej analizy wyników z wykorzystaniem macierzy pomyłek, metryk per-klasowych oraz analizy błędnych predykcji.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lineRule="auto"/>
        <w:rPr>
          <w:b w:val="1"/>
          <w:bCs w:val="1"/>
          <w:color w:val="434343"/>
          <w:sz w:val="34"/>
          <w:szCs w:val="34"/>
        </w:rPr>
      </w:pPr>
      <w:bookmarkStart w:colFirst="0" w:colLast="0" w:name="_1vaou1nkkh71" w:id="2"/>
      <w:bookmarkEnd w:id="2"/>
      <w:r w:rsidDel="00000000" w:rsidR="00000000" w:rsidRPr="00000000">
        <w:rPr>
          <w:b w:val="1"/>
          <w:bCs w:val="1"/>
          <w:color w:val="434343"/>
          <w:sz w:val="34"/>
          <w:szCs w:val="34"/>
          <w:rtl w:val="0"/>
        </w:rPr>
        <w:t xml:space="preserve">2. Zaimplementowane modele</w:t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280" w:lineRule="auto"/>
        <w:rPr>
          <w:b w:val="1"/>
          <w:bCs w:val="1"/>
          <w:sz w:val="26"/>
          <w:szCs w:val="26"/>
        </w:rPr>
      </w:pPr>
      <w:bookmarkStart w:colFirst="0" w:colLast="0" w:name="_svni8xon7c4d" w:id="3"/>
      <w:bookmarkEnd w:id="3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2.1. Bazowy model CNN</w:t>
      </w:r>
    </w:p>
    <w:p w:rsidR="00000000" w:rsidDel="00000000" w:rsidP="00000000" w:rsidRDefault="00000000" w:rsidRPr="00000000" w14:paraId="0000000E">
      <w:pPr>
        <w:keepNext w:val="0"/>
        <w:keepLines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Zaimplementowano własną głęboką konwolucyjną sieć neuronową składającą się z pięciu warstw konwolucyjnych z funkcją aktywacji ReLU. W architekturze wykorzystano:</w:t>
      </w:r>
    </w:p>
    <w:p w:rsidR="00000000" w:rsidDel="00000000" w:rsidP="00000000" w:rsidRDefault="00000000" w:rsidRPr="00000000" w14:paraId="0000000F">
      <w:pPr>
        <w:keepNext w:val="0"/>
        <w:keepLines w:val="0"/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warstwy Batch Normalization,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warstwy MaxPooling,</w:t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warstwy Dropout w celu redukcji overfittingu,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warstwę w pełni połączoną (Dense),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warstwę wyjściową Softmax dla 7 klas emocji.</w:t>
      </w:r>
    </w:p>
    <w:p w:rsidR="00000000" w:rsidDel="00000000" w:rsidP="00000000" w:rsidRDefault="00000000" w:rsidRPr="00000000" w14:paraId="00000014">
      <w:pPr>
        <w:keepNext w:val="0"/>
        <w:keepLines w:val="0"/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Model trenowany był z użyciem optymalizatora Adam oraz funkcji straty categorical crossentropy.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rPr>
          <w:b w:val="1"/>
          <w:bCs w:val="1"/>
          <w:sz w:val="26"/>
          <w:szCs w:val="26"/>
        </w:rPr>
      </w:pPr>
      <w:bookmarkStart w:colFirst="0" w:colLast="0" w:name="_25cj2bb6wj8s" w:id="4"/>
      <w:bookmarkEnd w:id="4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2.2. CNN z label smoothing</w:t>
      </w:r>
    </w:p>
    <w:p w:rsidR="00000000" w:rsidDel="00000000" w:rsidP="00000000" w:rsidRDefault="00000000" w:rsidRPr="00000000" w14:paraId="00000016">
      <w:pPr>
        <w:keepNext w:val="0"/>
        <w:keepLines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W kolejnym eksperymencie zastosowano technikę label smoothing, która polega na lekkim wygładzeniu etykiet klas, aby ograniczyć nadmierną pewność modelu podczas uczenia.</w:t>
      </w:r>
    </w:p>
    <w:p w:rsidR="00000000" w:rsidDel="00000000" w:rsidP="00000000" w:rsidRDefault="00000000" w:rsidRPr="00000000" w14:paraId="00000017">
      <w:pPr>
        <w:keepNext w:val="0"/>
        <w:keepLines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Celem było sprawdzenie, czy zmniejszenie pewności etykiet wpłynie na poprawę generalizacji modelu.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b w:val="1"/>
          <w:bCs w:val="1"/>
          <w:sz w:val="26"/>
          <w:szCs w:val="26"/>
        </w:rPr>
      </w:pPr>
      <w:bookmarkStart w:colFirst="0" w:colLast="0" w:name="_h2ieqywodok9" w:id="5"/>
      <w:bookmarkEnd w:id="5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2.3. Transfer Learning – MobileNetV2</w:t>
      </w:r>
    </w:p>
    <w:p w:rsidR="00000000" w:rsidDel="00000000" w:rsidP="00000000" w:rsidRDefault="00000000" w:rsidRPr="00000000" w14:paraId="00000019">
      <w:pPr>
        <w:keepNext w:val="0"/>
        <w:keepLines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W trzecim eksperymencie wykorzystano architekturę MobileNetV2 wstępnie wytrenowaną na zbiorze ImageNet. Warstwy bazowe zostały zamrożone, a na ich wyjściu dodano własną głowicę klasyfikacyjną dostosowaną do problemu rozpoznawania emocji.</w:t>
      </w:r>
    </w:p>
    <w:p w:rsidR="00000000" w:rsidDel="00000000" w:rsidP="00000000" w:rsidRDefault="00000000" w:rsidRPr="00000000" w14:paraId="0000001A">
      <w:pPr>
        <w:keepNext w:val="0"/>
        <w:keepLines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Obrazy wejściowe zostały przeskalowane do rozdzielczości 224×224 oraz przekonwertowane do formatu RGB zgodnie z wymaganiami MobileNetV2.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b w:val="1"/>
          <w:bCs w:val="1"/>
          <w:sz w:val="26"/>
          <w:szCs w:val="26"/>
        </w:rPr>
      </w:pPr>
      <w:bookmarkStart w:colFirst="0" w:colLast="0" w:name="_t5g14zxb73ld" w:id="6"/>
      <w:bookmarkEnd w:id="6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2.4. Transfer Learning z fine-tuningiem</w:t>
      </w:r>
    </w:p>
    <w:p w:rsidR="00000000" w:rsidDel="00000000" w:rsidP="00000000" w:rsidRDefault="00000000" w:rsidRPr="00000000" w14:paraId="0000001C">
      <w:pPr>
        <w:keepNext w:val="0"/>
        <w:keepLines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W ostatnim wariancie odblokowano górne warstwy modelu bazowego MobileNetV2 i przeprowadzono fine-tuning z niską wartością learning rate. Pozwoliło to na częściową adaptację cech niskopoziomowych do domeny obrazów twarzy.</w:t>
      </w:r>
    </w:p>
    <w:p w:rsidR="00000000" w:rsidDel="00000000" w:rsidP="00000000" w:rsidRDefault="00000000" w:rsidRPr="00000000" w14:paraId="0000001D">
      <w:pPr>
        <w:keepNext w:val="0"/>
        <w:keepLines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sz w:val="34"/>
          <w:szCs w:val="34"/>
        </w:rPr>
      </w:pPr>
      <w:bookmarkStart w:colFirst="0" w:colLast="0" w:name="_5qv957o8y9c9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Porównanie modeli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70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35"/>
        <w:gridCol w:w="3755"/>
        <w:tblGridChange w:id="0">
          <w:tblGrid>
            <w:gridCol w:w="3335"/>
            <w:gridCol w:w="37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Najlepsza dokładność walidacyjna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CNN baseline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0.597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CNN + Label smoothing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0.600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Transfer Learning (frozen)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0.534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Transfer Learning + Fine-tuning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0.602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Najlepszy wynik osiągnął model transfer learning z fine-tuningiem, dlatego został on wybrany jako model końcowy.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80" w:lineRule="auto"/>
        <w:rPr>
          <w:b w:val="1"/>
          <w:bCs w:val="1"/>
          <w:color w:val="434343"/>
          <w:sz w:val="34"/>
          <w:szCs w:val="34"/>
        </w:rPr>
      </w:pPr>
      <w:bookmarkStart w:colFirst="0" w:colLast="0" w:name="_boc9hvxi0hij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80" w:lineRule="auto"/>
        <w:rPr>
          <w:b w:val="1"/>
          <w:bCs w:val="1"/>
          <w:color w:val="434343"/>
          <w:sz w:val="34"/>
          <w:szCs w:val="34"/>
        </w:rPr>
      </w:pPr>
      <w:bookmarkStart w:colFirst="0" w:colLast="0" w:name="_5se8mwjxsuvt" w:id="9"/>
      <w:bookmarkEnd w:id="9"/>
      <w:r w:rsidDel="00000000" w:rsidR="00000000" w:rsidRPr="00000000">
        <w:rPr>
          <w:b w:val="1"/>
          <w:bCs w:val="1"/>
          <w:color w:val="434343"/>
          <w:sz w:val="34"/>
          <w:szCs w:val="34"/>
          <w:rtl w:val="0"/>
        </w:rPr>
        <w:t xml:space="preserve">4. Krzywe uczenia (Learning Curves)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 wykresach treningowych widoczny jest: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systematyczny spadek wartości funkcji straty dla zbioru treningowego,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wolniejszy spadek funkcji straty dla zbioru walidacyjnego,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wzrost dokładności treningowej do poziomu ok. 90%,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stabilizacja dokładności walidacyjnej w okolicach 60%.</w:t>
        <w:br w:type="textWrapping"/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Zaobserwowany rozdźwięk pomiędzy krzywą treningową i walidacyjną wskazuje na umiarkowany overfitting, typowy dla problemów opartych o FER2013.</w:t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lineRule="auto"/>
        <w:rPr>
          <w:b w:val="1"/>
          <w:bCs w:val="1"/>
          <w:color w:val="434343"/>
          <w:sz w:val="34"/>
          <w:szCs w:val="34"/>
        </w:rPr>
      </w:pPr>
      <w:bookmarkStart w:colFirst="0" w:colLast="0" w:name="_v30n935two58" w:id="10"/>
      <w:bookmarkEnd w:id="10"/>
      <w:r w:rsidDel="00000000" w:rsidR="00000000" w:rsidRPr="00000000">
        <w:rPr>
          <w:b w:val="1"/>
          <w:bCs w:val="1"/>
          <w:color w:val="434343"/>
          <w:sz w:val="34"/>
          <w:szCs w:val="34"/>
          <w:rtl w:val="0"/>
        </w:rPr>
        <w:t xml:space="preserve">5. Macierz pomyłek (Confusion Matrix)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Macierz pomyłek pokazuje, że: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Najlepiej rozpoznawaną klasą jest </w:t>
      </w:r>
      <w:r w:rsidDel="00000000" w:rsidR="00000000" w:rsidRPr="00000000">
        <w:rPr>
          <w:b w:val="1"/>
          <w:bCs w:val="1"/>
          <w:rtl w:val="0"/>
        </w:rPr>
        <w:t xml:space="preserve">Happy</w:t>
      </w:r>
      <w:r w:rsidDel="00000000" w:rsidR="00000000" w:rsidRPr="00000000">
        <w:rPr>
          <w:rtl w:val="0"/>
        </w:rPr>
        <w:t xml:space="preserve">, co potwierdzają wysokie wartości na przekątnej macierzy.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Klasa </w:t>
      </w:r>
      <w:r w:rsidDel="00000000" w:rsidR="00000000" w:rsidRPr="00000000">
        <w:rPr>
          <w:b w:val="1"/>
          <w:bCs w:val="1"/>
          <w:rtl w:val="0"/>
        </w:rPr>
        <w:t xml:space="preserve">Neutral</w:t>
      </w:r>
      <w:r w:rsidDel="00000000" w:rsidR="00000000" w:rsidRPr="00000000">
        <w:rPr>
          <w:rtl w:val="0"/>
        </w:rPr>
        <w:t xml:space="preserve"> również osiąga wysoką skuteczność klasyfikacji.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Najwięcej pomyłek występuje pomiędzy klasami:</w:t>
        <w:br w:type="textWrapping"/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Fear i Sad,</w:t>
        <w:br w:type="textWrapping"/>
      </w:r>
    </w:p>
    <w:p w:rsidR="00000000" w:rsidDel="00000000" w:rsidP="00000000" w:rsidRDefault="00000000" w:rsidRPr="00000000" w14:paraId="0000003A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Angry i Sad,</w:t>
        <w:br w:type="textWrapping"/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Surprise i Sad.</w:t>
        <w:br w:type="textWrapping"/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Znormalizowana macierz pomyłek wskazuje, że:</w:t>
      </w:r>
    </w:p>
    <w:p w:rsidR="00000000" w:rsidDel="00000000" w:rsidP="00000000" w:rsidRDefault="00000000" w:rsidRPr="00000000" w14:paraId="0000003D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Happy: ~74% poprawnych predykcji,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Neutral: ~76% poprawnych predykcji,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Sad: ~74% poprawnych predykcji,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Fear oraz Disgust osiągają najniższe wartości poprawnej klasyfikacji.</w:t>
        <w:br w:type="textWrapping"/>
      </w:r>
    </w:p>
    <w:p w:rsidR="00000000" w:rsidDel="00000000" w:rsidP="00000000" w:rsidRDefault="00000000" w:rsidRPr="00000000" w14:paraId="00000041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Taki rozkład błędów jest zgodny z obserwacjami z literatury, gdzie emocje o podobnej mimice są trudne do rozróżnienia nawet dla ludzi.</w:t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lineRule="auto"/>
        <w:rPr>
          <w:b w:val="1"/>
          <w:bCs w:val="1"/>
          <w:color w:val="434343"/>
          <w:sz w:val="34"/>
          <w:szCs w:val="34"/>
        </w:rPr>
      </w:pPr>
      <w:bookmarkStart w:colFirst="0" w:colLast="0" w:name="_yk8tc01pudlu" w:id="11"/>
      <w:bookmarkEnd w:id="11"/>
      <w:r w:rsidDel="00000000" w:rsidR="00000000" w:rsidRPr="00000000">
        <w:rPr>
          <w:b w:val="1"/>
          <w:bCs w:val="1"/>
          <w:color w:val="434343"/>
          <w:sz w:val="34"/>
          <w:szCs w:val="34"/>
          <w:rtl w:val="0"/>
        </w:rPr>
        <w:t xml:space="preserve">6. Metryki per-klasowe</w:t>
      </w:r>
    </w:p>
    <w:tbl>
      <w:tblPr>
        <w:tblStyle w:val="Table2"/>
        <w:tblW w:w="24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20"/>
        <w:gridCol w:w="1440"/>
        <w:tblGridChange w:id="0">
          <w:tblGrid>
            <w:gridCol w:w="1020"/>
            <w:gridCol w:w="14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Emocja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F1-score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Angry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0.457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Disgust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0.333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Fear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0.336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Happy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0.799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Sad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0.535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Surprise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0.453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Neutral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0.727</w:t>
            </w:r>
          </w:p>
        </w:tc>
      </w:tr>
    </w:tbl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Najwyższe F1-score osiągają klasy Happy oraz Neutral. Najniższe wartości występują dla klas Disgust i Fear, co wynika z ich dużej zmienności wizualnej oraz niskiej reprezentacji w zbiorze danych.</w:t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k9r2hy5x5kz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Analiza błędnych predykcji (Error Analysis)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Analiza przykładowych błędnych predykcji pokazuje, że:</w:t>
      </w:r>
    </w:p>
    <w:p w:rsidR="00000000" w:rsidDel="00000000" w:rsidP="00000000" w:rsidRDefault="00000000" w:rsidRPr="00000000" w14:paraId="00000056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wiele obrazów jest rozmytych lub niskiej jakości,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część twarzy jest zasłonięta dłonią lub innymi obiektami,</w:t>
        <w:br w:type="textWrapping"/>
      </w:r>
    </w:p>
    <w:p w:rsidR="00000000" w:rsidDel="00000000" w:rsidP="00000000" w:rsidRDefault="00000000" w:rsidRPr="00000000" w14:paraId="00000058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mimika jest niejednoznaczna lub pośrednia między emocjami.</w:t>
        <w:br w:type="textWrapping"/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Przykładowo:</w:t>
      </w:r>
    </w:p>
    <w:p w:rsidR="00000000" w:rsidDel="00000000" w:rsidP="00000000" w:rsidRDefault="00000000" w:rsidRPr="00000000" w14:paraId="0000005A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twarz o neutralnym wyrazie z szeroko otwartymi oczami bywa klasyfikowana jako Fear,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subtelny uśmiech może zostać zaklasyfikowany jako Neutral,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częściowe zasłonięcie twarzy prowadzi do błędnych predykcji.</w:t>
      </w:r>
    </w:p>
    <w:p w:rsidR="00000000" w:rsidDel="00000000" w:rsidP="00000000" w:rsidRDefault="00000000" w:rsidRPr="00000000" w14:paraId="0000005D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Oznacza to, że błędy wynikają głównie z jakości danych, a nie wyłącznie z architektury modelu.</w:t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spacing w:after="80" w:lineRule="auto"/>
        <w:rPr>
          <w:b w:val="1"/>
          <w:bCs w:val="1"/>
          <w:color w:val="434343"/>
          <w:sz w:val="34"/>
          <w:szCs w:val="34"/>
        </w:rPr>
      </w:pPr>
      <w:bookmarkStart w:colFirst="0" w:colLast="0" w:name="_koim508yhnxj" w:id="13"/>
      <w:bookmarkEnd w:id="13"/>
      <w:r w:rsidDel="00000000" w:rsidR="00000000" w:rsidRPr="00000000">
        <w:rPr>
          <w:b w:val="1"/>
          <w:bCs w:val="1"/>
          <w:color w:val="434343"/>
          <w:sz w:val="34"/>
          <w:szCs w:val="34"/>
          <w:rtl w:val="0"/>
        </w:rPr>
        <w:t xml:space="preserve">8. Analiza pewności predykcji (Confidence Analysis)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Histogram pewności predykcji pokazuje duży pik dla wartości bliskich 1.0, co oznacza, że model jest bardzo pewny dla łatwych przykładów. Jednocześnie widoczna jest szeroka dystrybucja w zakresie 0.3–0.7, odpowiadająca trudnym i niejednoznacznym przypadkom.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spacing w:after="80" w:lineRule="auto"/>
        <w:rPr>
          <w:b w:val="1"/>
          <w:bCs w:val="1"/>
          <w:color w:val="434343"/>
          <w:sz w:val="34"/>
          <w:szCs w:val="34"/>
        </w:rPr>
      </w:pPr>
      <w:bookmarkStart w:colFirst="0" w:colLast="0" w:name="_u121ug40tlv4" w:id="14"/>
      <w:bookmarkEnd w:id="14"/>
      <w:r w:rsidDel="00000000" w:rsidR="00000000" w:rsidRPr="00000000">
        <w:rPr>
          <w:b w:val="1"/>
          <w:bCs w:val="1"/>
          <w:color w:val="434343"/>
          <w:sz w:val="34"/>
          <w:szCs w:val="34"/>
          <w:rtl w:val="0"/>
        </w:rPr>
        <w:t xml:space="preserve">9. Top-2 Accuracy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Top-2 accuracy wynosi </w:t>
      </w:r>
      <w:r w:rsidDel="00000000" w:rsidR="00000000" w:rsidRPr="00000000">
        <w:rPr>
          <w:b w:val="1"/>
          <w:bCs w:val="1"/>
          <w:rtl w:val="0"/>
        </w:rPr>
        <w:t xml:space="preserve">0.766</w:t>
      </w:r>
      <w:r w:rsidDel="00000000" w:rsidR="00000000" w:rsidRPr="00000000">
        <w:rPr>
          <w:rtl w:val="0"/>
        </w:rPr>
        <w:t xml:space="preserve">, co oznacza, że w 76.6% przypadków poprawna emocja znajduje się wśród dwóch najbardziej prawdopodobnych predykcji modelu.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Wskazuje to, że nawet jeśli pierwsza predykcja jest błędna, model często wskazuje właściwą klasę jako drugą możliwość.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keepNext w:val="0"/>
        <w:keepLines w:val="0"/>
        <w:spacing w:after="80" w:lineRule="auto"/>
        <w:rPr>
          <w:b w:val="1"/>
          <w:bCs w:val="1"/>
          <w:color w:val="434343"/>
          <w:sz w:val="34"/>
          <w:szCs w:val="34"/>
        </w:rPr>
      </w:pPr>
      <w:bookmarkStart w:colFirst="0" w:colLast="0" w:name="_iwi67sqccn4j" w:id="15"/>
      <w:bookmarkEnd w:id="15"/>
      <w:r w:rsidDel="00000000" w:rsidR="00000000" w:rsidRPr="00000000">
        <w:rPr>
          <w:b w:val="1"/>
          <w:bCs w:val="1"/>
          <w:color w:val="434343"/>
          <w:sz w:val="34"/>
          <w:szCs w:val="34"/>
          <w:rtl w:val="0"/>
        </w:rPr>
        <w:t xml:space="preserve">10. Wynik końcowy modelu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Dokładność modelu TL + Fine-tuning na zbiorze testowym wynosi:</w:t>
      </w:r>
    </w:p>
    <w:p w:rsidR="00000000" w:rsidDel="00000000" w:rsidP="00000000" w:rsidRDefault="00000000" w:rsidRPr="00000000" w14:paraId="0000006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 Accuracy = 0.572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Wynik ten jest zgodny z wynikami raportowanymi w literaturze dla zbioru FER2013.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keepNext w:val="0"/>
        <w:keepLines w:val="0"/>
        <w:spacing w:after="80" w:lineRule="auto"/>
        <w:rPr>
          <w:b w:val="1"/>
          <w:bCs w:val="1"/>
          <w:color w:val="434343"/>
          <w:sz w:val="34"/>
          <w:szCs w:val="34"/>
        </w:rPr>
      </w:pPr>
      <w:bookmarkStart w:colFirst="0" w:colLast="0" w:name="_px2gdrxnu9l" w:id="16"/>
      <w:bookmarkEnd w:id="16"/>
      <w:r w:rsidDel="00000000" w:rsidR="00000000" w:rsidRPr="00000000">
        <w:rPr>
          <w:b w:val="1"/>
          <w:bCs w:val="1"/>
          <w:color w:val="434343"/>
          <w:sz w:val="34"/>
          <w:szCs w:val="34"/>
          <w:rtl w:val="0"/>
        </w:rPr>
        <w:t xml:space="preserve">11. Wnioski końcowe</w:t>
      </w:r>
    </w:p>
    <w:p w:rsidR="00000000" w:rsidDel="00000000" w:rsidP="00000000" w:rsidRDefault="00000000" w:rsidRPr="00000000" w14:paraId="0000006B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Transfer learning bez fine-tuningu jest niewystarczający dla rozpoznawania emocji.</w:t>
        <w:br w:type="textWrapping"/>
      </w:r>
    </w:p>
    <w:p w:rsidR="00000000" w:rsidDel="00000000" w:rsidP="00000000" w:rsidRDefault="00000000" w:rsidRPr="00000000" w14:paraId="0000006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Fine-tuning znacząco poprawia skuteczność modelu.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CNN trenowany od zera osiąga porównywalne wyniki do TL+FT, jednak TL+FT zapewnia stabilniejszy proces uczenia.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Największe trudności dotyczą emocji o podobnej mimice.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Jakość danych jest kluczowym czynnikiem ograniczającym skuteczność.</w:t>
        <w:br w:type="textWrapping"/>
      </w:r>
    </w:p>
    <w:p w:rsidR="00000000" w:rsidDel="00000000" w:rsidP="00000000" w:rsidRDefault="00000000" w:rsidRPr="00000000" w14:paraId="00000070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80" w:lineRule="auto"/>
        <w:rPr>
          <w:b w:val="1"/>
          <w:bCs w:val="1"/>
          <w:color w:val="434343"/>
          <w:sz w:val="34"/>
          <w:szCs w:val="34"/>
        </w:rPr>
      </w:pPr>
      <w:bookmarkStart w:colFirst="0" w:colLast="0" w:name="_yb7isjz6133v" w:id="17"/>
      <w:bookmarkEnd w:id="17"/>
      <w:r w:rsidDel="00000000" w:rsidR="00000000" w:rsidRPr="00000000">
        <w:rPr>
          <w:b w:val="1"/>
          <w:bCs w:val="1"/>
          <w:color w:val="434343"/>
          <w:sz w:val="34"/>
          <w:szCs w:val="34"/>
          <w:rtl w:val="0"/>
        </w:rPr>
        <w:t xml:space="preserve">12. Możliwe kierunki dalszych prac</w:t>
      </w:r>
    </w:p>
    <w:p w:rsidR="00000000" w:rsidDel="00000000" w:rsidP="00000000" w:rsidRDefault="00000000" w:rsidRPr="00000000" w14:paraId="00000072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czyszczenie zbioru danych,</w:t>
        <w:br w:type="textWrapping"/>
      </w:r>
    </w:p>
    <w:p w:rsidR="00000000" w:rsidDel="00000000" w:rsidP="00000000" w:rsidRDefault="00000000" w:rsidRPr="00000000" w14:paraId="0000007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wykorzystanie mechanizmów attention,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zastosowanie większych modeli bazowych (np. ResNet),</w:t>
        <w:br w:type="textWrapping"/>
      </w:r>
    </w:p>
    <w:p w:rsidR="00000000" w:rsidDel="00000000" w:rsidP="00000000" w:rsidRDefault="00000000" w:rsidRPr="00000000" w14:paraId="00000075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wykorzystanie danych wideo zamiast pojedynczych klatek.</w:t>
        <w:br w:type="textWrapping"/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