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cs="Arial" w:eastAsia="Arial" w:hAnsi="Arial"/>
          <w:color w:val="C9A66B"/>
          <w:sz w:val="80"/>
          <w:szCs w:val="80"/>
        </w:rPr>
        <w:t xml:space="preserve">&lt;  /  &gt;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111111"/>
          <w:sz w:val="100"/>
          <w:szCs w:val="100"/>
        </w:rPr>
        <w:t xml:space="preserve">KODELA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9A66B"/>
          <w:sz w:val="32"/>
          <w:szCs w:val="32"/>
        </w:rPr>
        <w:t xml:space="preserve">S T U D I O</w:t>
      </w:r>
    </w:p>
    <w:p>
      <w:pPr>
        <w:pBdr>
          <w:bottom w:val="single" w:color="C9A66B" w:sz="8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DATABEHANDLERAVTALE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B2B2B"/>
          <w:sz w:val="26"/>
          <w:szCs w:val="26"/>
        </w:rPr>
        <w:t xml:space="preserve">Personvernforordningen (GDPR) art. 28 — DPA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C9A66B"/>
          <w:sz w:val="20"/>
          <w:szCs w:val="20"/>
        </w:rPr>
        <w:t xml:space="preserve">Dokument 05 av 12  ·  Versjon 1.0  ·  2025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Kodela Studio AS  ·  Oslo, Norge  ·  Strengt konfidensielt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DATABEHANDLERAVTALE (DPA)</w:t>
      </w:r>
    </w:p>
    <w:p>
      <w:pPr>
        <w:pBdr>
          <w:bottom w:val="single" w:color="C9A66B" w:sz="4" w:space="1"/>
        </w:pBdr>
        <w:spacing w:after="12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Denne databehandleravtalen er inngått i henhold til personvernforordningen (GDPR) artikkel 28, og regulerer Kodela Studio AS sin behandling av personopplysninger på vegne av kunden.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AVTALEPARTER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BEHANDLINGSANSVARLIG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[Kundens navn / org.nr.]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Rolle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Den som bestemmer formål og midler for behandlingen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DATABEHANDLER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Kodela Studio 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Org.nr.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[Fylles inn]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Rolle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Behandler personopplysninger på vegne av behandlingsansvarlig</w:t>
            </w:r>
          </w:p>
        </w:tc>
      </w:tr>
    </w:tbl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1 — BEHANDLINGENS OMFANG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Databehandler behandler kun personopplysninger nødvendig for leveransen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Kategorier av registrerte: Kundens sluttbrukere, kontaktpersoner og besokende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Kategorier av data: Navn, e-post, telefon, atferdsdata (analytics), IP-adresse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Formål: Drift av nettside, e-handel, kontaktskjema og analyseverktøy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Behandlingsvarighet: Avtalens løpetid + 30 dager for sletting/retur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2 — DATABEHANDLERENS FORPLIKTELSER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Behandle personopplysninger kun etter dokumentert instruks fra behandlingsansvarlig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Sikre at personer med tilgang er underlagt taushetsplikt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Implementere tekniske og organisatoriske sikkerhetstiltak, jf. GDPR art. 32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Bistille behandlingsansvarlig med oppfyllelse av den registrertes rettigheter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Slette eller tilbakeføre alle personopplysninger ved avtalens slutt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Stille all nødvendig informasjon til disposisjon for kontroll og revisjon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3 — UNDERLEVERANDØRER (underdatabehandlere) 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Kodela Studio AS benytter følgende underleverandører som kan behandle persondata: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Underleverandør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Tjeneste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Land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Vercel Inc.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Hosting og deployment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USA (SCCs)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Google LLC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Analytics / Workspace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USA (SCCs)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Sanity.io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CMS og innholdslagring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USA (SCCs)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[Legges til ved behov]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Endringer i underleverandører varsles behandlingsansvarlig med 30 dagers varsel.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4 — SIKKERHETSTILTAK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Kryptering av data i overføring (TLS 1.3) og lagring (AES-256)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Tilgangskontroll: Minste privilegium-prinsippet, MFA på alle systemer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Regelmæssig sikkerhetsgjennomgang og sårbarhetsscanning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Hendelseslogg og monitorering av uautorisert tilgang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Backup med 30 dagers oppbevaringstid på sikker lokasjon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5 — SIKKERHETSBRUDD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Databehandler varsler behandlingsansvarlig om sikkerhetsbrudd innen 36 timer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Varselet inneholder: type brudd, omfang, mulige konsekvenser og tiltak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Behandlingsansvarlig melder til Datatilsynet innen 72 timer (GDPR art. 33)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6 — OVERFØRING TIL TREDJELAND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Overføring til land utenfor EU/EOS skjer kun med lovlig grunnlag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Standardkontraktsklausuler (SCCs) benyttes der nødvendig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Risikovurdering gjennomføres før overføring til høyrisikolånd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UNDERSKRIFTER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Kodela Studio AS (Databehandler)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Daglig leder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[Kunden] (Behandlingsansvarlig)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[Tittel]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66B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hei@kodela.studio  ·  Oslo, Norge  ·  Konfidensielt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© 2025 Kodela Studio 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66B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KODELA STUDIO  ·  </w:t>
    </w:r>
    <w:r>
      <w:rPr>
        <w:rFonts w:ascii="Arial" w:cs="Arial" w:eastAsia="Arial" w:hAnsi="Arial"/>
        <w:color w:val="C9A66B"/>
        <w:sz w:val="18"/>
        <w:szCs w:val="18"/>
      </w:rPr>
      <w:t xml:space="preserve">05 · Databehandleravtale (GDPR)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kodela.no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2026-05-01T20:27:38.129Z</dcterms:created>
  <dcterms:modified xsi:type="dcterms:W3CDTF">2026-05-01T20:27:38.129Z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