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  <w:jc w:val="center"/>
      </w:pPr>
      <w:r>
        <w:rPr>
          <w:rFonts w:ascii="Arial" w:cs="Arial" w:eastAsia="Arial" w:hAnsi="Arial"/>
          <w:color w:val="C9A66B"/>
          <w:sz w:val="80"/>
          <w:szCs w:val="80"/>
        </w:rPr>
        <w:t xml:space="preserve">&lt;  /  &gt;</w:t>
      </w:r>
    </w:p>
    <w:p>
      <w:pPr>
        <w:spacing w:after="0" w:before="60"/>
        <w:jc w:val="center"/>
      </w:pPr>
      <w:r>
        <w:rPr>
          <w:rFonts w:ascii="Arial" w:cs="Arial" w:eastAsia="Arial" w:hAnsi="Arial"/>
          <w:b/>
          <w:bCs/>
          <w:color w:val="111111"/>
          <w:sz w:val="100"/>
          <w:szCs w:val="100"/>
        </w:rPr>
        <w:t xml:space="preserve">KODELA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C9A66B"/>
          <w:sz w:val="32"/>
          <w:szCs w:val="32"/>
        </w:rPr>
        <w:t xml:space="preserve">S T U D I O</w:t>
      </w:r>
    </w:p>
    <w:p>
      <w:pPr>
        <w:pBdr>
          <w:bottom w:val="single" w:color="C9A66B" w:sz="8" w:space="1"/>
        </w:pBdr>
        <w:spacing w:after="200" w:before="20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11111"/>
          <w:sz w:val="52"/>
          <w:szCs w:val="52"/>
        </w:rPr>
        <w:t xml:space="preserve">VEDLIKEHOLDSAVTALE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B2B2B"/>
          <w:sz w:val="26"/>
          <w:szCs w:val="26"/>
        </w:rPr>
        <w:t xml:space="preserve">Kodela Guard — løpende serviceavtale</w:t>
      </w:r>
    </w:p>
    <w:p>
      <w:pPr>
        <w:spacing w:after="0" w:before="240"/>
        <w:jc w:val="center"/>
      </w:pPr>
      <w:r>
        <w:rPr>
          <w:rFonts w:ascii="Arial" w:cs="Arial" w:eastAsia="Arial" w:hAnsi="Arial"/>
          <w:i/>
          <w:iCs/>
          <w:color w:val="C9A66B"/>
          <w:sz w:val="20"/>
          <w:szCs w:val="20"/>
        </w:rPr>
        <w:t xml:space="preserve">Dokument 07 av 12  ·  Versjon 1.0  ·  2025</w:t>
      </w:r>
    </w:p>
    <w:p>
      <w:pPr>
        <w:spacing w:after="0" w:before="8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Kodela Studio AS  ·  Oslo, Norge  ·  Strengt konfidensielt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VEDLIKEHOLDSAVTALE — KODELA GUARD</w:t>
      </w:r>
    </w:p>
    <w:p>
      <w:pPr>
        <w:pBdr>
          <w:bottom w:val="single" w:color="C9A66B" w:sz="4" w:space="1"/>
        </w:pBdr>
        <w:spacing w:after="120" w:before="8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Denne avtalen regulerer løpende vedlikehold, sikkerhet og support av kundens digitale løsning levert av Kodela Studio AS.</w:t>
      </w:r>
    </w:p>
    <w:p>
      <w:pPr>
        <w:shd w:fill="111111" w:val="clear"/>
        <w:spacing w:after="120" w:before="360"/>
      </w:pPr>
      <w:r>
        <w:rPr>
          <w:rFonts w:ascii="Arial" w:cs="Arial" w:eastAsia="Arial" w:hAnsi="Arial"/>
          <w:b/>
          <w:bCs/>
          <w:color w:val="C9A66B"/>
          <w:sz w:val="24"/>
          <w:szCs w:val="24"/>
        </w:rPr>
        <w:t xml:space="preserve">  ▶  AVTALEPARTER OG PAKKEVALG 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Kunde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[Kundens navn / org.nr.]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Valgt pakke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[ ] Basic  [ ] Pro  [ ] Premium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Månedspris (eks. mva)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[ ] NOK 2 500  [ ] NOK 4 500  [ ] NOK 7 500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Oppstartsdato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_______ 2025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Oppsigelsestid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1 måned skriftlig varsel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Fakturering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Månedlig forskudd</w:t>
            </w:r>
          </w:p>
        </w:tc>
      </w:tr>
    </w:tbl>
    <w:p>
      <w:pPr>
        <w:shd w:fill="111111" w:val="clear"/>
        <w:spacing w:after="120" w:before="360"/>
      </w:pPr>
      <w:r>
        <w:rPr>
          <w:rFonts w:ascii="Arial" w:cs="Arial" w:eastAsia="Arial" w:hAnsi="Arial"/>
          <w:b/>
          <w:bCs/>
          <w:color w:val="C9A66B"/>
          <w:sz w:val="24"/>
          <w:szCs w:val="24"/>
        </w:rPr>
        <w:t xml:space="preserve">  ▶  PAKKEINNHOLD 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75"/>
        <w:gridCol w:w="1875"/>
        <w:gridCol w:w="1876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9A66B"/>
                <w:sz w:val="20"/>
                <w:szCs w:val="20"/>
              </w:rPr>
              <w:t xml:space="preserve">Tjeneste</w:t>
            </w:r>
          </w:p>
        </w:tc>
        <w:tc>
          <w:tcPr>
            <w:tcW w:type="dxa" w:w="1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9A66B"/>
                <w:sz w:val="20"/>
                <w:szCs w:val="20"/>
              </w:rPr>
              <w:t xml:space="preserve">Basic</w:t>
            </w:r>
          </w:p>
        </w:tc>
        <w:tc>
          <w:tcPr>
            <w:tcW w:type="dxa" w:w="1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9A66B"/>
                <w:sz w:val="20"/>
                <w:szCs w:val="20"/>
              </w:rPr>
              <w:t xml:space="preserve">Pro</w:t>
            </w:r>
          </w:p>
        </w:tc>
        <w:tc>
          <w:tcPr>
            <w:tcW w:type="dxa" w:w="18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9A66B"/>
                <w:sz w:val="20"/>
                <w:szCs w:val="20"/>
              </w:rPr>
              <w:t xml:space="preserve">Premium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CMS- og plugin-oppdateringer</w:t>
            </w:r>
          </w:p>
        </w:tc>
        <w:tc>
          <w:tcPr>
            <w:tcW w:type="dxa" w:w="1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✅</w:t>
            </w:r>
          </w:p>
        </w:tc>
        <w:tc>
          <w:tcPr>
            <w:tcW w:type="dxa" w:w="1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✅</w:t>
            </w:r>
          </w:p>
        </w:tc>
        <w:tc>
          <w:tcPr>
            <w:tcW w:type="dxa" w:w="18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Daglig backup og restore-test</w:t>
            </w:r>
          </w:p>
        </w:tc>
        <w:tc>
          <w:tcPr>
            <w:tcW w:type="dxa" w:w="1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✅</w:t>
            </w:r>
          </w:p>
        </w:tc>
        <w:tc>
          <w:tcPr>
            <w:tcW w:type="dxa" w:w="1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✅</w:t>
            </w:r>
          </w:p>
        </w:tc>
        <w:tc>
          <w:tcPr>
            <w:tcW w:type="dxa" w:w="18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Uptime-overvåking 24/7</w:t>
            </w:r>
          </w:p>
        </w:tc>
        <w:tc>
          <w:tcPr>
            <w:tcW w:type="dxa" w:w="1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✅</w:t>
            </w:r>
          </w:p>
        </w:tc>
        <w:tc>
          <w:tcPr>
            <w:tcW w:type="dxa" w:w="1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✅</w:t>
            </w:r>
          </w:p>
        </w:tc>
        <w:tc>
          <w:tcPr>
            <w:tcW w:type="dxa" w:w="18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SSL-sertifikat fornyelse</w:t>
            </w:r>
          </w:p>
        </w:tc>
        <w:tc>
          <w:tcPr>
            <w:tcW w:type="dxa" w:w="1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✅</w:t>
            </w:r>
          </w:p>
        </w:tc>
        <w:tc>
          <w:tcPr>
            <w:tcW w:type="dxa" w:w="1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✅</w:t>
            </w:r>
          </w:p>
        </w:tc>
        <w:tc>
          <w:tcPr>
            <w:tcW w:type="dxa" w:w="18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Månedlig sikkerhetssjekk</w:t>
            </w:r>
          </w:p>
        </w:tc>
        <w:tc>
          <w:tcPr>
            <w:tcW w:type="dxa" w:w="1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✘</w:t>
            </w:r>
          </w:p>
        </w:tc>
        <w:tc>
          <w:tcPr>
            <w:tcW w:type="dxa" w:w="1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✅</w:t>
            </w:r>
          </w:p>
        </w:tc>
        <w:tc>
          <w:tcPr>
            <w:tcW w:type="dxa" w:w="18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Små innholdsendringer (2t/mnd)</w:t>
            </w:r>
          </w:p>
        </w:tc>
        <w:tc>
          <w:tcPr>
            <w:tcW w:type="dxa" w:w="1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✘</w:t>
            </w:r>
          </w:p>
        </w:tc>
        <w:tc>
          <w:tcPr>
            <w:tcW w:type="dxa" w:w="1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✅</w:t>
            </w:r>
          </w:p>
        </w:tc>
        <w:tc>
          <w:tcPr>
            <w:tcW w:type="dxa" w:w="18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SEO-rapport kvartalsvis</w:t>
            </w:r>
          </w:p>
        </w:tc>
        <w:tc>
          <w:tcPr>
            <w:tcW w:type="dxa" w:w="1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✘</w:t>
            </w:r>
          </w:p>
        </w:tc>
        <w:tc>
          <w:tcPr>
            <w:tcW w:type="dxa" w:w="1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✘</w:t>
            </w:r>
          </w:p>
        </w:tc>
        <w:tc>
          <w:tcPr>
            <w:tcW w:type="dxa" w:w="18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Prioritert support (4t respons)</w:t>
            </w:r>
          </w:p>
        </w:tc>
        <w:tc>
          <w:tcPr>
            <w:tcW w:type="dxa" w:w="1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✘</w:t>
            </w:r>
          </w:p>
        </w:tc>
        <w:tc>
          <w:tcPr>
            <w:tcW w:type="dxa" w:w="1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✘</w:t>
            </w:r>
          </w:p>
        </w:tc>
        <w:tc>
          <w:tcPr>
            <w:tcW w:type="dxa" w:w="18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Kvartalsmote med gjennomgang</w:t>
            </w:r>
          </w:p>
        </w:tc>
        <w:tc>
          <w:tcPr>
            <w:tcW w:type="dxa" w:w="1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✘</w:t>
            </w:r>
          </w:p>
        </w:tc>
        <w:tc>
          <w:tcPr>
            <w:tcW w:type="dxa" w:w="1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✘</w:t>
            </w:r>
          </w:p>
        </w:tc>
        <w:tc>
          <w:tcPr>
            <w:tcW w:type="dxa" w:w="18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Support-timer inkl./mnd</w:t>
            </w:r>
          </w:p>
        </w:tc>
        <w:tc>
          <w:tcPr>
            <w:tcW w:type="dxa" w:w="1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0</w:t>
            </w:r>
          </w:p>
        </w:tc>
        <w:tc>
          <w:tcPr>
            <w:tcW w:type="dxa" w:w="1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2t</w:t>
            </w:r>
          </w:p>
        </w:tc>
        <w:tc>
          <w:tcPr>
            <w:tcW w:type="dxa" w:w="18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4t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Ekstra timer (timepris)</w:t>
            </w:r>
          </w:p>
        </w:tc>
        <w:tc>
          <w:tcPr>
            <w:tcW w:type="dxa" w:w="1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1 500 kr</w:t>
            </w:r>
          </w:p>
        </w:tc>
        <w:tc>
          <w:tcPr>
            <w:tcW w:type="dxa" w:w="1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1 500 kr</w:t>
            </w:r>
          </w:p>
        </w:tc>
        <w:tc>
          <w:tcPr>
            <w:tcW w:type="dxa" w:w="18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1 200 kr</w:t>
            </w:r>
          </w:p>
        </w:tc>
      </w:tr>
    </w:tbl>
    <w:p>
      <w:pPr>
        <w:shd w:fill="111111" w:val="clear"/>
        <w:spacing w:after="120" w:before="360"/>
      </w:pPr>
      <w:r>
        <w:rPr>
          <w:rFonts w:ascii="Arial" w:cs="Arial" w:eastAsia="Arial" w:hAnsi="Arial"/>
          <w:b/>
          <w:bCs/>
          <w:color w:val="C9A66B"/>
          <w:sz w:val="24"/>
          <w:szCs w:val="24"/>
        </w:rPr>
        <w:t xml:space="preserve">  ▶  § 1 — RESPONSTIDER 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Kritisk (nede/hacket)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Maks 2 timer respons alle dager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Høy (funksjonsfeil)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Maks 4 timer i arbeidstid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Normal (endringer)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Innen neste virkedag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Arbeidstid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Man–fre 08:00–17:00 CET</w:t>
            </w:r>
          </w:p>
        </w:tc>
      </w:tr>
    </w:tbl>
    <w:p>
      <w:pPr>
        <w:shd w:fill="111111" w:val="clear"/>
        <w:spacing w:after="120" w:before="360"/>
      </w:pPr>
      <w:r>
        <w:rPr>
          <w:rFonts w:ascii="Arial" w:cs="Arial" w:eastAsia="Arial" w:hAnsi="Arial"/>
          <w:b/>
          <w:bCs/>
          <w:color w:val="C9A66B"/>
          <w:sz w:val="24"/>
          <w:szCs w:val="24"/>
        </w:rPr>
        <w:t xml:space="preserve">  ▶  § 2 — SIKKERHET 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Månedlig sikkerhetsscanning og rapport (Pro og Premium)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Umiddelbar varsling ved oppdagede sårbarheter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Patching av kjente sårbarheter innen 48 timer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GDPR-compliance-sjekk kvartal (Premium)</w:t>
      </w:r>
    </w:p>
    <w:p>
      <w:pPr>
        <w:shd w:fill="111111" w:val="clear"/>
        <w:spacing w:after="120" w:before="360"/>
      </w:pPr>
      <w:r>
        <w:rPr>
          <w:rFonts w:ascii="Arial" w:cs="Arial" w:eastAsia="Arial" w:hAnsi="Arial"/>
          <w:b/>
          <w:bCs/>
          <w:color w:val="C9A66B"/>
          <w:sz w:val="24"/>
          <w:szCs w:val="24"/>
        </w:rPr>
        <w:t xml:space="preserve">  ▶  § 3 — UNNTAK FRA AVTALEN 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Større redesign eller ny funksjonalitet faktureres separat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Skader påført av kunden selv dekkes ikke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Tredjeparts plattformfeil (hosting, CMS) dekkes ikke, men eskaleres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hd w:fill="111111" w:val="clear"/>
        <w:spacing w:after="120" w:before="360"/>
      </w:pPr>
      <w:r>
        <w:rPr>
          <w:rFonts w:ascii="Arial" w:cs="Arial" w:eastAsia="Arial" w:hAnsi="Arial"/>
          <w:b/>
          <w:bCs/>
          <w:color w:val="C9A66B"/>
          <w:sz w:val="24"/>
          <w:szCs w:val="24"/>
        </w:rPr>
        <w:t xml:space="preserve">  ▶  UNDERSKRIFTER 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0"/>
              <w:left w:type="dxa" w:w="200"/>
              <w:bottom w:type="dxa" w:w="100"/>
              <w:right w:type="dxa" w:w="200"/>
            </w:tcMar>
          </w:tcPr>
          <w:p>
            <w:pPr>
              <w:pBdr>
                <w:bottom w:val="single" w:color="111111" w:sz="2"/>
              </w:pBdr>
              <w:spacing w:after="0" w:before="400"/>
            </w:pPr>
            <w:r>
              <w:t xml:space="preserve"> 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Kodela Studio AS</w:t>
            </w:r>
          </w:p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Daglig leder</w:t>
            </w:r>
          </w:p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Dato: ___________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0"/>
              <w:left w:type="dxa" w:w="200"/>
              <w:bottom w:type="dxa" w:w="100"/>
              <w:right w:type="dxa" w:w="200"/>
            </w:tcMar>
          </w:tcPr>
          <w:p>
            <w:pPr>
              <w:pBdr>
                <w:bottom w:val="single" w:color="111111" w:sz="2"/>
              </w:pBdr>
              <w:spacing w:after="0" w:before="400"/>
            </w:pPr>
            <w:r>
              <w:t xml:space="preserve"> 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[Kundens navn]</w:t>
            </w:r>
          </w:p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[Tittel]</w:t>
            </w:r>
          </w:p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Dato: ___________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66B" w:sz="6" w:space="1"/>
      </w:pBdr>
      <w:tabs>
        <w:tab w:val="right" w:pos="9026"/>
      </w:tabs>
      <w:spacing w:after="0" w:before="120"/>
    </w:pPr>
    <w:r>
      <w:rPr>
        <w:rFonts w:ascii="Arial" w:cs="Arial" w:eastAsia="Arial" w:hAnsi="Arial"/>
        <w:color w:val="999999"/>
        <w:sz w:val="16"/>
        <w:szCs w:val="16"/>
      </w:rPr>
      <w:t xml:space="preserve">hei@kodela.studio  ·  Oslo, Norge  ·  Konfidensielt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999999"/>
        <w:sz w:val="16"/>
        <w:szCs w:val="16"/>
      </w:rPr>
      <w:t xml:space="preserve">© 2025 Kodela Studio AS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66B" w:sz="6" w:space="1"/>
      </w:pBdr>
      <w:tabs>
        <w:tab w:val="right" w:pos="9026"/>
      </w:tabs>
      <w:spacing w:after="120" w:before="0"/>
    </w:pPr>
    <w:r>
      <w:rPr>
        <w:rFonts w:ascii="Arial" w:cs="Arial" w:eastAsia="Arial" w:hAnsi="Arial"/>
        <w:b/>
        <w:bCs/>
        <w:color w:val="111111"/>
        <w:sz w:val="18"/>
        <w:szCs w:val="18"/>
      </w:rPr>
      <w:t xml:space="preserve">KODELA STUDIO  ·  </w:t>
    </w:r>
    <w:r>
      <w:rPr>
        <w:rFonts w:ascii="Arial" w:cs="Arial" w:eastAsia="Arial" w:hAnsi="Arial"/>
        <w:color w:val="C9A66B"/>
        <w:sz w:val="18"/>
        <w:szCs w:val="18"/>
      </w:rPr>
      <w:t xml:space="preserve">07 · Vedlikeholdsavtale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999999"/>
        <w:sz w:val="16"/>
        <w:szCs w:val="16"/>
      </w:rPr>
      <w:t xml:space="preserve">kodela.no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1111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B2B2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111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2026-05-01T20:27:38.176Z</dcterms:created>
  <dcterms:modified xsi:type="dcterms:W3CDTF">2026-05-01T20:27:38.176Z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