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Peer-graded</w:t>
      </w:r>
      <w:r>
        <w:t xml:space="preserve"> </w:t>
      </w:r>
      <w:r>
        <w:t xml:space="preserve">Assignment:</w:t>
      </w:r>
      <w:r>
        <w:t xml:space="preserve"> </w:t>
      </w: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Basic</w:t>
      </w:r>
      <w:r>
        <w:t xml:space="preserve"> </w:t>
      </w:r>
      <w:r>
        <w:t xml:space="preserve">Inferential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Koen</w:t>
      </w:r>
      <w:r>
        <w:t xml:space="preserve"> </w:t>
      </w:r>
      <w:r>
        <w:t xml:space="preserve">Vermeulen</w:t>
      </w:r>
    </w:p>
    <w:p>
      <w:pPr>
        <w:pStyle w:val="Date"/>
      </w:pPr>
      <w:r>
        <w:t xml:space="preserve">9-8-2019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report will analyze tooth growth.</w:t>
      </w:r>
    </w:p>
    <w:p>
      <w:pPr>
        <w:pStyle w:val="Heading2"/>
      </w:pPr>
      <w:bookmarkStart w:id="22" w:name="analysis"/>
      <w:bookmarkEnd w:id="22"/>
      <w:r>
        <w:t xml:space="preserve">Analysis</w:t>
      </w:r>
    </w:p>
    <w:p>
      <w:pPr>
        <w:pStyle w:val="FirstParagraph"/>
      </w:pPr>
      <w:r>
        <w:t xml:space="preserve">Loading and exploring data: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"ToothGrowth"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(ToothGrowth)</w:t>
      </w:r>
    </w:p>
    <w:p>
      <w:pPr>
        <w:pStyle w:val="FirstParagraph"/>
      </w:pPr>
      <w:r>
        <w:t xml:space="preserve">[1] 60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FirstParagraph"/>
      </w:pPr>
      <w:r>
        <w:t xml:space="preserve">‘</w:t>
      </w:r>
      <w:r>
        <w:t xml:space="preserve">data.frame</w:t>
      </w:r>
      <w:r>
        <w:t xml:space="preserve">’</w:t>
      </w:r>
      <w:r>
        <w:t xml:space="preserve">: 60 obs. of 3 variables:</w:t>
      </w:r>
      <w:r>
        <w:t xml:space="preserve"> </w:t>
      </w:r>
      <w:r>
        <w:t xml:space="preserve">$ len : num 4.2 11.5 7.3 5.8 6.4 10 11.2 11.2 5.2 7 …</w:t>
      </w:r>
      <w:r>
        <w:t xml:space="preserve"> </w:t>
      </w:r>
      <w:r>
        <w:t xml:space="preserve">$ supp: Factor w/ 2 levels</w:t>
      </w:r>
      <w:r>
        <w:t xml:space="preserve"> </w:t>
      </w:r>
      <w:r>
        <w:t xml:space="preserve">“</w:t>
      </w:r>
      <w:r>
        <w:t xml:space="preserve">OJ</w:t>
      </w:r>
      <w:r>
        <w:t xml:space="preserve">”</w:t>
      </w:r>
      <w:r>
        <w:t xml:space="preserve">,</w:t>
      </w:r>
      <w:r>
        <w:t xml:space="preserve">“</w:t>
      </w:r>
      <w:r>
        <w:t xml:space="preserve">VC</w:t>
      </w:r>
      <w:r>
        <w:t xml:space="preserve">”</w:t>
      </w:r>
      <w:r>
        <w:t xml:space="preserve">: 2 2 2 2 2 2 2 2 2 2 …</w:t>
      </w:r>
      <w:r>
        <w:t xml:space="preserve"> </w:t>
      </w:r>
      <w:r>
        <w:t xml:space="preserve">$ dose: num 0.5 0.5 0.5 0.5 0.5 0.5 0.5 0.5 0.5 0.5 …</w:t>
      </w:r>
    </w:p>
    <w:p>
      <w:pPr>
        <w:pStyle w:val="BodyText"/>
      </w:pPr>
      <w:r>
        <w:t xml:space="preserve">Basic summary: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pPr>
        <w:pStyle w:val="FirstParagraph"/>
      </w:pPr>
      <w:r>
        <w:t xml:space="preserve">Subsetting vitamin C &amp; orange juice:</w:t>
      </w:r>
    </w:p>
    <w:p>
      <w:pPr>
        <w:pStyle w:val="SourceCode"/>
      </w:pPr>
      <w:r>
        <w:rPr>
          <w:rStyle w:val="NormalTok"/>
        </w:rPr>
        <w:t xml:space="preserve">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 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SourceCode"/>
      </w:pPr>
      <w:r>
        <w:rPr>
          <w:rStyle w:val="VerbatimChar"/>
        </w:rPr>
        <w:t xml:space="preserve">## [1] -7.5710156  0.1710156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 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0.06063451</w:t>
      </w:r>
    </w:p>
    <w:p>
      <w:pPr>
        <w:pStyle w:val="FirstParagraph"/>
      </w:pPr>
      <w:r>
        <w:t xml:space="preserve">The interval contains zero, but the p-value is above 5% so it is not conclusive.</w:t>
      </w:r>
    </w:p>
    <w:p>
      <w:pPr>
        <w:pStyle w:val="BodyText"/>
      </w:pPr>
      <w:r>
        <w:t xml:space="preserve">The next step is comparing the different doses. The hypothesis is that the dose has an effect on the tooth length.</w:t>
      </w:r>
    </w:p>
    <w:p>
      <w:pPr>
        <w:pStyle w:val="SourceCode"/>
      </w:pPr>
      <w:r>
        <w:rPr>
          <w:rStyle w:val="NormalTok"/>
        </w:rPr>
        <w:t xml:space="preserve">dose05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dose1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dose2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(dose05, dose1)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FirstParagraph"/>
      </w:pPr>
      <w:r>
        <w:t xml:space="preserve">[1] -11.983781 -6.276219</w:t>
      </w:r>
      <w:r>
        <w:t xml:space="preserve"> </w:t>
      </w:r>
      <w:r>
        <w:t xml:space="preserve">attr(,</w:t>
      </w:r>
      <w:r>
        <w:t xml:space="preserve">“</w:t>
      </w:r>
      <w:r>
        <w:t xml:space="preserve">conf.level</w:t>
      </w:r>
      <w:r>
        <w:t xml:space="preserve">”</w:t>
      </w:r>
      <w:r>
        <w:t xml:space="preserve">)</w:t>
      </w:r>
      <w:r>
        <w:t xml:space="preserve"> </w:t>
      </w:r>
      <w:r>
        <w:t xml:space="preserve">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(dose05, dose1)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FirstParagraph"/>
      </w:pPr>
      <w:r>
        <w:t xml:space="preserve">[1] 1.268301e-07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(dose05, dose2)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FirstParagraph"/>
      </w:pPr>
      <w:r>
        <w:t xml:space="preserve">[1] -18.15617 -12.83383</w:t>
      </w:r>
      <w:r>
        <w:t xml:space="preserve"> </w:t>
      </w:r>
      <w:r>
        <w:t xml:space="preserve">attr(,</w:t>
      </w:r>
      <w:r>
        <w:t xml:space="preserve">“</w:t>
      </w:r>
      <w:r>
        <w:t xml:space="preserve">conf.level</w:t>
      </w:r>
      <w:r>
        <w:t xml:space="preserve">”</w:t>
      </w:r>
      <w:r>
        <w:t xml:space="preserve">)</w:t>
      </w:r>
      <w:r>
        <w:t xml:space="preserve"> </w:t>
      </w:r>
      <w:r>
        <w:t xml:space="preserve">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(dose05, dose2)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FirstParagraph"/>
      </w:pPr>
      <w:r>
        <w:t xml:space="preserve">[1] 4.397525e-14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(dose1, dose2)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FirstParagraph"/>
      </w:pPr>
      <w:r>
        <w:t xml:space="preserve">[1] -8.996481 -3.733519</w:t>
      </w:r>
      <w:r>
        <w:t xml:space="preserve"> </w:t>
      </w:r>
      <w:r>
        <w:t xml:space="preserve">attr(,</w:t>
      </w:r>
      <w:r>
        <w:t xml:space="preserve">“</w:t>
      </w:r>
      <w:r>
        <w:t xml:space="preserve">conf.level</w:t>
      </w:r>
      <w:r>
        <w:t xml:space="preserve">”</w:t>
      </w:r>
      <w:r>
        <w:t xml:space="preserve">)</w:t>
      </w:r>
      <w:r>
        <w:t xml:space="preserve"> </w:t>
      </w:r>
      <w:r>
        <w:t xml:space="preserve">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(dose1, dose2)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FirstParagraph"/>
      </w:pPr>
      <w:r>
        <w:t xml:space="preserve">[1] 1.90643e-05</w:t>
      </w:r>
    </w:p>
    <w:p>
      <w:pPr>
        <w:pStyle w:val="BodyText"/>
      </w:pPr>
      <w:r>
        <w:t xml:space="preserve">As we can see from all 3 t.tests, the p-values are less than 0.05. Therefore we can accept the hypothesis that the dose has an effect on tooth length, in other words: the mean is not equal to zero. We also see that all of the 95% confidence intervals are below zero. This confirms that increasing the dose increases the tooth length.</w:t>
      </w:r>
    </w:p>
    <w:p>
      <w:pPr>
        <w:pStyle w:val="BodyText"/>
      </w:pPr>
      <w:r>
        <w:t xml:space="preserve">In the third step we’ll inspect the difference in mean lengths between the vitamin C (VC) group and orange juice (OJ) group for each dose level applied.</w:t>
      </w:r>
    </w:p>
    <w:p>
      <w:pPr>
        <w:pStyle w:val="SourceCode"/>
      </w:pPr>
      <w:r>
        <w:rPr>
          <w:rStyle w:val="NormalTok"/>
        </w:rPr>
        <w:t xml:space="preserve">dose05VC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dose1VC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dose2VC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dose05OJ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len[OJ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dose1OJ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len[OJ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dose2OJ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len[OJ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As in previous cases, we’ll assume that observations are not paired and that variances are not equal.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(dose05VC, dose05OJ)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FirstParagraph"/>
      </w:pPr>
      <w:r>
        <w:t xml:space="preserve">[1] 0.006358607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(dose05VC, dose05OJ)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FirstParagraph"/>
      </w:pPr>
      <w:r>
        <w:t xml:space="preserve">[1] -8.780943 -1.719057</w:t>
      </w:r>
      <w:r>
        <w:t xml:space="preserve"> </w:t>
      </w:r>
      <w:r>
        <w:t xml:space="preserve">attr(,</w:t>
      </w:r>
      <w:r>
        <w:t xml:space="preserve">“</w:t>
      </w:r>
      <w:r>
        <w:t xml:space="preserve">conf.level</w:t>
      </w:r>
      <w:r>
        <w:t xml:space="preserve">”</w:t>
      </w:r>
      <w:r>
        <w:t xml:space="preserve">)</w:t>
      </w:r>
      <w:r>
        <w:t xml:space="preserve"> </w:t>
      </w:r>
      <w:r>
        <w:t xml:space="preserve">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(dose1VC, dose1OJ)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FirstParagraph"/>
      </w:pPr>
      <w:r>
        <w:t xml:space="preserve">[1] 0.001038376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(dose1VC, dose1OJ)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FirstParagraph"/>
      </w:pPr>
      <w:r>
        <w:t xml:space="preserve">[1] -9.057852 -2.802148</w:t>
      </w:r>
      <w:r>
        <w:t xml:space="preserve"> </w:t>
      </w:r>
      <w:r>
        <w:t xml:space="preserve">attr(,</w:t>
      </w:r>
      <w:r>
        <w:t xml:space="preserve">“</w:t>
      </w:r>
      <w:r>
        <w:t xml:space="preserve">conf.level</w:t>
      </w:r>
      <w:r>
        <w:t xml:space="preserve">”</w:t>
      </w:r>
      <w:r>
        <w:t xml:space="preserve">)</w:t>
      </w:r>
      <w:r>
        <w:t xml:space="preserve"> </w:t>
      </w:r>
      <w:r>
        <w:t xml:space="preserve">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(dose2VC, dose2OJ)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FirstParagraph"/>
      </w:pPr>
      <w:r>
        <w:t xml:space="preserve">[1] 0.9638516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(dose2VC, dose2OJ)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FirstParagraph"/>
      </w:pPr>
      <w:r>
        <w:t xml:space="preserve">[1] -3.63807 3.79807</w:t>
      </w:r>
      <w:r>
        <w:t xml:space="preserve"> </w:t>
      </w:r>
      <w:r>
        <w:t xml:space="preserve">attr(,</w:t>
      </w:r>
      <w:r>
        <w:t xml:space="preserve">“</w:t>
      </w:r>
      <w:r>
        <w:t xml:space="preserve">conf.level</w:t>
      </w:r>
      <w:r>
        <w:t xml:space="preserve">”</w:t>
      </w:r>
      <w:r>
        <w:t xml:space="preserve">)</w:t>
      </w:r>
      <w:r>
        <w:t xml:space="preserve"> </w:t>
      </w:r>
      <w:r>
        <w:t xml:space="preserve">[1] 0.95</w:t>
      </w:r>
    </w:p>
    <w:p>
      <w:pPr>
        <w:pStyle w:val="BodyText"/>
      </w:pPr>
      <w:r>
        <w:t xml:space="preserve">We can see from the t-tests that the difference between group means for VC and OJ is statistically significant for dose levels 0.5 and 1 mg/day, because the p-values are less than 0.05. The dose of 2 mg/day has a large p-value and the confidence interval includes zero, therefore there is no significant difference.</w:t>
      </w:r>
    </w:p>
    <w:p>
      <w:pPr>
        <w:pStyle w:val="Heading2"/>
      </w:pPr>
      <w:bookmarkStart w:id="23" w:name="conclusions"/>
      <w:bookmarkEnd w:id="23"/>
      <w:r>
        <w:t xml:space="preserve">Conclusions</w:t>
      </w:r>
    </w:p>
    <w:p>
      <w:pPr>
        <w:pStyle w:val="FirstParagraph"/>
      </w:pPr>
      <w:r>
        <w:t xml:space="preserve">The assumptions:</w:t>
      </w:r>
    </w:p>
    <w:p>
      <w:pPr>
        <w:numPr>
          <w:numId w:val="1001"/>
          <w:ilvl w:val="0"/>
        </w:numPr>
      </w:pPr>
      <w:r>
        <w:t xml:space="preserve">Samples used are random iid samples.</w:t>
      </w:r>
    </w:p>
    <w:p>
      <w:pPr>
        <w:numPr>
          <w:numId w:val="1001"/>
          <w:ilvl w:val="0"/>
        </w:numPr>
      </w:pPr>
      <w:r>
        <w:t xml:space="preserve">Each sample is indeendent of one another, in other words, they are not paired.</w:t>
      </w:r>
    </w:p>
    <w:p>
      <w:pPr>
        <w:numPr>
          <w:numId w:val="1001"/>
          <w:ilvl w:val="0"/>
        </w:numPr>
      </w:pPr>
      <w:r>
        <w:t xml:space="preserve">The population distribution of each samle must be approximately normal or mound shaped and roughly symetric.</w:t>
      </w:r>
    </w:p>
    <w:p>
      <w:pPr>
        <w:pStyle w:val="FirstParagraph"/>
      </w:pPr>
      <w:r>
        <w:t xml:space="preserve">Conclusions:</w:t>
      </w:r>
    </w:p>
    <w:p>
      <w:pPr>
        <w:pStyle w:val="BodyText"/>
      </w:pPr>
      <w:r>
        <w:rPr>
          <w:b/>
        </w:rPr>
        <w:t xml:space="preserve">4. State your conclusions and the assumptions needed for your conclusions.</w:t>
      </w:r>
      <w:r>
        <w:t xml:space="preserve"> </w:t>
      </w:r>
      <w:r>
        <w:rPr>
          <w:b/>
        </w:rPr>
        <w:t xml:space="preserve">Assumptions:</w:t>
      </w:r>
      <w:r>
        <w:t xml:space="preserve"> </w:t>
      </w:r>
      <w:r>
        <w:t xml:space="preserve">1. Samples used are random iid samples.</w:t>
      </w:r>
      <w:r>
        <w:t xml:space="preserve"> </w:t>
      </w:r>
      <w:r>
        <w:t xml:space="preserve">2. Each sample is indeendent of one another, in other words, they are not paired.</w:t>
      </w:r>
      <w:r>
        <w:t xml:space="preserve"> </w:t>
      </w:r>
      <w:r>
        <w:t xml:space="preserve">3. The population distribution of each samle must be approximately normal or mound shaped and roughly symetric.</w:t>
      </w:r>
      <w:r>
        <w:t xml:space="preserve"> </w:t>
      </w:r>
      <w:r>
        <w:rPr>
          <w:b/>
        </w:rPr>
        <w:t xml:space="preserve">Conclusions:</w:t>
      </w:r>
      <w:r>
        <w:t xml:space="preserve"> </w:t>
      </w:r>
      <w:r>
        <w:t xml:space="preserve">1. Supplement type alone does not affect the mean value of length of odontoblasts (cells responsible for</w:t>
      </w:r>
      <w:r>
        <w:t xml:space="preserve"> </w:t>
      </w:r>
      <w:r>
        <w:t xml:space="preserve">toothgrowth).</w:t>
      </w:r>
      <w:r>
        <w:t xml:space="preserve"> </w:t>
      </w:r>
      <w:r>
        <w:t xml:space="preserve">2. Dose level alone, without consideraton of supplement type affects tooth growth significantly. Increasing the dosage will induce better tooth growth.</w:t>
      </w:r>
      <w:r>
        <w:t xml:space="preserve"> </w:t>
      </w:r>
      <w:r>
        <w:t xml:space="preserve">3. Orange Juice as a supplement, when used in dose levels of 0.5 mg/day and 1mg/day promotes better tooth</w:t>
      </w:r>
      <w:r>
        <w:t xml:space="preserve"> </w:t>
      </w:r>
      <w:r>
        <w:t xml:space="preserve">growth than ascorbic acid. When applied in dose level of 2 mg/day, it has an effect on tooth growth similar</w:t>
      </w:r>
      <w:r>
        <w:t xml:space="preserve"> </w:t>
      </w:r>
      <w:r>
        <w:t xml:space="preserve">to that of an ascorbic acid.</w:t>
      </w:r>
    </w:p>
    <w:p>
      <w:pPr>
        <w:pStyle w:val="BodyText"/>
      </w:pPr>
      <w:r>
        <w:t xml:space="preserve">The result of comparing all the doses is that their p-values are very low and the confidence intervals do not contain zero, so we can deny the hypothesis and conclude that the dose does affect the tooth length.</w:t>
      </w:r>
    </w:p>
    <w:p>
      <w:pPr>
        <w:pStyle w:val="Heading2"/>
      </w:pPr>
      <w:bookmarkStart w:id="24" w:name="conclusion"/>
      <w:bookmarkEnd w:id="24"/>
      <w:r>
        <w:t xml:space="preserve">Conclusion</w:t>
      </w:r>
    </w:p>
    <w:p>
      <w:pPr>
        <w:pStyle w:val="FirstParagraph"/>
      </w:pPr>
      <w:r>
        <w:t xml:space="preserve">In conclusion I have analysed the tooth growth data and confirmed that an increase if the dose of the supplement increases the tooth growth. It is inconclusive whether the type of supplement, vitamin C or orange juice, affects the tooth The assumptions needed for these coclusions is that the guinea pigs were randonmly selected from a population of guinea pigs. v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1661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9b9d74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Peer-graded Assignment: Statistical Inference Course Project Part II</dc:title>
  <dc:creator>Koen Vermeulen</dc:creator>
  <dcterms:created xsi:type="dcterms:W3CDTF">2019-08-09T21:02:21Z</dcterms:created>
  <dcterms:modified xsi:type="dcterms:W3CDTF">2019-08-09T21:02:21Z</dcterms:modified>
</cp:coreProperties>
</file>