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xmlns:w15="http://schemas.microsoft.com/office/word/2012/wordml" xmlns:wp14="http://schemas.microsoft.com/office/word/2010/wordprocessingDrawing" mc:Ignorable="w14 w15 wp14">
  <w:body>
    <w:p>
      <w:pPr>
        <w:spacing w:before="1200" w:after="160"/>
        <w:jc w:val="center"/>
      </w:pPr>
      <w:r>
        <w:rPr>
          <w:rFonts w:ascii="Arial" w:cs="Arial" w:eastAsia="Arial" w:hAnsi="Arial"/>
          <w:color w:val="888888"/>
          <w:sz w:val="28"/>
          <w:szCs w:val="28"/>
        </w:rPr>
        <w:t xml:space="preserve">Signal Matrix Platform</w:t>
      </w:r>
    </w:p>
    <w:p>
      <w:pPr>
        <w:spacing w:before="0" w:after="200"/>
        <w:jc w:val="center"/>
      </w:pPr>
      <w:r>
        <w:rPr>
          <w:rFonts w:ascii="Arial" w:cs="Arial" w:eastAsia="Arial" w:hAnsi="Arial"/>
          <w:b/>
          <w:bCs/>
          <w:color w:val="1F3864"/>
          <w:sz w:val="56"/>
          <w:szCs w:val="56"/>
        </w:rPr>
        <w:t xml:space="preserve">Quad Tracker Dashboard</w:t>
      </w:r>
    </w:p>
    <w:p>
      <w:pPr>
        <w:spacing w:before="0" w:after="80"/>
        <w:jc w:val="center"/>
      </w:pPr>
      <w:r>
        <w:rPr>
          <w:rFonts w:ascii="Arial" w:cs="Arial" w:eastAsia="Arial" w:hAnsi="Arial"/>
          <w:color w:val="2E75B6"/>
          <w:sz w:val="28"/>
          <w:szCs w:val="28"/>
        </w:rPr>
        <w:t xml:space="preserve">Macro Regime Detection &amp; Forward Quad Probability Engine</w:t>
      </w:r>
    </w:p>
    <w:p>
      <w:pPr>
        <w:spacing w:before="0" w:after="800"/>
        <w:jc w:val="center"/>
      </w:pPr>
      <w:r>
        <w:rPr>
          <w:rFonts w:ascii="Arial" w:cs="Arial" w:eastAsia="Arial" w:hAnsi="Arial"/>
          <w:color w:val="888888"/>
          <w:sz w:val="22"/>
          <w:szCs w:val="22"/>
        </w:rPr>
        <w:t xml:space="preserve">Specification Document  |  Version 1.0  |  March 2026  |  Confidential</w:t>
      </w:r>
    </w:p>
    <w:p>
      <w:pPr>
        <w:pBdr>
          <w:bottom w:val="single" w:color="2E75B6" w:sz="4" w:space="1"/>
        </w:pBdr>
        <w:spacing w:before="160" w:after="160"/>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pStyle w:val="Heading1"/>
        <w:spacing w:before="400" w:after="160"/>
      </w:pPr>
      <w:r>
        <w:rPr>
          <w:rFonts w:ascii="Arial" w:cs="Arial" w:eastAsia="Arial" w:hAnsi="Arial"/>
          <w:b/>
          <w:bCs/>
          <w:color w:val="1F3864"/>
          <w:sz w:val="34"/>
          <w:szCs w:val="34"/>
        </w:rPr>
        <w:t xml:space="preserve">1. Overview</w:t>
      </w:r>
    </w:p>
    <w:p>
      <w:pPr>
        <w:spacing w:before="60" w:after="80"/>
      </w:pPr>
      <w:r>
        <w:rPr>
          <w:rFonts w:ascii="Arial" w:cs="Arial" w:eastAsia="Arial" w:hAnsi="Arial"/>
          <w:sz w:val="22"/>
          <w:szCs w:val="22"/>
        </w:rPr>
        <w:t xml:space="preserve">The Quad Tracker is the macroeconomic regime intelligence layer of the Signal Matrix Platform. Its purpose is to predict, one to four quarters forward, which of four macro regimes the economy is transitioning into — and map those regimes to asset class and sector positioning implications.</w:t>
      </w:r>
    </w:p>
    <w:p>
      <w:pPr>
        <w:spacing w:before="60" w:after="60"/>
      </w:pPr>
      <w:r>
        <w:rPr>
          <w:rFonts w:ascii="Arial" w:cs="Arial" w:eastAsia="Arial" w:hAnsi="Arial"/>
          <w:sz w:val="22"/>
          <w:szCs w:val="22"/>
        </w:rPr>
        <w:t xml:space="preserve"/>
      </w:r>
    </w:p>
    <w:p>
      <w:pPr>
        <w:spacing w:before="60" w:after="80"/>
      </w:pPr>
      <w:r>
        <w:rPr>
          <w:rFonts w:ascii="Arial" w:cs="Arial" w:eastAsia="Arial" w:hAnsi="Arial"/>
          <w:sz w:val="22"/>
          <w:szCs w:val="22"/>
        </w:rPr>
        <w:t xml:space="preserve">The Quad Tracker does not generate trading signals. It provides macro context that can amplify or temper conviction in signals generated by the Signal Matrix engine. Critically, the market front-runs the macro regime: by the time a Quad transition is officially realized, the Signal Matrix should have already positioned the investor accordingly. The Quad Tracker explains why a signal is occurring — it does not trigger it.</w:t>
      </w:r>
    </w:p>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1.1 Core Principle</w:t>
      </w:r>
    </w:p>
    <w:p>
      <w:pPr>
        <w:pStyle w:val="ListParagraph"/>
        <w:numPr>
          <w:ilvl w:val="0"/>
          <w:numId w:val="2"/>
        </w:numPr>
        <w:spacing w:before="40" w:after="40"/>
      </w:pPr>
      <w:r>
        <w:rPr>
          <w:rFonts w:ascii="Arial" w:cs="Arial" w:eastAsia="Arial" w:hAnsi="Arial"/>
          <w:b w:val="false"/>
          <w:bCs w:val="false"/>
          <w:color w:val="000000"/>
          <w:sz w:val="22"/>
          <w:szCs w:val="22"/>
        </w:rPr>
        <w:t xml:space="preserve">The market prices in macro regime transitions 1–3 quarters before they arrive</w:t>
      </w:r>
    </w:p>
    <w:p>
      <w:pPr>
        <w:pStyle w:val="ListParagraph"/>
        <w:numPr>
          <w:ilvl w:val="0"/>
          <w:numId w:val="2"/>
        </w:numPr>
        <w:spacing w:before="40" w:after="40"/>
      </w:pPr>
      <w:r>
        <w:rPr>
          <w:rFonts w:ascii="Arial" w:cs="Arial" w:eastAsia="Arial" w:hAnsi="Arial"/>
          <w:b w:val="false"/>
          <w:bCs w:val="false"/>
          <w:color w:val="000000"/>
          <w:sz w:val="22"/>
          <w:szCs w:val="22"/>
        </w:rPr>
        <w:t xml:space="preserve">Signal Matrix signals are the market's forward-pricing mechanism in action</w:t>
      </w:r>
    </w:p>
    <w:p>
      <w:pPr>
        <w:pStyle w:val="ListParagraph"/>
        <w:numPr>
          <w:ilvl w:val="0"/>
          <w:numId w:val="2"/>
        </w:numPr>
        <w:spacing w:before="40" w:after="40"/>
      </w:pPr>
      <w:r>
        <w:rPr>
          <w:rFonts w:ascii="Arial" w:cs="Arial" w:eastAsia="Arial" w:hAnsi="Arial"/>
          <w:b w:val="false"/>
          <w:bCs w:val="false"/>
          <w:color w:val="000000"/>
          <w:sz w:val="22"/>
          <w:szCs w:val="22"/>
        </w:rPr>
        <w:t xml:space="preserve">Quad Tracker provides the macro narrative behind the signal — not an override of it</w:t>
      </w:r>
    </w:p>
    <w:p>
      <w:pPr>
        <w:pStyle w:val="ListParagraph"/>
        <w:numPr>
          <w:ilvl w:val="0"/>
          <w:numId w:val="2"/>
        </w:numPr>
        <w:spacing w:before="40" w:after="40"/>
      </w:pPr>
      <w:r>
        <w:rPr>
          <w:rFonts w:ascii="Arial" w:cs="Arial" w:eastAsia="Arial" w:hAnsi="Arial"/>
          <w:b w:val="false"/>
          <w:bCs w:val="false"/>
          <w:color w:val="000000"/>
          <w:sz w:val="22"/>
          <w:szCs w:val="22"/>
        </w:rPr>
        <w:t xml:space="preserve">High Signal Matrix conviction + confirming Quad transition = highest confidence positioning</w:t>
      </w:r>
    </w:p>
    <w:p>
      <w:pPr>
        <w:pStyle w:val="ListParagraph"/>
        <w:numPr>
          <w:ilvl w:val="0"/>
          <w:numId w:val="2"/>
        </w:numPr>
        <w:spacing w:before="40" w:after="40"/>
      </w:pPr>
      <w:r>
        <w:rPr>
          <w:rFonts w:ascii="Arial" w:cs="Arial" w:eastAsia="Arial" w:hAnsi="Arial"/>
          <w:b w:val="false"/>
          <w:bCs w:val="false"/>
          <w:color w:val="000000"/>
          <w:sz w:val="22"/>
          <w:szCs w:val="22"/>
        </w:rPr>
        <w:t xml:space="preserve">Signal Matrix conviction alone is sufficient to act — Quad context adds color, not permission</w:t>
      </w:r>
    </w:p>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1.2 The Four Quadrants</w:t>
      </w:r>
    </w:p>
    <w:p>
      <w:pPr>
        <w:spacing w:before="60" w:after="80"/>
      </w:pPr>
      <w:r>
        <w:rPr>
          <w:rFonts w:ascii="Arial" w:cs="Arial" w:eastAsia="Arial" w:hAnsi="Arial"/>
          <w:sz w:val="22"/>
          <w:szCs w:val="22"/>
        </w:rPr>
        <w:t xml:space="preserve">All four quads are defined by the Rate of Change (ROC) direction of two independent variables: Growth and Inflation. It is the direction and speed of change — not the absolute level — that determines the quad.</w:t>
      </w:r>
    </w:p>
    <w:p>
      <w:pPr>
        <w:spacing w:before="6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vMerge w:val="restart"/>
            <w:tcBorders>
              <w:top w:val="single" w:color="FFFFFF" w:sz="1"/>
              <w:left w:val="single" w:color="FFFFFF" w:sz="1"/>
              <w:bottom w:val="single" w:color="FFFFFF" w:sz="1"/>
              <w:right w:val="single" w:color="FFFFFF" w:sz="1"/>
            </w:tcBorders>
            <w:shd w:fill="FFFFFF" w:val="clear"/>
          </w:tcPr>
          <w:p>
            <w:r>
              <w:rPr>
                <w:rFonts w:ascii="Arial" w:cs="Arial" w:eastAsia="Arial" w:hAnsi="Arial"/>
                <w:sz w:val="22"/>
                <w:szCs w:val="22"/>
              </w:rPr>
              <w:t xml:space="preserve"/>
            </w:r>
          </w:p>
        </w:tc>
        <w:tc>
          <w:tcPr>
            <w:tcW w:type="dxa" w:w="4080"/>
            <w:tcBorders>
              <w:top w:val="single" w:color="999999" w:sz="1"/>
              <w:left w:val="single" w:color="999999" w:sz="1"/>
              <w:bottom w:val="single" w:color="999999" w:sz="1"/>
              <w:right w:val="single" w:color="999999" w:sz="1"/>
            </w:tcBorders>
            <w:shd w:fill="1A7A3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QUAD 1  —  Growth ↑  Inflation ↓</w:t>
            </w:r>
          </w:p>
        </w:tc>
        <w:tc>
          <w:tcPr>
            <w:tcW w:type="dxa" w:w="4080"/>
            <w:tcBorders>
              <w:top w:val="single" w:color="999999" w:sz="1"/>
              <w:left w:val="single" w:color="999999" w:sz="1"/>
              <w:bottom w:val="single" w:color="999999" w:sz="1"/>
              <w:right w:val="single" w:color="999999"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QUAD 2  —  Growth ↑  Inflation ↑</w:t>
            </w:r>
          </w:p>
        </w:tc>
      </w:tr>
      <w:tr>
        <w:tc>
          <w:tcPr>
            <w:vMerge w:val="continue"/>
            <w:tcBorders>
              <w:top w:val="single" w:color="FFFFFF" w:sz="1"/>
              <w:left w:val="single" w:color="FFFFFF" w:sz="1"/>
              <w:bottom w:val="single" w:color="FFFFFF" w:sz="1"/>
              <w:right w:val="single" w:color="FFFFFF" w:sz="1"/>
            </w:tcBorders>
          </w:tcPr>
          <w:p/>
        </w:tc>
        <w:tc>
          <w:tcPr>
            <w:tcW w:type="dxa" w:w="4080"/>
            <w:tcBorders>
              <w:top w:val="single" w:color="999999" w:sz="1"/>
              <w:left w:val="single" w:color="999999" w:sz="1"/>
              <w:bottom w:val="single" w:color="999999" w:sz="1"/>
              <w:right w:val="single" w:color="999999" w:sz="1"/>
            </w:tcBorders>
            <w:shd w:fill="EAF4EE" w:val="clear"/>
            <w:tcMar>
              <w:top w:type="dxa" w:w="120"/>
              <w:left w:type="dxa" w:w="200"/>
              <w:bottom w:type="dxa" w:w="120"/>
              <w:right w:type="dxa" w:w="140"/>
            </w:tcMar>
          </w:tcPr>
          <w:p>
            <w:pPr>
              <w:spacing w:before="30" w:after="30"/>
            </w:pPr>
            <w:r>
              <w:rPr>
                <w:rFonts w:ascii="Arial" w:cs="Arial" w:eastAsia="Arial" w:hAnsi="Arial"/>
                <w:color w:val="222222"/>
                <w:sz w:val="19"/>
                <w:szCs w:val="19"/>
              </w:rPr>
              <w:t xml:space="preserve">Pro-Growth Positioning</w:t>
            </w:r>
          </w:p>
          <w:p>
            <w:pPr>
              <w:spacing w:before="30" w:after="30"/>
            </w:pPr>
            <w:r>
              <w:rPr>
                <w:rFonts w:ascii="Arial" w:cs="Arial" w:eastAsia="Arial" w:hAnsi="Arial"/>
                <w:color w:val="222222"/>
                <w:sz w:val="19"/>
                <w:szCs w:val="19"/>
              </w:rPr>
              <w:t xml:space="preserve">Best environment for risk assets.</w:t>
            </w:r>
          </w:p>
          <w:p>
            <w:pPr>
              <w:spacing w:before="30" w:after="30"/>
            </w:pPr>
            <w:r>
              <w:rPr>
                <w:rFonts w:ascii="Arial" w:cs="Arial" w:eastAsia="Arial" w:hAnsi="Arial"/>
                <w:color w:val="222222"/>
                <w:sz w:val="19"/>
                <w:szCs w:val="19"/>
              </w:rPr>
              <w:t xml:space="preserve">Equities outperform broadly.</w:t>
            </w:r>
          </w:p>
          <w:p>
            <w:pPr>
              <w:spacing w:before="30" w:after="30"/>
            </w:pPr>
            <w:r>
              <w:rPr>
                <w:rFonts w:ascii="Arial" w:cs="Arial" w:eastAsia="Arial" w:hAnsi="Arial"/>
                <w:color w:val="222222"/>
                <w:sz w:val="19"/>
                <w:szCs w:val="19"/>
              </w:rPr>
              <w:t xml:space="preserve">Bonds rally as inflation falls.</w:t>
            </w:r>
          </w:p>
          <w:p>
            <w:pPr>
              <w:spacing w:before="30" w:after="30"/>
            </w:pPr>
            <w:r>
              <w:rPr>
                <w:rFonts w:ascii="Arial" w:cs="Arial" w:eastAsia="Arial" w:hAnsi="Arial"/>
                <w:color w:val="222222"/>
                <w:sz w:val="19"/>
                <w:szCs w:val="19"/>
              </w:rPr>
              <w:t xml:space="preserve">Growth factors lead.</w:t>
            </w:r>
          </w:p>
          <w:p>
            <w:pPr>
              <w:spacing w:before="30" w:after="30"/>
            </w:pPr>
            <w:r>
              <w:rPr>
                <w:rFonts w:ascii="Arial" w:cs="Arial" w:eastAsia="Arial" w:hAnsi="Arial"/>
                <w:color w:val="222222"/>
                <w:sz w:val="19"/>
                <w:szCs w:val="19"/>
              </w:rPr>
              <w:t xml:space="preserve">Gold underperforms.</w:t>
            </w:r>
          </w:p>
        </w:tc>
        <w:tc>
          <w:tcPr>
            <w:tcW w:type="dxa" w:w="4080"/>
            <w:tcBorders>
              <w:top w:val="single" w:color="999999" w:sz="1"/>
              <w:left w:val="single" w:color="999999" w:sz="1"/>
              <w:bottom w:val="single" w:color="999999" w:sz="1"/>
              <w:right w:val="single" w:color="999999" w:sz="1"/>
            </w:tcBorders>
            <w:shd w:fill="EEF3F8" w:val="clear"/>
            <w:tcMar>
              <w:top w:type="dxa" w:w="120"/>
              <w:left w:type="dxa" w:w="200"/>
              <w:bottom w:type="dxa" w:w="120"/>
              <w:right w:type="dxa" w:w="140"/>
            </w:tcMar>
          </w:tcPr>
          <w:p>
            <w:pPr>
              <w:spacing w:before="30" w:after="30"/>
            </w:pPr>
            <w:r>
              <w:rPr>
                <w:rFonts w:ascii="Arial" w:cs="Arial" w:eastAsia="Arial" w:hAnsi="Arial"/>
                <w:color w:val="222222"/>
                <w:sz w:val="19"/>
                <w:szCs w:val="19"/>
              </w:rPr>
              <w:t xml:space="preserve">Pro-Growth + Inflation Hedges</w:t>
            </w:r>
          </w:p>
          <w:p>
            <w:pPr>
              <w:spacing w:before="30" w:after="30"/>
            </w:pPr>
            <w:r>
              <w:rPr>
                <w:rFonts w:ascii="Arial" w:cs="Arial" w:eastAsia="Arial" w:hAnsi="Arial"/>
                <w:color w:val="222222"/>
                <w:sz w:val="19"/>
                <w:szCs w:val="19"/>
              </w:rPr>
              <w:t xml:space="preserve">Equities still work but late cycle.</w:t>
            </w:r>
          </w:p>
          <w:p>
            <w:pPr>
              <w:spacing w:before="30" w:after="30"/>
            </w:pPr>
            <w:r>
              <w:rPr>
                <w:rFonts w:ascii="Arial" w:cs="Arial" w:eastAsia="Arial" w:hAnsi="Arial"/>
                <w:color w:val="222222"/>
                <w:sz w:val="19"/>
                <w:szCs w:val="19"/>
              </w:rPr>
              <w:t xml:space="preserve">Commodities and real assets outperform.</w:t>
            </w:r>
          </w:p>
          <w:p>
            <w:pPr>
              <w:spacing w:before="30" w:after="30"/>
            </w:pPr>
            <w:r>
              <w:rPr>
                <w:rFonts w:ascii="Arial" w:cs="Arial" w:eastAsia="Arial" w:hAnsi="Arial"/>
                <w:color w:val="222222"/>
                <w:sz w:val="19"/>
                <w:szCs w:val="19"/>
              </w:rPr>
              <w:t xml:space="preserve">Energy, Materials, Industrials lead.</w:t>
            </w:r>
          </w:p>
          <w:p>
            <w:pPr>
              <w:spacing w:before="30" w:after="30"/>
            </w:pPr>
            <w:r>
              <w:rPr>
                <w:rFonts w:ascii="Arial" w:cs="Arial" w:eastAsia="Arial" w:hAnsi="Arial"/>
                <w:color w:val="222222"/>
                <w:sz w:val="19"/>
                <w:szCs w:val="19"/>
              </w:rPr>
              <w:t xml:space="preserve">TIPS, Gold perform well.</w:t>
            </w:r>
          </w:p>
          <w:p>
            <w:pPr>
              <w:spacing w:before="30" w:after="30"/>
            </w:pPr>
            <w:r>
              <w:rPr>
                <w:rFonts w:ascii="Arial" w:cs="Arial" w:eastAsia="Arial" w:hAnsi="Arial"/>
                <w:color w:val="222222"/>
                <w:sz w:val="19"/>
                <w:szCs w:val="19"/>
              </w:rPr>
              <w:t xml:space="preserve">Duration (TLT) underperforms.</w:t>
            </w:r>
          </w:p>
        </w:tc>
      </w:tr>
      <w:tr>
        <w:tc>
          <w:tcPr>
            <w:vMerge w:val="continue"/>
            <w:tcBorders>
              <w:top w:val="single" w:color="FFFFFF" w:sz="1"/>
              <w:left w:val="single" w:color="FFFFFF" w:sz="1"/>
              <w:bottom w:val="single" w:color="FFFFFF" w:sz="1"/>
              <w:right w:val="single" w:color="FFFFFF" w:sz="1"/>
            </w:tcBorders>
          </w:tcPr>
          <w:p/>
        </w:tc>
        <w:tc>
          <w:tcPr>
            <w:tcW w:type="dxa" w:w="4080"/>
            <w:tcBorders>
              <w:top w:val="single" w:color="999999" w:sz="1"/>
              <w:left w:val="single" w:color="999999" w:sz="1"/>
              <w:bottom w:val="single" w:color="999999" w:sz="1"/>
              <w:right w:val="single" w:color="999999" w:sz="1"/>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QUAD 4  —  Growth ↓  Inflation ↓</w:t>
            </w:r>
          </w:p>
        </w:tc>
        <w:tc>
          <w:tcPr>
            <w:tcW w:type="dxa" w:w="4080"/>
            <w:tcBorders>
              <w:top w:val="single" w:color="999999" w:sz="1"/>
              <w:left w:val="single" w:color="999999" w:sz="1"/>
              <w:bottom w:val="single" w:color="999999" w:sz="1"/>
              <w:right w:val="single" w:color="999999" w:sz="1"/>
            </w:tcBorders>
            <w:shd w:fill="B8660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QUAD 3  —  Growth ↓  Inflation ↑</w:t>
            </w:r>
          </w:p>
        </w:tc>
      </w:tr>
      <w:tr>
        <w:tc>
          <w:tcPr>
            <w:tcW w:type="dxa" w:w="1200"/>
            <w:tcBorders>
              <w:top w:val="single" w:color="FFFFFF" w:sz="1"/>
              <w:left w:val="single" w:color="FFFFFF" w:sz="1"/>
              <w:bottom w:val="single" w:color="FFFFFF" w:sz="1"/>
              <w:right w:val="single" w:color="FFFFFF" w:sz="1"/>
            </w:tcBorders>
            <w:shd w:fill="FFFFFF" w:val="clear"/>
          </w:tcPr>
          <w:p>
            <w:r>
              <w:rPr>
                <w:rFonts w:ascii="Arial" w:cs="Arial" w:eastAsia="Arial" w:hAnsi="Arial"/>
                <w:sz w:val="22"/>
                <w:szCs w:val="22"/>
              </w:rPr>
              <w:t xml:space="preserve"/>
            </w:r>
          </w:p>
        </w:tc>
        <w:tc>
          <w:tcPr>
            <w:tcW w:type="dxa" w:w="4080"/>
            <w:tcBorders>
              <w:top w:val="single" w:color="999999" w:sz="1"/>
              <w:left w:val="single" w:color="999999" w:sz="1"/>
              <w:bottom w:val="single" w:color="999999" w:sz="1"/>
              <w:right w:val="single" w:color="999999" w:sz="1"/>
            </w:tcBorders>
            <w:shd w:fill="FAEAEA" w:val="clear"/>
            <w:tcMar>
              <w:top w:type="dxa" w:w="120"/>
              <w:left w:type="dxa" w:w="200"/>
              <w:bottom w:type="dxa" w:w="120"/>
              <w:right w:type="dxa" w:w="140"/>
            </w:tcMar>
          </w:tcPr>
          <w:p>
            <w:pPr>
              <w:spacing w:before="30" w:after="30"/>
            </w:pPr>
            <w:r>
              <w:rPr>
                <w:rFonts w:ascii="Arial" w:cs="Arial" w:eastAsia="Arial" w:hAnsi="Arial"/>
                <w:color w:val="222222"/>
                <w:sz w:val="19"/>
                <w:szCs w:val="19"/>
              </w:rPr>
              <w:t xml:space="preserve">Defensive + Volatility Assets</w:t>
            </w:r>
          </w:p>
          <w:p>
            <w:pPr>
              <w:spacing w:before="30" w:after="30"/>
            </w:pPr>
            <w:r>
              <w:rPr>
                <w:rFonts w:ascii="Arial" w:cs="Arial" w:eastAsia="Arial" w:hAnsi="Arial"/>
                <w:color w:val="222222"/>
                <w:sz w:val="19"/>
                <w:szCs w:val="19"/>
              </w:rPr>
              <w:t xml:space="preserve">Growth slowing, deflation risk rising.</w:t>
            </w:r>
          </w:p>
          <w:p>
            <w:pPr>
              <w:spacing w:before="30" w:after="30"/>
            </w:pPr>
            <w:r>
              <w:rPr>
                <w:rFonts w:ascii="Arial" w:cs="Arial" w:eastAsia="Arial" w:hAnsi="Arial"/>
                <w:color w:val="222222"/>
                <w:sz w:val="19"/>
                <w:szCs w:val="19"/>
              </w:rPr>
              <w:t xml:space="preserve">Bonds rally strongly (TLT).</w:t>
            </w:r>
          </w:p>
          <w:p>
            <w:pPr>
              <w:spacing w:before="30" w:after="30"/>
            </w:pPr>
            <w:r>
              <w:rPr>
                <w:rFonts w:ascii="Arial" w:cs="Arial" w:eastAsia="Arial" w:hAnsi="Arial"/>
                <w:color w:val="222222"/>
                <w:sz w:val="19"/>
                <w:szCs w:val="19"/>
              </w:rPr>
              <w:t xml:space="preserve">Utilities, Consumer Staples defensive.</w:t>
            </w:r>
          </w:p>
          <w:p>
            <w:pPr>
              <w:spacing w:before="30" w:after="30"/>
            </w:pPr>
            <w:r>
              <w:rPr>
                <w:rFonts w:ascii="Arial" w:cs="Arial" w:eastAsia="Arial" w:hAnsi="Arial"/>
                <w:color w:val="222222"/>
                <w:sz w:val="19"/>
                <w:szCs w:val="19"/>
              </w:rPr>
              <w:t xml:space="preserve">Cash and short duration outperform.</w:t>
            </w:r>
          </w:p>
          <w:p>
            <w:pPr>
              <w:spacing w:before="30" w:after="30"/>
            </w:pPr>
            <w:r>
              <w:rPr>
                <w:rFonts w:ascii="Arial" w:cs="Arial" w:eastAsia="Arial" w:hAnsi="Arial"/>
                <w:color w:val="222222"/>
                <w:sz w:val="19"/>
                <w:szCs w:val="19"/>
              </w:rPr>
              <w:t xml:space="preserve">Risk assets and commodities fall.</w:t>
            </w:r>
          </w:p>
        </w:tc>
        <w:tc>
          <w:tcPr>
            <w:tcW w:type="dxa" w:w="4080"/>
            <w:tcBorders>
              <w:top w:val="single" w:color="999999" w:sz="1"/>
              <w:left w:val="single" w:color="999999" w:sz="1"/>
              <w:bottom w:val="single" w:color="999999" w:sz="1"/>
              <w:right w:val="single" w:color="999999" w:sz="1"/>
            </w:tcBorders>
            <w:shd w:fill="FDF3E3" w:val="clear"/>
            <w:tcMar>
              <w:top w:type="dxa" w:w="120"/>
              <w:left w:type="dxa" w:w="200"/>
              <w:bottom w:type="dxa" w:w="120"/>
              <w:right w:type="dxa" w:w="140"/>
            </w:tcMar>
          </w:tcPr>
          <w:p>
            <w:pPr>
              <w:spacing w:before="30" w:after="30"/>
            </w:pPr>
            <w:r>
              <w:rPr>
                <w:rFonts w:ascii="Arial" w:cs="Arial" w:eastAsia="Arial" w:hAnsi="Arial"/>
                <w:color w:val="222222"/>
                <w:sz w:val="19"/>
                <w:szCs w:val="19"/>
              </w:rPr>
              <w:t xml:space="preserve">Stagflation Protection</w:t>
            </w:r>
          </w:p>
          <w:p>
            <w:pPr>
              <w:spacing w:before="30" w:after="30"/>
            </w:pPr>
            <w:r>
              <w:rPr>
                <w:rFonts w:ascii="Arial" w:cs="Arial" w:eastAsia="Arial" w:hAnsi="Arial"/>
                <w:color w:val="222222"/>
                <w:sz w:val="19"/>
                <w:szCs w:val="19"/>
              </w:rPr>
              <w:t xml:space="preserve">Worst environment for stocks and bonds.</w:t>
            </w:r>
          </w:p>
          <w:p>
            <w:pPr>
              <w:spacing w:before="30" w:after="30"/>
            </w:pPr>
            <w:r>
              <w:rPr>
                <w:rFonts w:ascii="Arial" w:cs="Arial" w:eastAsia="Arial" w:hAnsi="Arial"/>
                <w:color w:val="222222"/>
                <w:sz w:val="19"/>
                <w:szCs w:val="19"/>
              </w:rPr>
              <w:t xml:space="preserve">Commodities, Gold, real assets outperform.</w:t>
            </w:r>
          </w:p>
          <w:p>
            <w:pPr>
              <w:spacing w:before="30" w:after="30"/>
            </w:pPr>
            <w:r>
              <w:rPr>
                <w:rFonts w:ascii="Arial" w:cs="Arial" w:eastAsia="Arial" w:hAnsi="Arial"/>
                <w:color w:val="222222"/>
                <w:sz w:val="19"/>
                <w:szCs w:val="19"/>
              </w:rPr>
              <w:t xml:space="preserve">Short duration bonds.</w:t>
            </w:r>
          </w:p>
          <w:p>
            <w:pPr>
              <w:spacing w:before="30" w:after="30"/>
            </w:pPr>
            <w:r>
              <w:rPr>
                <w:rFonts w:ascii="Arial" w:cs="Arial" w:eastAsia="Arial" w:hAnsi="Arial"/>
                <w:color w:val="222222"/>
                <w:sz w:val="19"/>
                <w:szCs w:val="19"/>
              </w:rPr>
              <w:t xml:space="preserve">Energy sector leads.</w:t>
            </w:r>
          </w:p>
          <w:p>
            <w:pPr>
              <w:spacing w:before="30" w:after="30"/>
            </w:pPr>
            <w:r>
              <w:rPr>
                <w:rFonts w:ascii="Arial" w:cs="Arial" w:eastAsia="Arial" w:hAnsi="Arial"/>
                <w:color w:val="222222"/>
                <w:sz w:val="19"/>
                <w:szCs w:val="19"/>
              </w:rPr>
              <w:t xml:space="preserve">Avoid growth and tech.</w:t>
            </w:r>
          </w:p>
        </w:tc>
      </w:tr>
    </w:tbl>
    <w:p>
      <w:pPr>
        <w:spacing w:before="80" w:after="4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Note: </w:t>
      </w:r>
      <w:r>
        <w:rPr>
          <w:rFonts w:ascii="Arial" w:cs="Arial" w:eastAsia="Arial" w:hAnsi="Arial"/>
          <w:sz w:val="22"/>
          <w:szCs w:val="22"/>
        </w:rPr>
        <w:t xml:space="preserve">Quad transitions are sequential — economies typically rotate Q1→Q2→Q3→Q4→Q1. Skipped transitions and reversals occur but are less common. The speed of rotation is as important as the direction.</w:t>
      </w:r>
    </w:p>
    <w:p>
      <w:pPr>
        <w:spacing w:before="80" w:after="80"/>
      </w:pPr>
      <w:r>
        <w:rPr>
          <w:rFonts w:ascii="Arial" w:cs="Arial" w:eastAsia="Arial" w:hAnsi="Arial"/>
          <w:sz w:val="22"/>
          <w:szCs w:val="22"/>
        </w:rPr>
        <w:t xml:space="preserve"/>
      </w:r>
    </w:p>
    <w:p>
      <w:pPr>
        <w:pStyle w:val="Heading1"/>
        <w:spacing w:before="400" w:after="160"/>
      </w:pPr>
      <w:r>
        <w:rPr>
          <w:rFonts w:ascii="Arial" w:cs="Arial" w:eastAsia="Arial" w:hAnsi="Arial"/>
          <w:b/>
          <w:bCs/>
          <w:color w:val="1F3864"/>
          <w:sz w:val="34"/>
          <w:szCs w:val="34"/>
        </w:rPr>
        <w:t xml:space="preserve">2. Scoring Engine</w:t>
      </w:r>
    </w:p>
    <w:p>
      <w:pPr>
        <w:pStyle w:val="Heading2"/>
        <w:spacing w:before="280" w:after="100"/>
      </w:pPr>
      <w:r>
        <w:rPr>
          <w:rFonts w:ascii="Arial" w:cs="Arial" w:eastAsia="Arial" w:hAnsi="Arial"/>
          <w:b/>
          <w:bCs/>
          <w:color w:val="2E75B6"/>
          <w:sz w:val="27"/>
          <w:szCs w:val="27"/>
        </w:rPr>
        <w:t xml:space="preserve">2.1 ROC Magnitude Scoring</w:t>
      </w:r>
    </w:p>
    <w:p>
      <w:pPr>
        <w:spacing w:before="60" w:after="80"/>
      </w:pPr>
      <w:r>
        <w:rPr>
          <w:rFonts w:ascii="Arial" w:cs="Arial" w:eastAsia="Arial" w:hAnsi="Arial"/>
          <w:sz w:val="22"/>
          <w:szCs w:val="22"/>
        </w:rPr>
        <w:t xml:space="preserve">Each indicator does not simply vote Up or Down. It outputs a continuous directional score from -100 to +100. This captures both direction and conviction — a large, fast move scores very differently from a slow drift in the same direction.</w:t>
      </w:r>
    </w:p>
    <w:p>
      <w:pPr>
        <w:spacing w:before="60" w:after="8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Score = Direction × Magnitude × Velocity</w:t>
      </w:r>
      <w:r>
        <w:rPr>
          <w:rFonts w:ascii="Arial" w:cs="Arial" w:eastAsia="Arial" w:hAnsi="Arial"/>
          <w:sz w:val="22"/>
          <w:szCs w:val="22"/>
        </w:rPr>
        <w:t xml:space="preserve">  (normalized to -100 / +100 scale)</w:t>
      </w:r>
    </w:p>
    <w:p>
      <w:pPr>
        <w:spacing w:before="6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w:t>
            </w:r>
          </w:p>
        </w:tc>
        <w:tc>
          <w:tcPr>
            <w:tcW w:type="dxa" w:w="4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Definition</w:t>
            </w:r>
          </w:p>
        </w:tc>
        <w:tc>
          <w:tcPr>
            <w:tcW w:type="dxa" w:w="3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Direction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Sign of ROC: positive = up, negative = 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PPI rising YoY → positive</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Magnitude</w:t>
            </w:r>
          </w:p>
        </w:tc>
        <w:tc>
          <w:tcPr>
            <w:tcW w:type="dxa" w:w="4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Absolute ROC vs indicator's own historical distribution, expressed as standard deviations</w:t>
            </w:r>
          </w:p>
        </w:tc>
        <w:tc>
          <w:tcPr>
            <w:tcW w:type="dxa" w:w="33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PPI +3.2% vs historical mean of +0.8% → 1.8 SD above mean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Velocity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Is the ROC itself accelerating or decelerating? Accelerating moves score 20% higher; decelerating score 20% lower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PPI accelerating for 3 consecutive months → velocity multiplier = 1.2</w:t>
            </w:r>
          </w:p>
        </w:tc>
      </w:tr>
      <w:tr>
        <w:tc>
          <w:tcPr>
            <w:tcW w:type="dxa" w:w="1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Final Score</w:t>
            </w:r>
          </w:p>
        </w:tc>
        <w:tc>
          <w:tcPr>
            <w:tcW w:type="dxa" w:w="4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Direction × (Magnitude SD / 2.0 capped at 1.0) × Velocity multiplier × 100</w:t>
            </w:r>
          </w:p>
        </w:tc>
        <w:tc>
          <w:tcPr>
            <w:tcW w:type="dxa" w:w="33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Score = +1 × 0.9 × 1.2 × 100 = +108 → capped at +100</w:t>
            </w:r>
          </w:p>
        </w:tc>
      </w:tr>
    </w:tbl>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2.2 Forward Projection — Momentum Decay Model</w:t>
      </w:r>
    </w:p>
    <w:p>
      <w:pPr>
        <w:spacing w:before="60" w:after="80"/>
      </w:pPr>
      <w:r>
        <w:rPr>
          <w:rFonts w:ascii="Arial" w:cs="Arial" w:eastAsia="Arial" w:hAnsi="Arial"/>
          <w:sz w:val="22"/>
          <w:szCs w:val="22"/>
        </w:rPr>
        <w:t xml:space="preserve">For Q2–Q4 forward quarters, current ROC trajectories are projected forward using a momentum decay model. The premise: macro trends persist but their momentum fades predictably over time without new data confirmation.</w:t>
      </w:r>
    </w:p>
    <w:p>
      <w:pPr>
        <w:spacing w:before="6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600"/>
        <w:gridCol w:w="1560"/>
        <w:gridCol w:w="2520"/>
      </w:tblGrid>
      <w:tr>
        <w:trPr>
          <w:tblHeader/>
        </w:trPr>
        <w:tc>
          <w:tcPr>
            <w:tcW w:type="dxa" w:w="1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Quarter</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Projection Method</w:t>
            </w:r>
          </w:p>
        </w:tc>
        <w:tc>
          <w:tcPr>
            <w:tcW w:type="dxa" w:w="1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Decay Factor</w:t>
            </w:r>
          </w:p>
        </w:tc>
        <w:tc>
          <w:tcPr>
            <w:tcW w:type="dxa" w:w="25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Rationale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Q1 (Current)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Live indicator scores — no projection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indicators refreshing in real time</w:t>
            </w:r>
          </w:p>
        </w:tc>
      </w:tr>
      <w:tr>
        <w:tc>
          <w:tcPr>
            <w:tcW w:type="dxa" w:w="1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Q2 (1Q Forward)</w:t>
            </w:r>
          </w:p>
        </w:tc>
        <w:tc>
          <w:tcPr>
            <w:tcW w:type="dxa" w:w="36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 ROC trajectory extrapolated</w:t>
            </w:r>
          </w:p>
        </w:tc>
        <w:tc>
          <w:tcPr>
            <w:tcW w:type="dxa" w:w="15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0.75</w:t>
            </w:r>
          </w:p>
        </w:tc>
        <w:tc>
          <w:tcPr>
            <w:tcW w:type="dxa" w:w="25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Near-term momentum largely persists; 25% decay for mean reversion risk</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Q3 (2Q Forward)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Q2 projection with additional decay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0.55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Meaningful uncertainty; structural trends dominate noise</w:t>
            </w:r>
          </w:p>
        </w:tc>
      </w:tr>
      <w:tr>
        <w:tc>
          <w:tcPr>
            <w:tcW w:type="dxa" w:w="1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Q4 (3Q Forward)</w:t>
            </w:r>
          </w:p>
        </w:tc>
        <w:tc>
          <w:tcPr>
            <w:tcW w:type="dxa" w:w="36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Q3 projection with additional decay</w:t>
            </w:r>
          </w:p>
        </w:tc>
        <w:tc>
          <w:tcPr>
            <w:tcW w:type="dxa" w:w="15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0.35</w:t>
            </w:r>
          </w:p>
        </w:tc>
        <w:tc>
          <w:tcPr>
            <w:tcW w:type="dxa" w:w="25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Long-range signal — directional bias only, not precision</w:t>
            </w:r>
          </w:p>
        </w:tc>
      </w:tr>
    </w:tbl>
    <w:p>
      <w:pPr>
        <w:spacing w:before="60" w:after="80"/>
      </w:pPr>
      <w:r>
        <w:rPr>
          <w:rFonts w:ascii="Arial" w:cs="Arial" w:eastAsia="Arial" w:hAnsi="Arial"/>
          <w:sz w:val="22"/>
          <w:szCs w:val="22"/>
        </w:rPr>
        <w:t xml:space="preserve"/>
      </w:r>
    </w:p>
    <w:p>
      <w:pPr>
        <w:spacing w:before="60" w:after="80"/>
      </w:pPr>
      <w:r>
        <w:rPr>
          <w:rFonts w:ascii="Arial" w:cs="Arial" w:eastAsia="Arial" w:hAnsi="Arial"/>
          <w:sz w:val="22"/>
          <w:szCs w:val="22"/>
        </w:rPr>
        <w:t xml:space="preserve">Forward scores are also modified by Policy Signals (Section 2.4), which can override momentum decay when a clear policy path is established (e.g. confirmed rate cut cycle).</w:t>
      </w:r>
    </w:p>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2.3 Quad Probability Calculation</w:t>
      </w:r>
    </w:p>
    <w:p>
      <w:pPr>
        <w:spacing w:before="60" w:after="80"/>
      </w:pPr>
      <w:r>
        <w:rPr>
          <w:rFonts w:ascii="Arial" w:cs="Arial" w:eastAsia="Arial" w:hAnsi="Arial"/>
          <w:sz w:val="22"/>
          <w:szCs w:val="22"/>
        </w:rPr>
        <w:t xml:space="preserve">The weighted indicator scores are combined into a Growth Score and an Inflation Score, each on a -100 to +100 scale. These two scores then map to a probability distribution across the four quads using a bivariate approach.</w:t>
      </w:r>
    </w:p>
    <w:p>
      <w:pPr>
        <w:spacing w:before="60" w:after="80"/>
      </w:pPr>
      <w:r>
        <w:rPr>
          <w:rFonts w:ascii="Arial" w:cs="Arial" w:eastAsia="Arial" w:hAnsi="Arial"/>
          <w:sz w:val="22"/>
          <w:szCs w:val="22"/>
        </w:rPr>
        <w:t xml:space="preserve"/>
      </w:r>
    </w:p>
    <w:p>
      <w:pPr>
        <w:pStyle w:val="ListParagraph"/>
        <w:numPr>
          <w:ilvl w:val="0"/>
          <w:numId w:val="3"/>
        </w:numPr>
        <w:spacing w:before="40" w:after="40"/>
      </w:pPr>
      <w:r>
        <w:rPr>
          <w:rFonts w:ascii="Arial" w:cs="Arial" w:eastAsia="Arial" w:hAnsi="Arial"/>
          <w:b w:val="false"/>
          <w:bCs w:val="false"/>
          <w:sz w:val="22"/>
          <w:szCs w:val="22"/>
        </w:rPr>
        <w:t xml:space="preserve">Compute Growth Score: weighted average of all Growth indicator scores</w:t>
      </w:r>
    </w:p>
    <w:p>
      <w:pPr>
        <w:pStyle w:val="ListParagraph"/>
        <w:numPr>
          <w:ilvl w:val="0"/>
          <w:numId w:val="3"/>
        </w:numPr>
        <w:spacing w:before="40" w:after="40"/>
      </w:pPr>
      <w:r>
        <w:rPr>
          <w:rFonts w:ascii="Arial" w:cs="Arial" w:eastAsia="Arial" w:hAnsi="Arial"/>
          <w:b w:val="false"/>
          <w:bCs w:val="false"/>
          <w:sz w:val="22"/>
          <w:szCs w:val="22"/>
        </w:rPr>
        <w:t xml:space="preserve">Compute Inflation Score: weighted average of all Inflation indicator scores</w:t>
      </w:r>
    </w:p>
    <w:p>
      <w:pPr>
        <w:pStyle w:val="ListParagraph"/>
        <w:numPr>
          <w:ilvl w:val="0"/>
          <w:numId w:val="3"/>
        </w:numPr>
        <w:spacing w:before="40" w:after="40"/>
      </w:pPr>
      <w:r>
        <w:rPr>
          <w:rFonts w:ascii="Arial" w:cs="Arial" w:eastAsia="Arial" w:hAnsi="Arial"/>
          <w:b w:val="false"/>
          <w:bCs w:val="false"/>
          <w:sz w:val="22"/>
          <w:szCs w:val="22"/>
        </w:rPr>
        <w:t xml:space="preserve">Map scores to quad probabilities using a 2D Gaussian probability distribution centered on the Growth/Inflation coordinate</w:t>
      </w:r>
    </w:p>
    <w:p>
      <w:pPr>
        <w:pStyle w:val="ListParagraph"/>
        <w:numPr>
          <w:ilvl w:val="0"/>
          <w:numId w:val="3"/>
        </w:numPr>
        <w:spacing w:before="40" w:after="40"/>
      </w:pPr>
      <w:r>
        <w:rPr>
          <w:rFonts w:ascii="Arial" w:cs="Arial" w:eastAsia="Arial" w:hAnsi="Arial"/>
          <w:b w:val="false"/>
          <w:bCs w:val="false"/>
          <w:sz w:val="22"/>
          <w:szCs w:val="22"/>
        </w:rPr>
        <w:t xml:space="preserve">Normalize probabilities to sum to 100% across all four quads</w:t>
      </w:r>
    </w:p>
    <w:p>
      <w:pPr>
        <w:pStyle w:val="ListParagraph"/>
        <w:numPr>
          <w:ilvl w:val="0"/>
          <w:numId w:val="3"/>
        </w:numPr>
        <w:spacing w:before="40" w:after="40"/>
      </w:pPr>
      <w:r>
        <w:rPr>
          <w:rFonts w:ascii="Arial" w:cs="Arial" w:eastAsia="Arial" w:hAnsi="Arial"/>
          <w:b w:val="false"/>
          <w:bCs w:val="false"/>
          <w:sz w:val="22"/>
          <w:szCs w:val="22"/>
        </w:rPr>
        <w:t xml:space="preserve">Output: dominant quad + probability, runner-up quad + probability, forward projections Q1–Q4</w:t>
      </w:r>
    </w:p>
    <w:p>
      <w:pPr>
        <w:spacing w:before="60" w:after="80"/>
      </w:pPr>
      <w:r>
        <w:rPr>
          <w:rFonts w:ascii="Arial" w:cs="Arial" w:eastAsia="Arial" w:hAnsi="Arial"/>
          <w:sz w:val="22"/>
          <w:szCs w:val="22"/>
        </w:rPr>
        <w:t xml:space="preserve"/>
      </w:r>
    </w:p>
    <w:p>
      <w:pPr>
        <w:spacing w:before="60" w:after="80"/>
      </w:pPr>
      <w:r>
        <w:rPr>
          <w:rFonts w:ascii="Arial" w:cs="Arial" w:eastAsia="Arial" w:hAnsi="Arial"/>
          <w:b/>
          <w:bCs/>
          <w:sz w:val="22"/>
          <w:szCs w:val="22"/>
        </w:rPr>
        <w:t xml:space="preserve">Example: </w:t>
      </w:r>
      <w:r>
        <w:rPr>
          <w:rFonts w:ascii="Arial" w:cs="Arial" w:eastAsia="Arial" w:hAnsi="Arial"/>
          <w:sz w:val="22"/>
          <w:szCs w:val="22"/>
        </w:rPr>
        <w:t xml:space="preserve">Growth Score = +62, Inflation Score = +44 → Quad 2 probability 58%, Quad 1 probability 27%, Quad 3 probability 11%, Quad 4 probability 4%. Dominant: Quad 2.</w:t>
      </w:r>
    </w:p>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2.4 Policy Signal Layer</w:t>
      </w:r>
    </w:p>
    <w:p>
      <w:pPr>
        <w:spacing w:before="60" w:after="80"/>
      </w:pPr>
      <w:r>
        <w:rPr>
          <w:rFonts w:ascii="Arial" w:cs="Arial" w:eastAsia="Arial" w:hAnsi="Arial"/>
          <w:sz w:val="22"/>
          <w:szCs w:val="22"/>
        </w:rPr>
        <w:t xml:space="preserve">Policy signals are treated as a separate modifier layer applied after indicator scoring. They do not vote in the Growth or Inflation streams directly but can amplify, dampen, or override forward quarter projections when a clear policy path is established.</w:t>
      </w:r>
    </w:p>
    <w:p>
      <w:pPr>
        <w:spacing w:before="6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1200"/>
        <w:gridCol w:w="15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Policy Signal</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Predicts</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Direction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Lead Time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 /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Fed Funds Futures (market-implied rate path)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Forward rate trajectory; overrides momentum decay for Q2–Q4 when consensus is strong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Growth ↓ if hikes, Growth ↑ if cuts; Inflation ↓ with lag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 quarters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CME / FRED — free</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Fed Balance Sheet ROC (QT vs QE)</w:t>
            </w:r>
          </w:p>
        </w:tc>
        <w:tc>
          <w:tcPr>
            <w:tcW w:type="dxa" w:w="2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Liquidity conditions — tightening reduces both growth and inflation with 2–4Q lag</w:t>
            </w:r>
          </w:p>
        </w:tc>
        <w:tc>
          <w:tcPr>
            <w:tcW w:type="dxa" w:w="16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Both streams</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 quarters</w:t>
            </w:r>
          </w:p>
        </w:tc>
        <w:tc>
          <w:tcPr>
            <w:tcW w:type="dxa" w:w="15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Fed / FRED —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Fiscal Spending ROC (Federal outlays)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Direct GDP injection or drag. DOGE-style cuts = growth headwind. Stimulus = tailwind.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Growth stream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 quarters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Treasury / FRED — free</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Tariff / Trade Policy Changes</w:t>
            </w:r>
          </w:p>
        </w:tc>
        <w:tc>
          <w:tcPr>
            <w:tcW w:type="dxa" w:w="2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Import price inflation and supply chain cost pass-through. Also dampens growth via uncertainty.</w:t>
            </w:r>
          </w:p>
        </w:tc>
        <w:tc>
          <w:tcPr>
            <w:tcW w:type="dxa" w:w="16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Inflation ↑; Growth ↓</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 quarters</w:t>
            </w:r>
          </w:p>
        </w:tc>
        <w:tc>
          <w:tcPr>
            <w:tcW w:type="dxa" w:w="15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Manual / news flagging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Tax Policy Changes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Changes in disposable income and corporate investment incentives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Growth stream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 quarters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Manual / news flagging</w:t>
            </w:r>
          </w:p>
        </w:tc>
      </w:tr>
    </w:tbl>
    <w:p>
      <w:pPr>
        <w:spacing w:before="80" w:after="80"/>
      </w:pPr>
      <w:r>
        <w:rPr>
          <w:rFonts w:ascii="Arial" w:cs="Arial" w:eastAsia="Arial" w:hAnsi="Arial"/>
          <w:sz w:val="22"/>
          <w:szCs w:val="22"/>
        </w:rPr>
        <w:t xml:space="preserve"/>
      </w:r>
    </w:p>
    <w:p>
      <w:pPr>
        <w:pStyle w:val="Heading1"/>
        <w:spacing w:before="400" w:after="160"/>
      </w:pPr>
      <w:r>
        <w:rPr>
          <w:rFonts w:ascii="Arial" w:cs="Arial" w:eastAsia="Arial" w:hAnsi="Arial"/>
          <w:b/>
          <w:bCs/>
          <w:color w:val="1F3864"/>
          <w:sz w:val="34"/>
          <w:szCs w:val="34"/>
        </w:rPr>
        <w:t xml:space="preserve">3. Indicator Set</w:t>
      </w:r>
    </w:p>
    <w:p>
      <w:pPr>
        <w:spacing w:before="60" w:after="80"/>
      </w:pPr>
      <w:r>
        <w:rPr>
          <w:rFonts w:ascii="Arial" w:cs="Arial" w:eastAsia="Arial" w:hAnsi="Arial"/>
          <w:sz w:val="22"/>
          <w:szCs w:val="22"/>
        </w:rPr>
        <w:t xml:space="preserve">22 indicators across three streams: Inflation (8), Growth (10), and Dual/Policy (4). Each indicator is classified by its empirical lead time, data frequency, source, and assigned weight. Weights are applied within each stream independently.</w:t>
      </w:r>
    </w:p>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3.1 Inflation Indicators  (8 indicators, weights sum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1800"/>
        <w:gridCol w:w="3200"/>
        <w:gridCol w:w="1200"/>
        <w:gridCol w:w="520"/>
        <w:gridCol w:w="680"/>
        <w:gridCol w:w="1700"/>
      </w:tblGrid>
      <w:tr>
        <w:trPr>
          <w:tblHeader/>
        </w:trPr>
        <w:tc>
          <w:tcPr>
            <w:tcW w:type="dxa" w:w="2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Indicator</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Rationale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Lead Time</w:t>
            </w:r>
          </w:p>
        </w:tc>
        <w:tc>
          <w:tcPr>
            <w:tcW w:type="dxa" w:w="5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Freq</w:t>
            </w:r>
          </w:p>
        </w:tc>
        <w:tc>
          <w:tcPr>
            <w:tcW w:type="dxa" w:w="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Weight</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 / API</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Truflation CPI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 real-time inflation from 35M+ price points across 40+ independent sources. Leads official BLS CPI by ~45 days structurally. Replaces BLS owners' equivalent rent with actual mortgage costs — fixing the single biggest flaw in official CPI measurement.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~45 days ahead of CPI</w:t>
            </w:r>
          </w:p>
        </w:tc>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Truflation API (paid)</w:t>
            </w:r>
          </w:p>
        </w:tc>
      </w:tr>
      <w:tr>
        <w:tc>
          <w:tcPr>
            <w:tcW w:type="dxa" w:w="2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5Y Breakeven Inflation Rate (T5YIE)</w:t>
            </w:r>
          </w:p>
        </w:tc>
        <w:tc>
          <w:tcPr>
            <w:tcW w:type="dxa" w:w="3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Market-derived inflation expectation: spread between 5Y Treasury and 5Y TIPS. The bond market prices inflation in real time — far faster than any survey. Self-fulfilling: if the market expects inflation, wage and price setters respond.</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Coincident / slight lead</w:t>
            </w:r>
          </w:p>
        </w:tc>
        <w:tc>
          <w:tcPr>
            <w:tcW w:type="dxa" w:w="5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w:t>
            </w:r>
          </w:p>
        </w:tc>
        <w:tc>
          <w:tcPr>
            <w:tcW w:type="dxa" w:w="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T5YIE (free)</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PPI — Final Demand (PPIACO)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Producer price changes flow through to consumer prices with a 1–3 month lag. A rising PPI predicts future CPI even when current CPI is benign. Classic pipeline inflation signal.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 months</w:t>
            </w:r>
          </w:p>
        </w:tc>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PPIACO (free)</w:t>
            </w:r>
          </w:p>
        </w:tc>
      </w:tr>
      <w:tr>
        <w:tc>
          <w:tcPr>
            <w:tcW w:type="dxa" w:w="2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Zillow Observed Rent Index (ZORI)</w:t>
            </w:r>
          </w:p>
        </w:tc>
        <w:tc>
          <w:tcPr>
            <w:tcW w:type="dxa" w:w="3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Actual transaction rent data vs BLS survey-based owners' equivalent rent, which lags real market rents by 12–18 months. ZORI shows where rents are going — not where BLS thinks they were.</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Leads BLS rent by 12–18 months</w:t>
            </w:r>
          </w:p>
        </w:tc>
        <w:tc>
          <w:tcPr>
            <w:tcW w:type="dxa" w:w="5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Zillow Research (free)</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Import Price Index (IR)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Foreign goods prices feed directly into domestic inflation with a 1–2 month lag. Especially powerful in tariff-sensitive environments — import price shocks bypass domestic production entirely.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 months</w:t>
            </w:r>
          </w:p>
        </w:tc>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IR (free)</w:t>
            </w:r>
          </w:p>
        </w:tc>
      </w:tr>
      <w:tr>
        <w:tc>
          <w:tcPr>
            <w:tcW w:type="dxa" w:w="2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Unit Labor Costs (ULCNFB)</w:t>
            </w:r>
          </w:p>
        </w:tc>
        <w:tc>
          <w:tcPr>
            <w:tcW w:type="dxa" w:w="3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Wages minus productivity. Rising ULC means businesses must raise prices to preserve margins — a direct inflation transmission mechanism. Falling ULC is the Quad 1 holy grail: growth without inflation.</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Coincident</w:t>
            </w:r>
          </w:p>
        </w:tc>
        <w:tc>
          <w:tcPr>
            <w:tcW w:type="dxa" w:w="5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Quarterly</w:t>
            </w:r>
          </w:p>
        </w:tc>
        <w:tc>
          <w:tcPr>
            <w:tcW w:type="dxa" w:w="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ULCNFB (free)</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Bloomberg Commodity Index proxy (DJP/BCOM)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Raw material prices are the earliest inflation signal in the pipeline. Commodity baskets move first, then PPI, then CPI. A basket approach avoids single-commodity noise.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2–6 months ahead of CPI</w:t>
            </w:r>
          </w:p>
        </w:tc>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Yahoo Finance: DJP (free)</w:t>
            </w:r>
          </w:p>
        </w:tc>
      </w:tr>
      <w:tr>
        <w:tc>
          <w:tcPr>
            <w:tcW w:type="dxa" w:w="2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Fed Funds Rate — Rate of Change</w:t>
            </w:r>
          </w:p>
        </w:tc>
        <w:tc>
          <w:tcPr>
            <w:tcW w:type="dxa" w:w="3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Lagging policy tool included as a dampening factor only. Rate hikes cool inflation (and growth) with a 6–18 month lag. Low weight reflects its reactive rather than predictive nature.</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Lagging — policy response</w:t>
            </w:r>
          </w:p>
        </w:tc>
        <w:tc>
          <w:tcPr>
            <w:tcW w:type="dxa" w:w="5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Meeting cycle</w:t>
            </w:r>
          </w:p>
        </w:tc>
        <w:tc>
          <w:tcPr>
            <w:tcW w:type="dxa" w:w="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FEDFUNDS (free)</w:t>
            </w:r>
          </w:p>
        </w:tc>
      </w:tr>
    </w:tbl>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3.2 Growth Indicators  (10 indicators, weights sum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1800"/>
        <w:gridCol w:w="3200"/>
        <w:gridCol w:w="1200"/>
        <w:gridCol w:w="520"/>
        <w:gridCol w:w="680"/>
        <w:gridCol w:w="1700"/>
      </w:tblGrid>
      <w:tr>
        <w:trPr>
          <w:tblHeader/>
        </w:trPr>
        <w:tc>
          <w:tcPr>
            <w:tcW w:type="dxa" w:w="2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Indicator</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Rationale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Lead Time</w:t>
            </w:r>
          </w:p>
        </w:tc>
        <w:tc>
          <w:tcPr>
            <w:tcW w:type="dxa" w:w="5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Freq</w:t>
            </w:r>
          </w:p>
        </w:tc>
        <w:tc>
          <w:tcPr>
            <w:tcW w:type="dxa" w:w="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Weight</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 / API</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ISM Manufacturing PMI — New Orders (NAPMNO)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gold standard leading growth indicator. New Orders sub-component specifically leads GDP by 2–3 quarters. Above 50 = expansion accelerating, below 50 = contraction. Monthly, widely followed, market-moving.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2–3 quarters</w:t>
            </w:r>
          </w:p>
        </w:tc>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NAPMNO (free)</w:t>
            </w:r>
          </w:p>
        </w:tc>
      </w:tr>
      <w:tr>
        <w:tc>
          <w:tcPr>
            <w:tcW w:type="dxa" w:w="2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Yield Curve — 10Y minus 2Y (T10Y2Y)</w:t>
            </w:r>
          </w:p>
        </w:tc>
        <w:tc>
          <w:tcPr>
            <w:tcW w:type="dxa" w:w="3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Most empirically validated recession predictor. Inversion has preceded every US recession since 1955. Steepening = growth re-accelerating. The bond market's structural growth verdict.</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2–6 quarters</w:t>
            </w:r>
          </w:p>
        </w:tc>
        <w:tc>
          <w:tcPr>
            <w:tcW w:type="dxa" w:w="5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w:t>
            </w:r>
          </w:p>
        </w:tc>
        <w:tc>
          <w:tcPr>
            <w:tcW w:type="dxa" w:w="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T10Y2Y (free)</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Conference Board LEI (USSLIND)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Purpose-built composite of 10 leading indicators including yield curve, building permits, stock prices, and manufacturing orders. 3-month ROC is the signal. Designed specifically for forward GDP prediction.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 quarters</w:t>
            </w:r>
          </w:p>
        </w:tc>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USSLIND (free)</w:t>
            </w:r>
          </w:p>
        </w:tc>
      </w:tr>
      <w:tr>
        <w:tc>
          <w:tcPr>
            <w:tcW w:type="dxa" w:w="2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HY Credit Spreads — OAS (BAMLH0A0HYM2)</w:t>
            </w:r>
          </w:p>
        </w:tc>
        <w:tc>
          <w:tcPr>
            <w:tcW w:type="dxa" w:w="3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credit market is a brutally honest growth forecaster. Widening HY spreads signal corporate stress and tightening financial conditions that precede growth slowdowns. Markets price this faster than any economic survey.</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 quarters</w:t>
            </w:r>
          </w:p>
        </w:tc>
        <w:tc>
          <w:tcPr>
            <w:tcW w:type="dxa" w:w="5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w:t>
            </w:r>
          </w:p>
        </w:tc>
        <w:tc>
          <w:tcPr>
            <w:tcW w:type="dxa" w:w="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BAMLH0A0HYM2 (free)</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Initial Jobless Claims — 4wk MA (IC4WSA)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Highest-frequency labor market signal available — weekly. Rising claims = growth decelerating. The 4-week moving average smooths noise. Far more timely than monthly payroll reports.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 quarters</w:t>
            </w:r>
          </w:p>
        </w:tc>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Weekly</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IC4WSA (free)</w:t>
            </w:r>
          </w:p>
        </w:tc>
      </w:tr>
      <w:tr>
        <w:tc>
          <w:tcPr>
            <w:tcW w:type="dxa" w:w="2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ISM Services PMI (NMFCI)</w:t>
            </w:r>
          </w:p>
        </w:tc>
        <w:tc>
          <w:tcPr>
            <w:tcW w:type="dxa" w:w="3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Services represent 70%+ of US GDP. Services PMI often diverges from manufacturing and captures the consumer economy more directly. Essential complement to manufacturing PMI.</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 quarters</w:t>
            </w:r>
          </w:p>
        </w:tc>
        <w:tc>
          <w:tcPr>
            <w:tcW w:type="dxa" w:w="5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NMFCI (free)</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Retail Sales ex-Auto ex-Gas (RSXFS)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Core consumer spending — strips volatile autos and gas to isolate underlying demand trend. Consumer spending is 68% of GDP. Most direct real-time read on whether the consumer is accelerating or decelerating.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Coincident / slight lead</w:t>
            </w:r>
          </w:p>
        </w:tc>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RSXFS (free)</w:t>
            </w:r>
          </w:p>
        </w:tc>
      </w:tr>
      <w:tr>
        <w:tc>
          <w:tcPr>
            <w:tcW w:type="dxa" w:w="2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Core Capex — Durable Goods ex-Defense ex-Aircraft (ADXTNO)</w:t>
            </w:r>
          </w:p>
        </w:tc>
        <w:tc>
          <w:tcPr>
            <w:tcW w:type="dxa" w:w="3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Purest read on corporate investment intentions. When businesses spend on equipment and technology, it signals confidence in future growth. A leading indicator of both employment and productivity.</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 quarters</w:t>
            </w:r>
          </w:p>
        </w:tc>
        <w:tc>
          <w:tcPr>
            <w:tcW w:type="dxa" w:w="5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ADXTNO (free)</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JOLTS Job Openings ROC (JTSJOL)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Demand for labor is forward-looking. Declining openings precede rising unemployment by 2–3 quarters. Captures employer confidence more accurately than headcount data alone.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2–3 quarters</w:t>
            </w:r>
          </w:p>
        </w:tc>
        <w:tc>
          <w:tcPr>
            <w:tcW w:type="dxa" w:w="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JTSJOL (free)</w:t>
            </w:r>
          </w:p>
        </w:tc>
      </w:tr>
      <w:tr>
        <w:tc>
          <w:tcPr>
            <w:tcW w:type="dxa" w:w="2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Capacity Utilization (TCU)</w:t>
            </w:r>
          </w:p>
        </w:tc>
        <w:tc>
          <w:tcPr>
            <w:tcW w:type="dxa" w:w="3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How hard are existing resources being pushed. High utilization = growth at full capacity, inflation pressure building. Declining utilization = growth fading. Dual signal but primarily growth-classified.</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Coincident</w:t>
            </w:r>
          </w:p>
        </w:tc>
        <w:tc>
          <w:tcPr>
            <w:tcW w:type="dxa" w:w="5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17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TCU (free)</w:t>
            </w:r>
          </w:p>
        </w:tc>
      </w:tr>
    </w:tbl>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3.3 Dual Signal Indicators  (4 indicators, contribute to both streams)</w:t>
      </w:r>
    </w:p>
    <w:p>
      <w:pPr>
        <w:spacing w:before="60" w:after="80"/>
      </w:pPr>
      <w:r>
        <w:rPr>
          <w:rFonts w:ascii="Arial" w:cs="Arial" w:eastAsia="Arial" w:hAnsi="Arial"/>
          <w:sz w:val="22"/>
          <w:szCs w:val="22"/>
        </w:rPr>
        <w:t xml:space="preserve">These indicators carry predictive power for both Growth and Inflation simultaneously. Each is split-weighted: a primary stream receives its full weight contribution, a secondary stream receives a partial contribution.</w:t>
      </w:r>
    </w:p>
    <w:p>
      <w:pPr>
        <w:spacing w:before="6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2200"/>
        <w:gridCol w:w="2600"/>
        <w:gridCol w:w="1120"/>
        <w:gridCol w:w="1120"/>
        <w:gridCol w:w="680"/>
        <w:gridCol w:w="1380"/>
      </w:tblGrid>
      <w:tr>
        <w:trPr>
          <w:tblHeader/>
        </w:trPr>
        <w:tc>
          <w:tcPr>
            <w:tcW w:type="dxa" w:w="2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Indicator</w:t>
            </w:r>
          </w:p>
        </w:tc>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Rationale</w:t>
            </w:r>
          </w:p>
        </w:tc>
        <w:tc>
          <w:tcPr>
            <w:tcW w:type="dxa" w:w="11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Growth Weight</w:t>
            </w:r>
          </w:p>
        </w:tc>
        <w:tc>
          <w:tcPr>
            <w:tcW w:type="dxa" w:w="11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Inflation Weight</w:t>
            </w:r>
          </w:p>
        </w:tc>
        <w:tc>
          <w:tcPr>
            <w:tcW w:type="dxa" w:w="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Freq</w:t>
            </w:r>
          </w:p>
        </w:tc>
        <w:tc>
          <w:tcPr>
            <w:tcW w:type="dxa" w:w="13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 / API</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Atlanta Fed GDPNow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Real-time running estimate of current quarter GDP using BEA methodology. Updates 6–7x/month as data arrives. Best freely available real-time growth nowcast. Use the ROC of the estimate as the signal, not just the level.</w:t>
            </w:r>
          </w:p>
        </w:tc>
        <w:tc>
          <w:tcPr>
            <w:tcW w:type="dxa" w:w="1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 bonus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 bonus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~Weekly</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Atlanta Fed (free)</w:t>
            </w:r>
          </w:p>
        </w:tc>
      </w:tr>
      <w:tr>
        <w:tc>
          <w:tcPr>
            <w:tcW w:type="dxa" w:w="2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NY Fed Nowcast</w:t>
            </w:r>
          </w:p>
        </w:tc>
        <w:tc>
          <w:tcPr>
            <w:tcW w:type="dxa" w:w="26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Dynamic factor model using more inputs than GDPNow — smoother and less volatile. Best used in combination: when GDPNow and NY Fed Nowcast diverge, that gap itself is a signal of uncertainty. Average of both models is used.</w:t>
            </w:r>
          </w:p>
        </w:tc>
        <w:tc>
          <w:tcPr>
            <w:tcW w:type="dxa" w:w="11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 bonus</w:t>
            </w:r>
          </w:p>
        </w:tc>
        <w:tc>
          <w:tcPr>
            <w:tcW w:type="dxa" w:w="11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bonus</w:t>
            </w:r>
          </w:p>
        </w:tc>
        <w:tc>
          <w:tcPr>
            <w:tcW w:type="dxa" w:w="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Weekly</w:t>
            </w:r>
          </w:p>
        </w:tc>
        <w:tc>
          <w:tcPr>
            <w:tcW w:type="dxa" w:w="13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NY Fed (free)</w:t>
            </w:r>
          </w:p>
        </w:tc>
      </w:tr>
      <w:tr>
        <w:tc>
          <w:tcPr>
            <w:tcW w:type="dxa" w:w="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NFIB Small Business Optimism (NFIB)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Forward-looking hiring plans predict payrolls 1–2 quarters ahead. Price-raising plans predict CPI. Small businesses represent ~47% of US employment. Both sub-components extracted independently.</w:t>
            </w:r>
          </w:p>
        </w:tc>
        <w:tc>
          <w:tcPr>
            <w:tcW w:type="dxa" w:w="1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 bonus (hiring plans)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 bonus (price plans)</w:t>
            </w:r>
          </w:p>
        </w:tc>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NFIB (free)</w:t>
            </w:r>
          </w:p>
        </w:tc>
      </w:tr>
      <w:tr>
        <w:tc>
          <w:tcPr>
            <w:tcW w:type="dxa" w:w="2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Truflation Employment Index</w:t>
            </w:r>
          </w:p>
        </w:tc>
        <w:tc>
          <w:tcPr>
            <w:tcW w:type="dxa" w:w="26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Independent multi-source alternative to BLS payrolls — aggregates 8+ data providers for a real-time employment signal. Pricing TBD — may substitute FRED PAYEMS if cost-prohibitive.</w:t>
            </w:r>
          </w:p>
        </w:tc>
        <w:tc>
          <w:tcPr>
            <w:tcW w:type="dxa" w:w="11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 bonus</w:t>
            </w:r>
          </w:p>
        </w:tc>
        <w:tc>
          <w:tcPr>
            <w:tcW w:type="dxa" w:w="112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 bonus</w:t>
            </w:r>
          </w:p>
        </w:tc>
        <w:tc>
          <w:tcPr>
            <w:tcW w:type="dxa" w:w="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w:t>
            </w:r>
          </w:p>
        </w:tc>
        <w:tc>
          <w:tcPr>
            <w:tcW w:type="dxa" w:w="13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Truflation API (pricing TBD)</w:t>
            </w:r>
          </w:p>
        </w:tc>
      </w:tr>
    </w:tbl>
    <w:p>
      <w:pPr>
        <w:spacing w:before="80" w:after="80"/>
      </w:pPr>
      <w:r>
        <w:rPr>
          <w:rFonts w:ascii="Arial" w:cs="Arial" w:eastAsia="Arial" w:hAnsi="Arial"/>
          <w:sz w:val="22"/>
          <w:szCs w:val="22"/>
        </w:rPr>
        <w:t xml:space="preserve"/>
      </w:r>
    </w:p>
    <w:p>
      <w:pPr>
        <w:pStyle w:val="Heading1"/>
        <w:spacing w:before="400" w:after="160"/>
      </w:pPr>
      <w:r>
        <w:rPr>
          <w:rFonts w:ascii="Arial" w:cs="Arial" w:eastAsia="Arial" w:hAnsi="Arial"/>
          <w:b/>
          <w:bCs/>
          <w:color w:val="1F3864"/>
          <w:sz w:val="34"/>
          <w:szCs w:val="34"/>
        </w:rPr>
        <w:t xml:space="preserve">4. Asset Class &amp; Sector Regime Map</w:t>
      </w:r>
    </w:p>
    <w:p>
      <w:pPr>
        <w:spacing w:before="60" w:after="80"/>
      </w:pPr>
      <w:r>
        <w:rPr>
          <w:rFonts w:ascii="Arial" w:cs="Arial" w:eastAsia="Arial" w:hAnsi="Arial"/>
          <w:sz w:val="22"/>
          <w:szCs w:val="22"/>
        </w:rPr>
        <w:t xml:space="preserve">Each quad has a historically-derived performance map for asset classes and sectors. This map is initialized from the Hedgeye GIP model historical backtest data and will be updated over time as Signal Matrix conviction data accumulates into a live performance layer.</w:t>
      </w:r>
    </w:p>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4.1 Quad 1 — Growth ↑ Inflation ↓ — Pro-Growth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Asset Class / Sector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Behavior</w:t>
            </w:r>
          </w:p>
        </w:tc>
        <w:tc>
          <w:tcPr>
            <w:tcW w:type="dxa" w:w="2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 Matrix Tickers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Domestic Equities (broad)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Strongest broad equity environment. Growth without inflation pressure = multiple expansion.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SPY, QQQ, IWM</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Technology</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Best sector. Low inflation = high valuation multiples. Growth in earnings. Factor ETFs outperform.</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XLK, AAPL, MSFT, NVDA, AVGO, SMH, QTUM, ROBO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Consumer Discretionary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Consumer spending accelerates as real wages improve (wages up, inflation down).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XLY, AMZN, TSLA</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Communication Services</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Growth in ad revenue and streaming. Benefits from both growth and low inflation.</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XLC, GOOGL, META, NFLX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Domestic Fixed Income (TLT)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Rallies as inflation falls. Long duration bonds outperform.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TLT</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Commodities</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Underperform. Inflation falling = commodity demand softening.</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USO, GLD, SLV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Foreign Exchange / Gold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Gold underperforms — no inflation hedge needed, real rates rising.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GLD</w:t>
            </w:r>
          </w:p>
        </w:tc>
      </w:tr>
    </w:tbl>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4.2 Quad 2 — Growth ↑ Inflation ↑ — Pro-Growth + Inflation Hedges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Asset Class / Sector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Behavior</w:t>
            </w:r>
          </w:p>
        </w:tc>
        <w:tc>
          <w:tcPr>
            <w:tcW w:type="dxa" w:w="2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 Matrix Tickers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Energy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Top performer. Commodity inflation driven by energy. USO leads.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XLE, USO</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Materials &amp; Industrials</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Real asset heavy sectors outperform as input costs rise with pricing power.</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XLB, XLI, WOOD, PALL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Commodities (broad)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Strong. Inflation rising = commodity supercycle dynamics.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USO, SLV, PALL, CANE, GLD</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Foreign Exchange / Gold</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Gold performs well — inflation hedge. USD can be mixed.</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GLD, 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Domestic Equities (selective)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Equities still work but late-cycle. Prefer inflation-beneficiary sectors over growth.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SPY, QQQ</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Domestic Fixed Income (TLT)</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Underperforms. Inflation rising = bond prices fall, yields rise.</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TLT — underweight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Factors — Cybersecurity, Defense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Defense and infrastructure factor ETFs hold up well in late-cycle environments.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CIBR, SATS, GRID</w:t>
            </w:r>
          </w:p>
        </w:tc>
      </w:tr>
    </w:tbl>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4.3 Quad 3 — Growth ↓ Inflation ↑ — Stagflation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Asset Class / Sector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Behavior</w:t>
            </w:r>
          </w:p>
        </w:tc>
        <w:tc>
          <w:tcPr>
            <w:tcW w:type="dxa" w:w="2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 Matrix Tickers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Commodities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Outperform in stagflation. Hard assets hold value when both growth and financial assets struggle.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USO, GLD, SLV, PALL, CANE</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Energy</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Strongest equity sector. Energy companies profit as energy prices drive inflation.</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XLE, USO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Foreign Exchange / Gold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Gold's best environment — inflation up, growth down, uncertainty 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GLD</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Consumer Staples</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Defensive positioning. Staples companies pass through inflation with pricing power.</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Health Care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Defensive. Non-cyclical demand. Limited inflation exposure.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XLV</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Domestic Fixed Income (TLT)</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Worst performer. Inflation destroys bond real returns. Avoid duration.</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TLT — avoid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Technology / Growth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Worst equity sector. Inflation destroys multiples; growth falling = earnings pressure.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XLK, QQQ — avoid</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Digital Assets</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Mixed. Can act as inflation hedge but highly correlated to risk-off sentiment.</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IBIT — uncertain</w:t>
            </w:r>
          </w:p>
        </w:tc>
      </w:tr>
    </w:tbl>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4.4 Quad 4 — Growth ↓ Inflation ↓ — Defensive + Volatility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Asset Class / Sector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Behavior</w:t>
            </w:r>
          </w:p>
        </w:tc>
        <w:tc>
          <w:tcPr>
            <w:tcW w:type="dxa" w:w="2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 Matrix Tickers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Domestic Fixed Income (TLT)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Best performer. Deflation + growth slowdown = bond bull market. Long duration wins.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TLT</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Utilities</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Defensive, bond-like. Outperform as rates fall and investors seek safety.</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Consumer Staples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Defensive non-cyclical demand. Relative outperformer.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XLP</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Health Care</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Defensive. Resilient earnings regardless of economic cycle.</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Real Estate (XLRE)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Benefits from falling rates. REITs re-rate higher as discount rates decline.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XLRE</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Broad Equities</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Underperform. Growth slowing = earnings pressure. Avoid cyclicals.</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SPY, QQQ — underweight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Commodities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Underperform. Growth falling reduces demand. Energy and industrial metals weakest.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USO, SLV, PALL — avoid</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Foreign Exchange / Gold</w:t>
            </w:r>
          </w:p>
        </w:tc>
        <w:tc>
          <w:tcPr>
            <w:tcW w:type="dxa" w:w="4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Gold mixed — deflation can be negative but uncertainty supports safe haven bid.</w:t>
            </w:r>
          </w:p>
        </w:tc>
        <w:tc>
          <w:tcPr>
            <w:tcW w:type="dxa" w:w="2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GLD — neutral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Volatility Assets / VIX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VIX typically elevated. Quad 4 is highest-uncertainty regime.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VIX — watch</w:t>
            </w:r>
          </w:p>
        </w:tc>
      </w:tr>
    </w:tbl>
    <w:p>
      <w:pPr>
        <w:spacing w:before="80" w:after="80"/>
      </w:pPr>
      <w:r>
        <w:rPr>
          <w:rFonts w:ascii="Arial" w:cs="Arial" w:eastAsia="Arial" w:hAnsi="Arial"/>
          <w:sz w:val="22"/>
          <w:szCs w:val="22"/>
        </w:rPr>
        <w:t xml:space="preserve"/>
      </w:r>
    </w:p>
    <w:p>
      <w:pPr>
        <w:pStyle w:val="Heading1"/>
        <w:spacing w:before="400" w:after="160"/>
      </w:pPr>
      <w:r>
        <w:rPr>
          <w:rFonts w:ascii="Arial" w:cs="Arial" w:eastAsia="Arial" w:hAnsi="Arial"/>
          <w:b/>
          <w:bCs/>
          <w:color w:val="1F3864"/>
          <w:sz w:val="34"/>
          <w:szCs w:val="34"/>
        </w:rPr>
        <w:t xml:space="preserve">5. Dashboard Design</w:t>
      </w:r>
    </w:p>
    <w:p>
      <w:pPr>
        <w:pStyle w:val="Heading2"/>
        <w:spacing w:before="280" w:after="100"/>
      </w:pPr>
      <w:r>
        <w:rPr>
          <w:rFonts w:ascii="Arial" w:cs="Arial" w:eastAsia="Arial" w:hAnsi="Arial"/>
          <w:b/>
          <w:bCs/>
          <w:color w:val="2E75B6"/>
          <w:sz w:val="27"/>
          <w:szCs w:val="27"/>
        </w:rPr>
        <w:t xml:space="preserve">5.1 Layout Overview</w:t>
      </w:r>
    </w:p>
    <w:p>
      <w:pPr>
        <w:spacing w:before="60" w:after="80"/>
      </w:pPr>
      <w:r>
        <w:rPr>
          <w:rFonts w:ascii="Arial" w:cs="Arial" w:eastAsia="Arial" w:hAnsi="Arial"/>
          <w:sz w:val="22"/>
          <w:szCs w:val="22"/>
        </w:rPr>
        <w:t xml:space="preserve">The Quad Tracker dashboard is a single-page view within the Signal Matrix Platform, accessible via the top navigation bar. It is organized into three horizontal zones:</w:t>
      </w:r>
    </w:p>
    <w:p>
      <w:pPr>
        <w:spacing w:before="60" w:after="8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val="false"/>
          <w:bCs w:val="false"/>
          <w:color w:val="000000"/>
          <w:sz w:val="22"/>
          <w:szCs w:val="22"/>
        </w:rPr>
        <w:t xml:space="preserve">Zone 1 (Top): Current Quad status + forward quad probability table (Q1–Q4)</w:t>
      </w:r>
    </w:p>
    <w:p>
      <w:pPr>
        <w:pStyle w:val="ListParagraph"/>
        <w:numPr>
          <w:ilvl w:val="0"/>
          <w:numId w:val="2"/>
        </w:numPr>
        <w:spacing w:before="40" w:after="40"/>
      </w:pPr>
      <w:r>
        <w:rPr>
          <w:rFonts w:ascii="Arial" w:cs="Arial" w:eastAsia="Arial" w:hAnsi="Arial"/>
          <w:b w:val="false"/>
          <w:bCs w:val="false"/>
          <w:color w:val="000000"/>
          <w:sz w:val="22"/>
          <w:szCs w:val="22"/>
        </w:rPr>
        <w:t xml:space="preserve">Zone 2 (Middle): Indicator panel — Growth stream left, Inflation stream right, with live scores and ROC bars</w:t>
      </w:r>
    </w:p>
    <w:p>
      <w:pPr>
        <w:pStyle w:val="ListParagraph"/>
        <w:numPr>
          <w:ilvl w:val="0"/>
          <w:numId w:val="2"/>
        </w:numPr>
        <w:spacing w:before="40" w:after="40"/>
      </w:pPr>
      <w:r>
        <w:rPr>
          <w:rFonts w:ascii="Arial" w:cs="Arial" w:eastAsia="Arial" w:hAnsi="Arial"/>
          <w:b w:val="false"/>
          <w:bCs w:val="false"/>
          <w:color w:val="000000"/>
          <w:sz w:val="22"/>
          <w:szCs w:val="22"/>
        </w:rPr>
        <w:t xml:space="preserve">Zone 3 (Bottom): Asset class regime map — which tickers to favor/avoid in current and forward quad</w:t>
      </w:r>
    </w:p>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5.2 Zone 1 — Quad Status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Element</w:t>
            </w:r>
          </w:p>
        </w:tc>
        <w:tc>
          <w:tcPr>
            <w:tcW w:type="dxa" w:w="6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 Quad Badge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Large colored badge: Quad 1 (green), Quad 2 (blue), Quad 3 (amber), Quad 4 (red). Shows dominant quad label and probability percentage.</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Quad Probability Bar</w:t>
            </w:r>
          </w:p>
        </w:tc>
        <w:tc>
          <w:tcPr>
            <w:tcW w:type="dxa" w:w="6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Four-segment probability bar showing % probability for each quad. Color-coded. Updates as indicators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Forward Quarter Grid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4-column grid: Q1 Now / Q2 / Q3 / Q4. Each cell shows dominant quad + probability. Color intensity reflects confidence. Decay factor shown as opacity.</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Last Updated Timestamp</w:t>
            </w:r>
          </w:p>
        </w:tc>
        <w:tc>
          <w:tcPr>
            <w:tcW w:type="dxa" w:w="6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When indicator data was last refreshed. Per-indicator timestamps available on hover.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Transition Alert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Amber warning flag when Q1 and Q2 dominant quads differ — signals a regime transition is underway.</w:t>
            </w:r>
          </w:p>
        </w:tc>
      </w:tr>
    </w:tbl>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5.3 Zone 2 — Indicator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w:t>
            </w:r>
          </w:p>
        </w:tc>
        <w:tc>
          <w:tcPr>
            <w:tcW w:type="dxa" w:w="6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Indicator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Full name with FRED series ID or data source</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Stream</w:t>
            </w:r>
          </w:p>
        </w:tc>
        <w:tc>
          <w:tcPr>
            <w:tcW w:type="dxa" w:w="6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Growth / Inflation / Dual — color coded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 Value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Latest reading with units</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ROC (Rate of Change)</w:t>
            </w:r>
          </w:p>
        </w:tc>
        <w:tc>
          <w:tcPr>
            <w:tcW w:type="dxa" w:w="6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Period-over-period change with direction arrow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Score (-100 to +100)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Colored score bar: green = bullish for stream, red = bearish. Width reflects magnitude.</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SD from Mean</w:t>
            </w:r>
          </w:p>
        </w:tc>
        <w:tc>
          <w:tcPr>
            <w:tcW w:type="dxa" w:w="6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How many standard deviations the current reading is from its historical mean — drives magnitude component of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Velocity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Accelerating / Decelerating / Stable — shown as arrow icon</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Weight</w:t>
            </w:r>
          </w:p>
        </w:tc>
        <w:tc>
          <w:tcPr>
            <w:tcW w:type="dxa" w:w="6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Indicator's assigned weight within its stream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Weighted Contribution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Score × Weight = contribution to stream total</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Last Updated</w:t>
            </w:r>
          </w:p>
        </w:tc>
        <w:tc>
          <w:tcPr>
            <w:tcW w:type="dxa" w:w="69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Data release date / timestamp</w:t>
            </w:r>
          </w:p>
        </w:tc>
      </w:tr>
    </w:tbl>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5.4 Zone 3 — Asset Class Regime Map</w:t>
      </w:r>
    </w:p>
    <w:p>
      <w:pPr>
        <w:spacing w:before="60" w:after="80"/>
      </w:pPr>
      <w:r>
        <w:rPr>
          <w:rFonts w:ascii="Arial" w:cs="Arial" w:eastAsia="Arial" w:hAnsi="Arial"/>
          <w:sz w:val="22"/>
          <w:szCs w:val="22"/>
        </w:rPr>
        <w:t xml:space="preserve">Dynamic table showing Signal Matrix tickers color-coded by their expected regime behavior in the current dominant quad. Updated automatically as the quad probability shifts.</w:t>
      </w:r>
    </w:p>
    <w:p>
      <w:pPr>
        <w:spacing w:before="6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80"/>
        <w:gridCol w:w="1680"/>
        <w:gridCol w:w="1920"/>
        <w:gridCol w:w="248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Ticker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Signal Matrix Tier 1 ticker</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Asset Class / Sector</w:t>
            </w:r>
          </w:p>
        </w:tc>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From Signal Matrix ticker universe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 Quad Posture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Favor / Neutral / Avoid — color coded green/amber/red</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Conviction Alignment</w:t>
            </w:r>
          </w:p>
        </w:tc>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Does the current Signal Matrix signal direction align with Quad regime expectation? ✅ Aligned / ⚠️ Diverging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Historical Quad 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Average return in this quad regime — sourced from Hedgeye GIP backtest data initially, replaced by Signal Matrix live data over time</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Notes</w:t>
            </w:r>
          </w:p>
        </w:tc>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Brief regime rationale (e.g., 'Long duration bonds rally as inflation falls')</w:t>
            </w:r>
          </w:p>
        </w:tc>
      </w:tr>
    </w:tbl>
    <w:p>
      <w:pPr>
        <w:spacing w:before="80" w:after="80"/>
      </w:pPr>
      <w:r>
        <w:rPr>
          <w:rFonts w:ascii="Arial" w:cs="Arial" w:eastAsia="Arial" w:hAnsi="Arial"/>
          <w:sz w:val="22"/>
          <w:szCs w:val="22"/>
        </w:rPr>
        <w:t xml:space="preserve"/>
      </w:r>
    </w:p>
    <w:p>
      <w:pPr>
        <w:pStyle w:val="Heading1"/>
        <w:spacing w:before="400" w:after="160"/>
      </w:pPr>
      <w:r>
        <w:rPr>
          <w:rFonts w:ascii="Arial" w:cs="Arial" w:eastAsia="Arial" w:hAnsi="Arial"/>
          <w:b/>
          <w:bCs/>
          <w:color w:val="1F3864"/>
          <w:sz w:val="34"/>
          <w:szCs w:val="34"/>
        </w:rPr>
        <w:t xml:space="preserve">6. Data Architecture</w:t>
      </w:r>
    </w:p>
    <w:p>
      <w:pPr>
        <w:pStyle w:val="Heading2"/>
        <w:spacing w:before="280" w:after="100"/>
      </w:pPr>
      <w:r>
        <w:rPr>
          <w:rFonts w:ascii="Arial" w:cs="Arial" w:eastAsia="Arial" w:hAnsi="Arial"/>
          <w:b/>
          <w:bCs/>
          <w:color w:val="2E75B6"/>
          <w:sz w:val="27"/>
          <w:szCs w:val="27"/>
        </w:rPr>
        <w:t xml:space="preserve">6.1 Data Sources &amp;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1360"/>
        <w:gridCol w:w="22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Data Provided</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Cost</w:t>
            </w:r>
          </w:p>
        </w:tc>
        <w:tc>
          <w:tcPr>
            <w:tcW w:type="dxa" w:w="1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Refresh Frequency</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API (St. Louis Fed)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PPI, Import Prices, Breakevens, ISM PMIs, LEI, Retail Sales, Jobless Claims, HY Spreads, Yield Curve, NFIB, Capacity Utilization, JOLTS, Durable Goods, Fed Funds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Free (API key required)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Varies: daily to quarterly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Python fredapi library or direct REST calls</w:t>
            </w:r>
          </w:p>
        </w:tc>
      </w:tr>
      <w:tr>
        <w:tc>
          <w:tcPr>
            <w:tcW w:type="dxa" w:w="2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Truflation API</w:t>
            </w:r>
          </w:p>
        </w:tc>
        <w:tc>
          <w:tcPr>
            <w:tcW w:type="dxa" w:w="26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Real-time CPI (daily), PCE (daily), Employment Index (TBD)</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Paid subscription</w:t>
            </w:r>
          </w:p>
        </w:tc>
        <w:tc>
          <w:tcPr>
            <w:tcW w:type="dxa" w:w="13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REST API with API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Atlanta Fed GDPNow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Real-time GDP nowcast current quarter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6–7x per 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Web scrape or FRED series GDPNOW</w:t>
            </w:r>
          </w:p>
        </w:tc>
      </w:tr>
      <w:tr>
        <w:tc>
          <w:tcPr>
            <w:tcW w:type="dxa" w:w="2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NY Fed Nowcast</w:t>
            </w:r>
          </w:p>
        </w:tc>
        <w:tc>
          <w:tcPr>
            <w:tcW w:type="dxa" w:w="26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GDP nowcast — dynamic factor model</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Free</w:t>
            </w:r>
          </w:p>
        </w:tc>
        <w:tc>
          <w:tcPr>
            <w:tcW w:type="dxa" w:w="13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Weekly (Fridays)</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Web scrape or direct download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Zillow Research (ZORI)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Observed Rent Index — actual transaction rents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Monthly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CSV download or Zillow API</w:t>
            </w:r>
          </w:p>
        </w:tc>
      </w:tr>
      <w:tr>
        <w:tc>
          <w:tcPr>
            <w:tcW w:type="dxa" w:w="2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Yahoo Finance / Signal Matrix Tier 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Commodity index proxies (DJP), daily prices</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Free</w:t>
            </w:r>
          </w:p>
        </w:tc>
        <w:tc>
          <w:tcPr>
            <w:tcW w:type="dxa" w:w="13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Existing Yahoo Finance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CME Fed Funds Futures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Market-implied rate path — policy signal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Free (public)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series or CME direct</w:t>
            </w:r>
          </w:p>
        </w:tc>
      </w:tr>
      <w:tr>
        <w:tc>
          <w:tcPr>
            <w:tcW w:type="dxa" w:w="20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Manual / News Flagging</w:t>
            </w:r>
          </w:p>
        </w:tc>
        <w:tc>
          <w:tcPr>
            <w:tcW w:type="dxa" w:w="26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Tariff changes, tax policy, fiscal announcements</w:t>
            </w:r>
          </w:p>
        </w:tc>
        <w:tc>
          <w:tcPr>
            <w:tcW w:type="dxa" w:w="1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w:t>
            </w:r>
          </w:p>
        </w:tc>
        <w:tc>
          <w:tcPr>
            <w:tcW w:type="dxa" w:w="13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Event-driven</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Admin UI entry in dashboard</w:t>
            </w:r>
          </w:p>
        </w:tc>
      </w:tr>
    </w:tbl>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6.2 Backend Calculation Flow</w:t>
      </w:r>
    </w:p>
    <w:p>
      <w:pPr>
        <w:pStyle w:val="ListParagraph"/>
        <w:numPr>
          <w:ilvl w:val="0"/>
          <w:numId w:val="3"/>
        </w:numPr>
        <w:spacing w:before="40" w:after="40"/>
      </w:pPr>
      <w:r>
        <w:rPr>
          <w:rFonts w:ascii="Arial" w:cs="Arial" w:eastAsia="Arial" w:hAnsi="Arial"/>
          <w:b w:val="false"/>
          <w:bCs w:val="false"/>
          <w:sz w:val="22"/>
          <w:szCs w:val="22"/>
        </w:rPr>
        <w:t xml:space="preserve">Scheduler triggers data refresh (daily EOD for most indicators; weekly for select series)</w:t>
      </w:r>
    </w:p>
    <w:p>
      <w:pPr>
        <w:pStyle w:val="ListParagraph"/>
        <w:numPr>
          <w:ilvl w:val="0"/>
          <w:numId w:val="3"/>
        </w:numPr>
        <w:spacing w:before="40" w:after="40"/>
      </w:pPr>
      <w:r>
        <w:rPr>
          <w:rFonts w:ascii="Arial" w:cs="Arial" w:eastAsia="Arial" w:hAnsi="Arial"/>
          <w:b w:val="false"/>
          <w:bCs w:val="false"/>
          <w:sz w:val="22"/>
          <w:szCs w:val="22"/>
        </w:rPr>
        <w:t xml:space="preserve">FastAPI backend fetches latest values for each indicator via respective APIs</w:t>
      </w:r>
    </w:p>
    <w:p>
      <w:pPr>
        <w:pStyle w:val="ListParagraph"/>
        <w:numPr>
          <w:ilvl w:val="0"/>
          <w:numId w:val="3"/>
        </w:numPr>
        <w:spacing w:before="40" w:after="40"/>
      </w:pPr>
      <w:r>
        <w:rPr>
          <w:rFonts w:ascii="Arial" w:cs="Arial" w:eastAsia="Arial" w:hAnsi="Arial"/>
          <w:b w:val="false"/>
          <w:bCs w:val="false"/>
          <w:sz w:val="22"/>
          <w:szCs w:val="22"/>
        </w:rPr>
        <w:t xml:space="preserve">For each indicator: calculate current value, prior period value, ROC, historical mean, SD, velocity</w:t>
      </w:r>
    </w:p>
    <w:p>
      <w:pPr>
        <w:pStyle w:val="ListParagraph"/>
        <w:numPr>
          <w:ilvl w:val="0"/>
          <w:numId w:val="3"/>
        </w:numPr>
        <w:spacing w:before="40" w:after="40"/>
      </w:pPr>
      <w:r>
        <w:rPr>
          <w:rFonts w:ascii="Arial" w:cs="Arial" w:eastAsia="Arial" w:hAnsi="Arial"/>
          <w:b w:val="false"/>
          <w:bCs w:val="false"/>
          <w:sz w:val="22"/>
          <w:szCs w:val="22"/>
        </w:rPr>
        <w:t xml:space="preserve">Apply scoring formula: Direction × Magnitude × Velocity → score -100 to +100</w:t>
      </w:r>
    </w:p>
    <w:p>
      <w:pPr>
        <w:pStyle w:val="ListParagraph"/>
        <w:numPr>
          <w:ilvl w:val="0"/>
          <w:numId w:val="3"/>
        </w:numPr>
        <w:spacing w:before="40" w:after="40"/>
      </w:pPr>
      <w:r>
        <w:rPr>
          <w:rFonts w:ascii="Arial" w:cs="Arial" w:eastAsia="Arial" w:hAnsi="Arial"/>
          <w:b w:val="false"/>
          <w:bCs w:val="false"/>
          <w:sz w:val="22"/>
          <w:szCs w:val="22"/>
        </w:rPr>
        <w:t xml:space="preserve">Apply indicator weights → weighted contribution per stream</w:t>
      </w:r>
    </w:p>
    <w:p>
      <w:pPr>
        <w:pStyle w:val="ListParagraph"/>
        <w:numPr>
          <w:ilvl w:val="0"/>
          <w:numId w:val="3"/>
        </w:numPr>
        <w:spacing w:before="40" w:after="40"/>
      </w:pPr>
      <w:r>
        <w:rPr>
          <w:rFonts w:ascii="Arial" w:cs="Arial" w:eastAsia="Arial" w:hAnsi="Arial"/>
          <w:b w:val="false"/>
          <w:bCs w:val="false"/>
          <w:sz w:val="22"/>
          <w:szCs w:val="22"/>
        </w:rPr>
        <w:t xml:space="preserve">Sum weighted contributions → Growth Score and Inflation Score</w:t>
      </w:r>
    </w:p>
    <w:p>
      <w:pPr>
        <w:pStyle w:val="ListParagraph"/>
        <w:numPr>
          <w:ilvl w:val="0"/>
          <w:numId w:val="3"/>
        </w:numPr>
        <w:spacing w:before="40" w:after="40"/>
      </w:pPr>
      <w:r>
        <w:rPr>
          <w:rFonts w:ascii="Arial" w:cs="Arial" w:eastAsia="Arial" w:hAnsi="Arial"/>
          <w:b w:val="false"/>
          <w:bCs w:val="false"/>
          <w:sz w:val="22"/>
          <w:szCs w:val="22"/>
        </w:rPr>
        <w:t xml:space="preserve">Apply policy signal modifiers to forward quarters</w:t>
      </w:r>
    </w:p>
    <w:p>
      <w:pPr>
        <w:pStyle w:val="ListParagraph"/>
        <w:numPr>
          <w:ilvl w:val="0"/>
          <w:numId w:val="3"/>
        </w:numPr>
        <w:spacing w:before="40" w:after="40"/>
      </w:pPr>
      <w:r>
        <w:rPr>
          <w:rFonts w:ascii="Arial" w:cs="Arial" w:eastAsia="Arial" w:hAnsi="Arial"/>
          <w:b w:val="false"/>
          <w:bCs w:val="false"/>
          <w:sz w:val="22"/>
          <w:szCs w:val="22"/>
        </w:rPr>
        <w:t xml:space="preserve">Apply momentum decay model → Q2, Q3, Q4 projected scores</w:t>
      </w:r>
    </w:p>
    <w:p>
      <w:pPr>
        <w:pStyle w:val="ListParagraph"/>
        <w:numPr>
          <w:ilvl w:val="0"/>
          <w:numId w:val="3"/>
        </w:numPr>
        <w:spacing w:before="40" w:after="40"/>
      </w:pPr>
      <w:r>
        <w:rPr>
          <w:rFonts w:ascii="Arial" w:cs="Arial" w:eastAsia="Arial" w:hAnsi="Arial"/>
          <w:b w:val="false"/>
          <w:bCs w:val="false"/>
          <w:sz w:val="22"/>
          <w:szCs w:val="22"/>
        </w:rPr>
        <w:t xml:space="preserve">Map 2D scores to quad probabilities via bivariate normal distribution</w:t>
      </w:r>
    </w:p>
    <w:p>
      <w:pPr>
        <w:pStyle w:val="ListParagraph"/>
        <w:numPr>
          <w:ilvl w:val="0"/>
          <w:numId w:val="3"/>
        </w:numPr>
        <w:spacing w:before="40" w:after="40"/>
      </w:pPr>
      <w:r>
        <w:rPr>
          <w:rFonts w:ascii="Arial" w:cs="Arial" w:eastAsia="Arial" w:hAnsi="Arial"/>
          <w:b w:val="false"/>
          <w:bCs w:val="false"/>
          <w:sz w:val="22"/>
          <w:szCs w:val="22"/>
        </w:rPr>
        <w:t xml:space="preserve">Store results in database with timestamp for history tracking</w:t>
      </w:r>
    </w:p>
    <w:p>
      <w:pPr>
        <w:pStyle w:val="ListParagraph"/>
        <w:numPr>
          <w:ilvl w:val="0"/>
          <w:numId w:val="3"/>
        </w:numPr>
        <w:spacing w:before="40" w:after="40"/>
      </w:pPr>
      <w:r>
        <w:rPr>
          <w:rFonts w:ascii="Arial" w:cs="Arial" w:eastAsia="Arial" w:hAnsi="Arial"/>
          <w:b w:val="false"/>
          <w:bCs w:val="false"/>
          <w:sz w:val="22"/>
          <w:szCs w:val="22"/>
        </w:rPr>
        <w:t xml:space="preserve">Serve via FastAPI endpoint to React dashboard</w:t>
      </w:r>
    </w:p>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6.3 Database Schema (additions to Signal Matrix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Table</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Fields</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quad_indicators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 name, stream, fred_series_id, weight, last_value, prior_value, roc, score, sd_from_mean, velocity, updated_at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Current indicator readings and scores</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quad_scores</w:t>
            </w:r>
          </w:p>
        </w:tc>
        <w:tc>
          <w:tcPr>
            <w:tcW w:type="dxa" w:w="45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 quarter, growth_score, inflation_score, q1_prob, q2_prob, q3_prob, q4_prob, dominant_quad, created_at</w:t>
            </w:r>
          </w:p>
        </w:tc>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Quad probability outputs by quarter, stored historically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quad_policy_signals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 signal_type, description, growth_effect, inflation_effect, effective_date, notes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Manual policy signal entries</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quad_regime_history</w:t>
            </w:r>
          </w:p>
        </w:tc>
        <w:tc>
          <w:tcPr>
            <w:tcW w:type="dxa" w:w="45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 date, actual_quad, growth_roc, inflation_roc, notes</w:t>
            </w:r>
          </w:p>
        </w:tc>
        <w:tc>
          <w:tcPr>
            <w:tcW w:type="dxa" w:w="2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Historical quad record for backtesting and live performance tracking</w:t>
            </w:r>
          </w:p>
        </w:tc>
      </w:tr>
    </w:tbl>
    <w:p>
      <w:pPr>
        <w:spacing w:before="80" w:after="80"/>
      </w:pPr>
      <w:r>
        <w:rPr>
          <w:rFonts w:ascii="Arial" w:cs="Arial" w:eastAsia="Arial" w:hAnsi="Arial"/>
          <w:sz w:val="22"/>
          <w:szCs w:val="22"/>
        </w:rPr>
        <w:t xml:space="preserve"/>
      </w:r>
    </w:p>
    <w:p>
      <w:pPr>
        <w:pStyle w:val="Heading1"/>
        <w:spacing w:before="400" w:after="160"/>
      </w:pPr>
      <w:r>
        <w:rPr>
          <w:rFonts w:ascii="Arial" w:cs="Arial" w:eastAsia="Arial" w:hAnsi="Arial"/>
          <w:b/>
          <w:bCs/>
          <w:color w:val="1F3864"/>
          <w:sz w:val="34"/>
          <w:szCs w:val="34"/>
        </w:rPr>
        <w:t xml:space="preserve">7. Integration with Signal Matrix</w:t>
      </w:r>
    </w:p>
    <w:p>
      <w:pPr>
        <w:pStyle w:val="Heading2"/>
        <w:spacing w:before="280" w:after="100"/>
      </w:pPr>
      <w:r>
        <w:rPr>
          <w:rFonts w:ascii="Arial" w:cs="Arial" w:eastAsia="Arial" w:hAnsi="Arial"/>
          <w:b/>
          <w:bCs/>
          <w:color w:val="2E75B6"/>
          <w:sz w:val="27"/>
          <w:szCs w:val="27"/>
        </w:rPr>
        <w:t xml:space="preserve">7.1 Relationship</w:t>
      </w:r>
    </w:p>
    <w:p>
      <w:pPr>
        <w:spacing w:before="60" w:after="80"/>
      </w:pPr>
      <w:r>
        <w:rPr>
          <w:rFonts w:ascii="Arial" w:cs="Arial" w:eastAsia="Arial" w:hAnsi="Arial"/>
          <w:sz w:val="22"/>
          <w:szCs w:val="22"/>
        </w:rPr>
        <w:t xml:space="preserve">The Quad Tracker is a context layer — it informs but does not generate, override, or filter Signal Matrix signals. The two systems operate independently and are read together by the investor.</w:t>
      </w:r>
    </w:p>
    <w:p>
      <w:pPr>
        <w:spacing w:before="6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200"/>
        <w:gridCol w:w="2200"/>
        <w:gridCol w:w="3280"/>
      </w:tblGrid>
      <w:tr>
        <w:trPr>
          <w:tblHeader/>
        </w:trPr>
        <w:tc>
          <w:tcPr>
            <w:tcW w:type="dxa" w:w="1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Scenario</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 Matrix</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Quad Tracker</w:t>
            </w:r>
          </w:p>
        </w:tc>
        <w:tc>
          <w:tcPr>
            <w:tcW w:type="dxa" w:w="32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Interpretation</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Maximum conviction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Bullish signal on XLK (Technology)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Quad 1 — 72% probability, transitioning from Q4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Highest confidence long. Signal is front-running Q1 regime. Both aligned.</w:t>
            </w:r>
          </w:p>
        </w:tc>
      </w:tr>
      <w:tr>
        <w:tc>
          <w:tcPr>
            <w:tcW w:type="dxa" w:w="1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Good conviction</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Bullish signal on XLK</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Quad 2 — late cycle, Technology neutral</w:t>
            </w:r>
          </w:p>
        </w:tc>
        <w:tc>
          <w:tcPr>
            <w:tcW w:type="dxa" w:w="32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Take the signal but size down. Regime tailwind weakening.</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Caution 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Bullish signal on XLK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Quad 3 — Stagflation, Technology avoid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Divergence. Signal may be right early but macro is a headwind. Reduce size or wait for Quad shift confirmation.</w:t>
            </w:r>
          </w:p>
        </w:tc>
      </w:tr>
      <w:tr>
        <w:tc>
          <w:tcPr>
            <w:tcW w:type="dxa" w:w="16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Confirmation of regime</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Bullish signal on GLD</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Quad 3 — Stagflation, Gold outperforms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Strong alignment. Signal + regime both confirm. Full conviction.</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Signal leads Quad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Bullish signal on Energy (XLE)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Still Quad 4 — but Q2 shows Quad 2 at 61%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Market is front-running Q2 transition. This is normal. Trust the signal.</w:t>
            </w:r>
          </w:p>
        </w:tc>
      </w:tr>
    </w:tbl>
    <w:p>
      <w:pPr>
        <w:spacing w:before="80" w:after="8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7"/>
          <w:szCs w:val="27"/>
        </w:rPr>
        <w:t xml:space="preserve">7.2 Dashboard Integration Point</w:t>
      </w:r>
    </w:p>
    <w:p>
      <w:pPr>
        <w:pStyle w:val="ListParagraph"/>
        <w:numPr>
          <w:ilvl w:val="0"/>
          <w:numId w:val="2"/>
        </w:numPr>
        <w:spacing w:before="40" w:after="40"/>
      </w:pPr>
      <w:r>
        <w:rPr>
          <w:rFonts w:ascii="Arial" w:cs="Arial" w:eastAsia="Arial" w:hAnsi="Arial"/>
          <w:b w:val="false"/>
          <w:bCs w:val="false"/>
          <w:color w:val="000000"/>
          <w:sz w:val="22"/>
          <w:szCs w:val="22"/>
        </w:rPr>
        <w:t xml:space="preserve">Quad Tracker is a separate navigation view — not embedded in the Signal Matrix table</w:t>
      </w:r>
    </w:p>
    <w:p>
      <w:pPr>
        <w:pStyle w:val="ListParagraph"/>
        <w:numPr>
          <w:ilvl w:val="0"/>
          <w:numId w:val="2"/>
        </w:numPr>
        <w:spacing w:before="40" w:after="40"/>
      </w:pPr>
      <w:r>
        <w:rPr>
          <w:rFonts w:ascii="Arial" w:cs="Arial" w:eastAsia="Arial" w:hAnsi="Arial"/>
          <w:b w:val="false"/>
          <w:bCs w:val="false"/>
          <w:color w:val="000000"/>
          <w:sz w:val="22"/>
          <w:szCs w:val="22"/>
        </w:rPr>
        <w:t xml:space="preserve">Signal Matrix table will show a small Quad alignment icon per ticker (✅ / ⚠️ / —) indicating whether the current dominant quad supports the signal direction</w:t>
      </w:r>
    </w:p>
    <w:p>
      <w:pPr>
        <w:pStyle w:val="ListParagraph"/>
        <w:numPr>
          <w:ilvl w:val="0"/>
          <w:numId w:val="2"/>
        </w:numPr>
        <w:spacing w:before="40" w:after="40"/>
      </w:pPr>
      <w:r>
        <w:rPr>
          <w:rFonts w:ascii="Arial" w:cs="Arial" w:eastAsia="Arial" w:hAnsi="Arial"/>
          <w:b w:val="false"/>
          <w:bCs w:val="false"/>
          <w:color w:val="000000"/>
          <w:sz w:val="22"/>
          <w:szCs w:val="22"/>
        </w:rPr>
        <w:t xml:space="preserve">Clicking the icon navigates to the Quad Tracker view pre-filtered to that ticker</w:t>
      </w:r>
    </w:p>
    <w:p>
      <w:pPr>
        <w:pStyle w:val="ListParagraph"/>
        <w:numPr>
          <w:ilvl w:val="0"/>
          <w:numId w:val="2"/>
        </w:numPr>
        <w:spacing w:before="40" w:after="40"/>
      </w:pPr>
      <w:r>
        <w:rPr>
          <w:rFonts w:ascii="Arial" w:cs="Arial" w:eastAsia="Arial" w:hAnsi="Arial"/>
          <w:b w:val="false"/>
          <w:bCs w:val="false"/>
          <w:color w:val="000000"/>
          <w:sz w:val="22"/>
          <w:szCs w:val="22"/>
        </w:rPr>
        <w:t xml:space="preserve">This is Phase 2 of Signal Matrix — Quad icon column added after Quad Tracker is built</w:t>
      </w:r>
    </w:p>
    <w:p>
      <w:pPr>
        <w:spacing w:before="80" w:after="80"/>
      </w:pPr>
      <w:r>
        <w:rPr>
          <w:rFonts w:ascii="Arial" w:cs="Arial" w:eastAsia="Arial" w:hAnsi="Arial"/>
          <w:sz w:val="22"/>
          <w:szCs w:val="22"/>
        </w:rPr>
        <w:t xml:space="preserve"/>
      </w:r>
    </w:p>
    <w:p>
      <w:pPr>
        <w:pStyle w:val="Heading1"/>
        <w:spacing w:before="400" w:after="160"/>
      </w:pPr>
      <w:r>
        <w:rPr>
          <w:rFonts w:ascii="Arial" w:cs="Arial" w:eastAsia="Arial" w:hAnsi="Arial"/>
          <w:b/>
          <w:bCs/>
          <w:color w:val="1F3864"/>
          <w:sz w:val="34"/>
          <w:szCs w:val="34"/>
        </w:rPr>
        <w:t xml:space="preserve">8.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Tasks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Phase QT-1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Static Quad Map UI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dashboard layout, quad 2x2 visual, static asset class regime map. Mock data only.</w:t>
            </w:r>
          </w:p>
        </w:tc>
      </w:tr>
      <w:tr>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Phase QT-2</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FRED API Integration</w:t>
            </w:r>
          </w:p>
        </w:tc>
        <w:tc>
          <w:tcPr>
            <w:tcW w:type="dxa" w:w="57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Connect all 15 FRED-sourced indicators. Calculate real ROC and scores. Live Growth and Inflation streams.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Phase QT-3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Scoring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Implement magnitude scoring, velocity detection, weighted stream aggregation, quad probability calculation.</w:t>
            </w:r>
          </w:p>
        </w:tc>
      </w:tr>
      <w:tr>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Phase QT-4</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Truflation Integration</w:t>
            </w:r>
          </w:p>
        </w:tc>
        <w:tc>
          <w:tcPr>
            <w:tcW w:type="dxa" w:w="57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Connect Truflation API for daily CPI and Employment feeds. Replace FRED CPI with Truflation as primary inflation anchor.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Phase QT-5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Forward Projection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Implement momentum decay model for Q2–Q4 projections. Add policy signal manual entry UI.</w:t>
            </w:r>
          </w:p>
        </w:tc>
      </w:tr>
      <w:tr>
        <w:tc>
          <w:tcPr>
            <w:tcW w:type="dxa" w:w="14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Phase QT-6</w:t>
            </w:r>
          </w:p>
        </w:tc>
        <w:tc>
          <w:tcPr>
            <w:tcW w:type="dxa" w:w="220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Signal Matrix Integration</w:t>
            </w:r>
          </w:p>
        </w:tc>
        <w:tc>
          <w:tcPr>
            <w:tcW w:type="dxa" w:w="5760"/>
            <w:tcBorders>
              <w:top w:val="single" w:color="CCCCCC" w:sz="1"/>
              <w:left w:val="single" w:color="CCCCCC" w:sz="1"/>
              <w:bottom w:val="single" w:color="CCCCCC" w:sz="1"/>
              <w:right w:val="single" w:color="CCCCCC" w:sz="1"/>
            </w:tcBorders>
            <w:shd w:fill="EEF3F8"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Add Quad alignment icon to Signal Matrix table. Link between views. Regime history tracking begins.</w:t>
            </w:r>
          </w:p>
        </w:tc>
      </w:tr>
    </w:tbl>
    <w:p>
      <w:pPr>
        <w:spacing w:before="80" w:after="80"/>
      </w:pPr>
      <w:r>
        <w:rPr>
          <w:rFonts w:ascii="Arial" w:cs="Arial" w:eastAsia="Arial" w:hAnsi="Arial"/>
          <w:sz w:val="22"/>
          <w:szCs w:val="22"/>
        </w:rPr>
        <w:t xml:space="preserve"/>
      </w:r>
    </w:p>
    <w:p>
      <w:pPr>
        <w:pStyle w:val="Heading1"/>
      </w:pPr>
      <w:r>
        <w:t>10. Statistical Framework</w:t>
      </w:r>
    </w:p>
    <w:p>
      <w:r>
        <w:t xml:space="preserve">The Quad Tracker uses Bayesian inference as its core statistical paradigm. This is a deliberate architectural choice driven by the nature of macroeconomic regime detection: indicators arrive at different frequencies, macro trends evolve continuously, and every new data point should update the system's conviction rather than waiting for a complete data set.</w:t>
      </w:r>
    </w:p>
    <w:p/>
    <w:p>
      <w:pPr>
        <w:pStyle w:val="Heading2"/>
      </w:pPr>
      <w:r>
        <w:t>10.1 Why Bayesian — Not Frequentist</w:t>
      </w:r>
    </w:p>
    <w:p>
      <w:r>
        <w:t xml:space="preserve">A Frequentist approach defines probability as the long-run frequency of outcomes from a fixed historical window. It computes a static answer when all data is available. For macro regime detection, this is the wrong tool:</w:t>
      </w:r>
    </w:p>
    <w:p/>
    <w:p>
      <w:pPr>
        <w:pStyle w:val="ListParagraph"/>
        <w:numPr>
          <w:ilvl w:val="0"/>
          <w:numId w:val="1"/>
        </w:numPr>
      </w:pPr>
      <w:r>
        <w:t xml:space="preserve">Macro conditions change continuously — waiting for a full quarter of data before updating the quad probability defeats the purpose of the system.</w:t>
      </w:r>
    </w:p>
    <w:p>
      <w:pPr>
        <w:pStyle w:val="ListParagraph"/>
        <w:numPr>
          <w:ilvl w:val="0"/>
          <w:numId w:val="1"/>
        </w:numPr>
      </w:pPr>
      <w:r>
        <w:t xml:space="preserve">Indicators arrive at radically different frequencies (Truflation daily, jobless claims weekly, ISM monthly, GDP quarterly). A Frequentist model cannot naturally incorporate asynchronous evidence.</w:t>
      </w:r>
    </w:p>
    <w:p>
      <w:pPr>
        <w:pStyle w:val="ListParagraph"/>
        <w:numPr>
          <w:ilvl w:val="0"/>
          <w:numId w:val="1"/>
        </w:numPr>
      </w:pPr>
      <w:r>
        <w:t xml:space="preserve">Policy signals — a Fed rate decision, a tariff announcement — are discrete events that should immediately update forward projections. Frequentist models have no clean mechanism for this.</w:t>
      </w:r>
    </w:p>
    <w:p/>
    <w:p>
      <w:r>
        <w:t xml:space="preserve">Bayesian inference solves all three problems: it starts with a prior belief (current quad), updates continuously as each new indicator arrives, and can incorporate discrete policy events as explicit evidence updates.</w:t>
      </w:r>
    </w:p>
    <w:p/>
    <w:p>
      <w:pPr>
        <w:pStyle w:val="Heading2"/>
      </w:pPr>
      <w:r>
        <w:t>10.2 Bayesian Structure of the Quad Tracker</w:t>
      </w:r>
    </w:p>
    <w:p>
      <w:r>
        <w:t xml:space="preserve">The Bayesian framework operates as follows:</w:t>
      </w:r>
    </w:p>
    <w:p/>
    <w:p>
      <w:pPr>
        <w:pStyle w:val="ListParagraph"/>
        <w:numPr>
          <w:ilvl w:val="0"/>
          <w:numId w:val="1"/>
        </w:numPr>
      </w:pPr>
      <w:r>
        <w:t xml:space="preserve">Prior: At the start of each quarter, the prior probability distribution across the four quads is initialized from the previous quarter's dominant quad and momentum trajectory.</w:t>
      </w:r>
    </w:p>
    <w:p>
      <w:pPr>
        <w:pStyle w:val="ListParagraph"/>
        <w:numPr>
          <w:ilvl w:val="0"/>
          <w:numId w:val="1"/>
        </w:numPr>
      </w:pPr>
      <w:r>
        <w:t xml:space="preserve">Likelihood: Each indicator release updates the Growth Score and Inflation Score, which in turn shift the probability mass across the four quads via the bivariate normal distribution mapping.</w:t>
      </w:r>
    </w:p>
    <w:p>
      <w:pPr>
        <w:pStyle w:val="ListParagraph"/>
        <w:numPr>
          <w:ilvl w:val="0"/>
          <w:numId w:val="1"/>
        </w:numPr>
      </w:pPr>
      <w:r>
        <w:t xml:space="preserve">Posterior: The output quad probability distribution (Q1/Q2/Q3/Q4 probabilities summing to 100%) is the posterior — the updated belief state after all available evidence has been incorporated.</w:t>
      </w:r>
    </w:p>
    <w:p>
      <w:pPr>
        <w:pStyle w:val="ListParagraph"/>
        <w:numPr>
          <w:ilvl w:val="0"/>
          <w:numId w:val="1"/>
        </w:numPr>
      </w:pPr>
      <w:r>
        <w:t xml:space="preserve">Forward Projection as Prior Decay: The momentum decay model for Q2-Q4 (factors 0.75 / 0.55 / 0.35) is a Bayesian prior decay — belief in the current trajectory weakens over time without new confirming evidence, reflecting increasing uncertainty about future quarters.</w:t>
      </w:r>
    </w:p>
    <w:p>
      <w:pPr>
        <w:pStyle w:val="ListParagraph"/>
        <w:numPr>
          <w:ilvl w:val="0"/>
          <w:numId w:val="1"/>
        </w:numPr>
      </w:pPr>
      <w:r>
        <w:t xml:space="preserve">Policy Signals as Hard Evidence: Fed decisions, fiscal changes, and tariff announcements are treated as Bayesian evidence that can override momentum-based forward projections when a clear policy path is established.</w:t>
      </w:r>
    </w:p>
    <w:p/>
    <w:p>
      <w:pPr>
        <w:pStyle w:val="Heading2"/>
      </w:pPr>
      <w:r>
        <w:t>10.3 Relationship to Signal Matrix (Frequentist)</w:t>
      </w:r>
    </w:p>
    <w:p>
      <w:r>
        <w:t xml:space="preserve">The Signal Matrix signal engine uses Frequentist statistics — the correct tool for measuring objective properties of price series (Hurst Exponent, Fractal Dimension) and computing conviction scores from historical signal outcome frequencies. The two systems use different paradigms because they are solving different problems:</w:t>
      </w:r>
    </w:p>
    <w:p/>
    <w:p>
      <w:pPr>
        <w:pStyle w:val="ListParagraph"/>
        <w:numPr>
          <w:ilvl w:val="0"/>
          <w:numId w:val="1"/>
        </w:numPr>
      </w:pPr>
      <w:r>
        <w:t xml:space="preserve">Signal Matrix asks: "What has this price series historically done when these statistical conditions are present?" — a frequency question. Frequentist.</w:t>
      </w:r>
    </w:p>
    <w:p>
      <w:pPr>
        <w:pStyle w:val="ListParagraph"/>
        <w:numPr>
          <w:ilvl w:val="0"/>
          <w:numId w:val="1"/>
        </w:numPr>
      </w:pPr>
      <w:r>
        <w:t xml:space="preserve">Quad Tracker asks: "Given everything we know right now, what macro regime is most likely over the next 1-4 quarters?" — a belief-updating question. Bayesian.</w:t>
      </w:r>
    </w:p>
    <w:p>
      <w:pPr>
        <w:pStyle w:val="ListParagraph"/>
        <w:numPr>
          <w:ilvl w:val="0"/>
          <w:numId w:val="1"/>
        </w:numPr>
      </w:pPr>
      <w:r>
        <w:t xml:space="preserve">Maximum confidence occurs when both systems align: a high Frequentist conviction score on a ticker whose asset class is favored by the current Bayesian dominant quad.</w:t>
      </w:r>
    </w:p>
    <w:p>
      <w:pPr>
        <w:pStyle w:val="ListParagraph"/>
        <w:numPr>
          <w:ilvl w:val="0"/>
          <w:numId w:val="1"/>
        </w:numPr>
      </w:pPr>
      <w:r>
        <w:t xml:space="preserve">Neither system overrides the other. They are read in parallel by the investor.</w:t>
      </w:r>
    </w:p>
    <w:p/>
    <w:p>
      <w:pPr>
        <w:pStyle w:val="Heading2"/>
      </w:pPr>
      <w:r>
        <w:t>10.4 Component-Level Framework Decisions</w:t>
      </w:r>
    </w:p>
    <w:p>
      <w:pPr>
        <w:pStyle w:val="ListParagraph"/>
        <w:numPr>
          <w:ilvl w:val="0"/>
          <w:numId w:val="1"/>
        </w:numPr>
      </w:pPr>
      <w:r>
        <w:t xml:space="preserve">Indicator ROC Scores (-100 to +100) — Frequentist (SD from historical mean, fixed lookback window)</w:t>
      </w:r>
    </w:p>
    <w:p>
      <w:pPr>
        <w:pStyle w:val="ListParagraph"/>
        <w:numPr>
          <w:ilvl w:val="0"/>
          <w:numId w:val="1"/>
        </w:numPr>
      </w:pPr>
      <w:r>
        <w:t xml:space="preserve">Velocity Detection (accelerating / decelerating) — Frequentist (rate of change of ROC vs historical distribution)</w:t>
      </w:r>
    </w:p>
    <w:p>
      <w:pPr>
        <w:pStyle w:val="ListParagraph"/>
        <w:numPr>
          <w:ilvl w:val="0"/>
          <w:numId w:val="1"/>
        </w:numPr>
      </w:pPr>
      <w:r>
        <w:t xml:space="preserve">Growth Score / Inflation Score aggregation — Frequentist (weighted sum of indicator scores)</w:t>
      </w:r>
    </w:p>
    <w:p>
      <w:pPr>
        <w:pStyle w:val="ListParagraph"/>
        <w:numPr>
          <w:ilvl w:val="0"/>
          <w:numId w:val="1"/>
        </w:numPr>
      </w:pPr>
      <w:r>
        <w:t xml:space="preserve">Quad Probability Distribution — Bayesian (bivariate normal mapping, continuously updated)</w:t>
      </w:r>
    </w:p>
    <w:p>
      <w:pPr>
        <w:pStyle w:val="ListParagraph"/>
        <w:numPr>
          <w:ilvl w:val="0"/>
          <w:numId w:val="1"/>
        </w:numPr>
      </w:pPr>
      <w:r>
        <w:t xml:space="preserve">Forward Quarter Projections Q2-Q4 — Bayesian (momentum decay = prior decay without new evidence)</w:t>
      </w:r>
    </w:p>
    <w:p>
      <w:pPr>
        <w:pStyle w:val="ListParagraph"/>
        <w:numPr>
          <w:ilvl w:val="0"/>
          <w:numId w:val="1"/>
        </w:numPr>
      </w:pPr>
      <w:r>
        <w:t xml:space="preserve">Policy Signal Modifiers — Bayesian (discrete evidence updates to forward projections)</w:t>
      </w:r>
    </w:p>
    <w:p>
      <w:pPr>
        <w:pStyle w:val="ListParagraph"/>
        <w:numPr>
          <w:ilvl w:val="0"/>
          <w:numId w:val="1"/>
        </w:numPr>
      </w:pPr>
      <w:r>
        <w:t xml:space="preserve">Dominant Quad Classification — Bayesian posterior output (highest probability quad)</w:t>
      </w:r>
    </w:p>
    <w:p/>
    <w:p>
      <w:pPr>
        <w:pStyle w:val="Heading1"/>
        <w:spacing w:before="400" w:after="160"/>
      </w:pPr>
      <w:r>
        <w:rPr>
          <w:rFonts w:ascii="Arial" w:cs="Arial" w:eastAsia="Arial" w:hAnsi="Arial"/>
          <w:b/>
          <w:bCs/>
          <w:color w:val="1F3864"/>
          <w:sz w:val="34"/>
          <w:szCs w:val="34"/>
        </w:rPr>
        <w:t xml:space="preserve">9. Open Questions / TBD</w:t>
      </w:r>
    </w:p>
    <w:p>
      <w:pPr>
        <w:pStyle w:val="ListParagraph"/>
        <w:numPr>
          <w:ilvl w:val="0"/>
          <w:numId w:val="2"/>
        </w:numPr>
        <w:spacing w:before="40" w:after="40"/>
      </w:pPr>
      <w:r>
        <w:rPr>
          <w:rFonts w:ascii="Arial" w:cs="Arial" w:eastAsia="Arial" w:hAnsi="Arial"/>
          <w:b w:val="false"/>
          <w:bCs w:val="false"/>
          <w:color w:val="000000"/>
          <w:sz w:val="22"/>
          <w:szCs w:val="22"/>
        </w:rPr>
        <w:t xml:space="preserve">Truflation Employment Index — confirm pricing and include or substitute FRED PAYEMS</w:t>
      </w:r>
    </w:p>
    <w:p>
      <w:pPr>
        <w:pStyle w:val="ListParagraph"/>
        <w:numPr>
          <w:ilvl w:val="0"/>
          <w:numId w:val="2"/>
        </w:numPr>
        <w:spacing w:before="40" w:after="40"/>
      </w:pPr>
      <w:r>
        <w:rPr>
          <w:rFonts w:ascii="Arial" w:cs="Arial" w:eastAsia="Arial" w:hAnsi="Arial"/>
          <w:b w:val="false"/>
          <w:bCs w:val="false"/>
          <w:color w:val="000000"/>
          <w:sz w:val="22"/>
          <w:szCs w:val="22"/>
        </w:rPr>
        <w:t xml:space="preserve">Historical SD baselines — what lookback period defines 'normal' for each indicator? (Suggested: 10-year rolling window, excluding COVID outlier period 2020–2021)</w:t>
      </w:r>
    </w:p>
    <w:p>
      <w:pPr>
        <w:pStyle w:val="ListParagraph"/>
        <w:numPr>
          <w:ilvl w:val="0"/>
          <w:numId w:val="2"/>
        </w:numPr>
        <w:spacing w:before="40" w:after="40"/>
      </w:pPr>
      <w:r>
        <w:rPr>
          <w:rFonts w:ascii="Arial" w:cs="Arial" w:eastAsia="Arial" w:hAnsi="Arial"/>
          <w:b w:val="false"/>
          <w:bCs w:val="false"/>
          <w:color w:val="000000"/>
          <w:sz w:val="22"/>
          <w:szCs w:val="22"/>
        </w:rPr>
        <w:t xml:space="preserve">Quad probability threshold — what minimum probability constitutes a 'dominant quad'? (Suggested: &gt;40% to declare dominant, &gt;60% for high conviction)</w:t>
      </w:r>
    </w:p>
    <w:p>
      <w:pPr>
        <w:pStyle w:val="ListParagraph"/>
        <w:numPr>
          <w:ilvl w:val="0"/>
          <w:numId w:val="2"/>
        </w:numPr>
        <w:spacing w:before="40" w:after="40"/>
      </w:pPr>
      <w:r>
        <w:rPr>
          <w:rFonts w:ascii="Arial" w:cs="Arial" w:eastAsia="Arial" w:hAnsi="Arial"/>
          <w:b w:val="false"/>
          <w:bCs w:val="false"/>
          <w:color w:val="000000"/>
          <w:sz w:val="22"/>
          <w:szCs w:val="22"/>
        </w:rPr>
        <w:t xml:space="preserve">Policy signal UI — manual entry admin panel or structured form in dashboard?</w:t>
      </w:r>
    </w:p>
    <w:p>
      <w:pPr>
        <w:pStyle w:val="ListParagraph"/>
        <w:numPr>
          <w:ilvl w:val="0"/>
          <w:numId w:val="2"/>
        </w:numPr>
        <w:spacing w:before="40" w:after="40"/>
      </w:pPr>
      <w:r>
        <w:rPr>
          <w:rFonts w:ascii="Arial" w:cs="Arial" w:eastAsia="Arial" w:hAnsi="Arial"/>
          <w:b w:val="false"/>
          <w:bCs w:val="false"/>
          <w:color w:val="000000"/>
          <w:sz w:val="22"/>
          <w:szCs w:val="22"/>
        </w:rPr>
        <w:t xml:space="preserve">Regime history source — use Hedgeye GIP historical quad dates as initial training data, or build from scratch from indicator history?</w:t>
      </w:r>
    </w:p>
    <w:p>
      <w:pPr>
        <w:pStyle w:val="ListParagraph"/>
        <w:numPr>
          <w:ilvl w:val="0"/>
          <w:numId w:val="2"/>
        </w:numPr>
        <w:spacing w:before="40" w:after="40"/>
      </w:pPr>
      <w:r>
        <w:rPr>
          <w:rFonts w:ascii="Arial" w:cs="Arial" w:eastAsia="Arial" w:hAnsi="Arial"/>
          <w:b w:val="false"/>
          <w:bCs w:val="false"/>
          <w:color w:val="000000"/>
          <w:sz w:val="22"/>
          <w:szCs w:val="22"/>
        </w:rPr>
        <w:t xml:space="preserve">Refresh scheduler — EOD only or intraday for high-frequency indicators (Truflation, breakevens, credit spreads)?</w:t>
      </w:r>
    </w:p>
    <w:p>
      <w:pPr>
        <w:pStyle w:val="ListParagraph"/>
        <w:numPr>
          <w:ilvl w:val="0"/>
          <w:numId w:val="2"/>
        </w:numPr>
        <w:spacing w:before="40" w:after="40"/>
      </w:pPr>
      <w:r>
        <w:rPr>
          <w:rFonts w:ascii="Arial" w:cs="Arial" w:eastAsia="Arial" w:hAnsi="Arial"/>
          <w:b w:val="false"/>
          <w:bCs w:val="false"/>
          <w:color w:val="000000"/>
          <w:sz w:val="22"/>
          <w:szCs w:val="22"/>
        </w:rPr>
        <w:t xml:space="preserve">Mobile responsive design — Quad Tracker has complex layout; confirm mobile requirements</w:t>
      </w:r>
    </w:p>
    <w:p>
      <w:pPr>
        <w:spacing w:before="80" w:after="80"/>
      </w:pPr>
      <w:r>
        <w:rPr>
          <w:rFonts w:ascii="Arial" w:cs="Arial" w:eastAsia="Arial" w:hAnsi="Arial"/>
          <w:sz w:val="22"/>
          <w:szCs w:val="22"/>
        </w:rPr>
        <w:t xml:space="preserve"/>
      </w:r>
    </w:p>
    <w:p>
      <w:pPr>
        <w:pBdr>
          <w:bottom w:val="single" w:color="2E75B6" w:sz="4" w:space="1"/>
        </w:pBdr>
        <w:spacing w:before="160" w:after="160"/>
      </w:pPr>
      <w:r>
        <w:rPr>
          <w:rFonts w:ascii="Arial" w:cs="Arial" w:eastAsia="Arial" w:hAnsi="Arial"/>
          <w:sz w:val="22"/>
          <w:szCs w:val="22"/>
        </w:rPr>
        <w:t xml:space="preserve"/>
      </w:r>
    </w:p>
    <w:p>
      <w:pPr>
        <w:spacing w:before="120" w:after="40"/>
        <w:jc w:val="center"/>
      </w:pPr>
      <w:r>
        <w:rPr>
          <w:rFonts w:ascii="Arial" w:cs="Arial" w:eastAsia="Arial" w:hAnsi="Arial"/>
          <w:i/>
          <w:iCs/>
          <w:color w:val="888888"/>
          <w:sz w:val="20"/>
          <w:szCs w:val="20"/>
        </w:rPr>
        <w:t xml:space="preserve">Signal Matrix Platform  |  Quad Tracker Specification  |  v1.0  |  March 2026</w:t>
      </w:r>
    </w:p>
    <w:p>
      <w:pPr>
        <w:spacing w:before="0" w:after="0"/>
        <w:jc w:val="center"/>
      </w:pPr>
      <w:r>
        <w:rPr>
          <w:rFonts w:ascii="Arial" w:cs="Arial" w:eastAsia="Arial" w:hAnsi="Arial"/>
          <w:i/>
          <w:iCs/>
          <w:color w:val="888888"/>
          <w:sz w:val="20"/>
          <w:szCs w:val="20"/>
        </w:rPr>
        <w:t xml:space="preserve">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2026-03-10T03:15:22.042Z</dcterms:created>
  <dcterms:modified xsi:type="dcterms:W3CDTF">2026-03-10T03:15:22.043Z</dcterms:modified>
</cp:coreProperties>
</file>

<file path=docProps/custom.xml><?xml version="1.0" encoding="utf-8"?>
<Properties xmlns="http://schemas.openxmlformats.org/officeDocument/2006/custom-properties" xmlns:vt="http://schemas.openxmlformats.org/officeDocument/2006/docPropsVTypes"/>
</file>