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Signal Matrix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Master Specification Document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1.1  |  March 2026  |  Confidential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Signal Matrix is a multi-timeframe, probabilistic trading signal platform designed to identify high-conviction trade opportunities across a diversified universe of assets. The platform is built around the principle that simplicity and structural clarity outperform complex over-engineered systems. The methodology is rooted in fractal market theory, wave structure analysis, and probabilistic statistics rather than traditional lagging indicators.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Philosophy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Fewer, higher quality signals beat more, lower quality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Trend alignment across timeframes is the primary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ranges are mathematically derived, not discretionary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system tells you where the market is, not where you want it to be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Methodology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Timeframe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weeks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Entry/exit timing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3 months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Directional bias filter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years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 structural context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Trend Identification — ABC Wave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uses pivot point analysis to identify market structure objectively. The core pattern is a four-point structure that resembles a diagonal lightning bolt on a chart.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low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high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low — uptrend confirmed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high — uptrend continuing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Rules: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Higher lows (A→C) + Higher highs (B→D) = uptrend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 below A = uptrend invalidated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Breakout above B from a downtrend = reversal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Breakout above B in existing uptrend = continuation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state: Moving averages (20, 50, 100) used as interim trend filter until fractal/pivot detection engine is built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Signal Components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Fractal Dimension (D)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Measures price series complexity/roughness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 → 1.0 = smooth, strongly trending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 → 1.5 = random/choppy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 → 2.0 = highly mean-reverting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Hurst Exponent (H)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 &gt; 0.5 = trending (persistent)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 &lt; 0.5 = mean-reverting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 = 0.5 = random walk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Inverse relationship: D + H =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Calculated at all three timeframes independently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Gaussian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Underlying normal distribution of returns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Provides probabilistic confidence intervals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Foundation for LRR/HRR calculation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Relative Implied Volatility (Rel IV)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IV expressed as percentile of its own 52-week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Low Rel IV = volatility compressed, range tighter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Rel IV = volatility expanded, range wider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Stock-specific — not compared to VIX or absolute levels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Volume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Confirming: volume supports price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Diverging: volume contradicts price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Neutral: no clear conviction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LRR / HRR Calculation Logic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LRR (Lower Risk Range) is the entry zone, structurally anchored to pivot points. HRR (Higher Risk Range) is the profit target / partial exit zone.</w:t>
      </w:r>
    </w:p>
    <w:p>
      <w:pPr>
        <w:spacing w:before="80" w:after="8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IV widens the overall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Signal conviction determines asymmetry — strong uptrend = tight LRR, wide HRR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LRR is anchored between B and C pivot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Strong trend: LRR closer to B. Weak trend: LRR closer to C. Below C = setup invalidated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HRR reflects expected move based on H, volume, and Rel IV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Range is NOT symmetrical around current price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HRR vs Prior High</w:t>
            </w:r>
          </w:p>
        </w:tc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Interpretation</w:t>
            </w:r>
          </w:p>
        </w:tc>
        <w:tc>
          <w:tcPr>
            <w:tcW w:type="dxa" w:w="3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HRR well above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trend, high conviction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position entry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HRR near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intact, weakening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HRR below 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or minimal size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LRR below 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Uptrend invalidated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trade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Multi-Timeframe Signal Logic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Long Term H → is this structurally a trending instrument?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Trend H → is it trending over 3 months?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Trade H → is short term aligned with trend?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ABC pivot structure → where are we in the wave?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Volume → is conviction behind the move?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Relative IV → where are we in the volatility distribution?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 → LRR, HRR, conviction score (0–100%)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filter: Trade and Trend must be aligned in the same direction before LRR/HRR is calculated.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Asset Universe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Tier 1 — Core Watchlist (Static, ~51 tickers)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SPX, NDX, $DJI, VIX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 Market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SPY, QQQ, IWM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XLK, AAPL, MSFT, NVDA, AVGO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Services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XLC, GOOGL, META, NFLX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Discretionary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XLY, AMZN, TSLA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Staples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SMH, CIBR, GRID, QTUM, ROBO, SATS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Fixed Income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Treasury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Assets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Cryptocurrency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Exchange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Exchange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USD, JPY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ETF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EWJ, EWW, TUR, UAE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Precious Metals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SLV, PALL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Agricultural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WOOD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Tier 2 — Dynamic Expansion List (TBD)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Triggered when Tier 1 asset shows strong conviction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Drills from broad to specific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Oil strong → USO triggers → XOP, OIH surface → individual names appear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displays when conviction threshold is met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Tier 2 mapping to be defined (pre-defined vs dynamic screener — TBD)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Dashboard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Current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application running locally via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Tier 1 tickers loaded with simulated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column set displaying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filtering, sorting,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Click-to-expand detail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flagging for high conviction aligned signals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 coded signals (green/red/amber)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Dashboard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Flag ⚡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conviction aligned signal flag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name / ETF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Equities / Commodities / Domestic Fixed Income / Digital Assets / Foreign Exchange / International Equities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/ Broad Market / GICS sector / Factor / Treasury / Cryptocurrency / Gold / Currency / Country / etc.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closing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+ Trend alignment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score 0–100%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Direction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/ Bearish / Neutral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LRR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risk range - trade timeframe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HRR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risk range - trade timeframe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Direction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/ Bearish / Neutral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LRR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level - trend timeframe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 Direction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Bullish / Bearish / Neutral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 LRR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structural support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Hurst (Trade)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value at trade timeframe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 IV 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IV % of 52-week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Signal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Confirming / Neutral / Diverging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 (mock)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 data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Built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Technical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Current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Mock/Simulated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20"/>
                <w:szCs w:val="20"/>
              </w:rPr>
              <w:t xml:space="preserve">✅ Running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built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built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Data Feed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connected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□ Pending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Target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locally, same code deploys to cloud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calculations, data fetching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(Local)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setup, file-based, ideal for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(Cloud)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Managed, free tier, real-time capable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Abstracts database — one line change to switch DBs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(multi-service)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+ Backend +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(EOD)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/ Schwab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End-of-day price and volume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(Live)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Schwab API (WebSocket)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quote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→ Cloud (AWS/Azure/GCP)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local, architect for cloud from day 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Database Migration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SQLite locally → export to SQL file → import into Supabase (two-command process)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SQLAlchemy ORM abstracts the database layer — application code is identical for both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SQLite and Supabase/PostgreSQL share the same relational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Minor data type differences (TEXT vs VARCHAR/TIMESTAMP) handled at migration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adds built-in auth, REST API, real-time subscriptions, and a dashboard UI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Dev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Windows PC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VS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Node.js LTS (via Docker)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localhost:3000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What Has Been Accomplished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signal methodology 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LRR/HRR logic framework designed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Multi-timeframe Hurst/Fractal framework defined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Asset universe defined (Tier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UI built and running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 environment fully configured (Docker, VS Code, React)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containerization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migration strategy defined (SQLite → Supabase)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Next Steps — Prioritized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5000"/>
      </w:tblGrid>
      <w:tr>
        <w:trPr>
          <w:tblHeader/>
        </w:trPr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Refinement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feedback, sparkline charts, column layout, Tier 2 panel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Data Integration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EOD, real MAs (20/50/100), real closing prices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Engine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Hurst calculator, Fractal Dimension, ABC pivot detector, Rel IV, LRR/HRR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&amp; Database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FastAPI, SQLite local DB, EOD refresh scheduler, signal history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Schwab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auth, real-time streaming, options data for IV, order management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DB migration, cloud provider deploy, remote access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</w:pPr>
      <w:r>
        <w:t>9. Statistical Framework</w:t>
      </w:r>
    </w:p>
    <w:p>
      <w:r>
        <w:t xml:space="preserve">Signal Matrix uses two complementary statistical paradigms — Frequentist and Bayesian — applied to different components based on the nature of each calculation. The two approaches are not in conflict; they are each optimal for different parts of the system.</w:t>
      </w:r>
    </w:p>
    <w:p/>
    <w:p>
      <w:pPr>
        <w:pStyle w:val="Heading2"/>
      </w:pPr>
      <w:r>
        <w:t>9.1 Frequentist Statistics — Signal Matrix Signal Engine</w:t>
      </w:r>
    </w:p>
    <w:p>
      <w:r>
        <w:t xml:space="preserve">The core signal engine uses Frequentist statistics. Probability is defined as the long-run frequency of outcomes derived from historical data. Model parameters are estimated from fixed historical windows and are recalculated at each EOD refresh — they do not update dynamically mid-session.</w:t>
      </w:r>
    </w:p>
    <w:p/>
    <w:p>
      <w:r>
        <w:t xml:space="preserve">Frequentist methods are applied to:</w:t>
      </w:r>
    </w:p>
    <w:p>
      <w:pPr>
        <w:pStyle w:val="ListParagraph"/>
        <w:numPr>
          <w:ilvl w:val="0"/>
          <w:numId w:val="1"/>
        </w:numPr>
      </w:pPr>
      <w:r>
        <w:t xml:space="preserve">Hurst Exponent (H) — computed from a fixed lookback window of price returns. Objective measurement of a statistical property of the price series.</w:t>
      </w:r>
    </w:p>
    <w:p>
      <w:pPr>
        <w:pStyle w:val="ListParagraph"/>
        <w:numPr>
          <w:ilvl w:val="0"/>
          <w:numId w:val="1"/>
        </w:numPr>
      </w:pPr>
      <w:r>
        <w:t xml:space="preserve">Fractal Dimension (D) — same fixed-window approach. D + H = 2 by definition.</w:t>
      </w:r>
    </w:p>
    <w:p>
      <w:pPr>
        <w:pStyle w:val="ListParagraph"/>
        <w:numPr>
          <w:ilvl w:val="0"/>
          <w:numId w:val="1"/>
        </w:numPr>
      </w:pPr>
      <w:r>
        <w:t xml:space="preserve">Gaussian Return Distribution — historical distribution of returns provides the probabilistic confidence intervals underpinning LRR/HRR calculation.</w:t>
      </w:r>
    </w:p>
    <w:p>
      <w:pPr>
        <w:pStyle w:val="ListParagraph"/>
        <w:numPr>
          <w:ilvl w:val="0"/>
          <w:numId w:val="1"/>
        </w:numPr>
      </w:pPr>
      <w:r>
        <w:t xml:space="preserve">Conviction Score (0-100%) — frequency-based probability derived from historical signal outcomes. How often has a signal with these H, D, volume, and IV characteristics resulted in a move to HRR?</w:t>
      </w:r>
    </w:p>
    <w:p>
      <w:pPr>
        <w:pStyle w:val="ListParagraph"/>
        <w:numPr>
          <w:ilvl w:val="0"/>
          <w:numId w:val="1"/>
        </w:numPr>
      </w:pPr>
      <w:r>
        <w:t xml:space="preserve">Relative IV Percentile — IV expressed as a percentile of its own 52-week historical distribution.</w:t>
      </w:r>
    </w:p>
    <w:p/>
    <w:p>
      <w:r>
        <w:t xml:space="preserve">Rationale: The signal components are measuring objective statistical properties of price series and historical return distributions. These are frequency questions — the correct tool is Frequentist inference.</w:t>
      </w:r>
    </w:p>
    <w:p/>
    <w:p>
      <w:pPr>
        <w:pStyle w:val="Heading2"/>
      </w:pPr>
      <w:r>
        <w:t>9.2 Bayesian Statistics — Quad Tracker Scoring Engine</w:t>
      </w:r>
    </w:p>
    <w:p>
      <w:r>
        <w:t xml:space="preserve">The Quad Tracker uses Bayesian inference. In this paradigm, probability is defined as a degree of belief that updates continuously as new evidence arrives. The system starts each quarter with a prior (the current macro regime) and revises its quad probability distribution as each new indicator data point is released.</w:t>
      </w:r>
    </w:p>
    <w:p/>
    <w:p>
      <w:r>
        <w:t xml:space="preserve">Bayesian methods are applied to:</w:t>
      </w:r>
    </w:p>
    <w:p>
      <w:pPr>
        <w:pStyle w:val="ListParagraph"/>
        <w:numPr>
          <w:ilvl w:val="0"/>
          <w:numId w:val="1"/>
        </w:numPr>
      </w:pPr>
      <w:r>
        <w:t xml:space="preserve">Quad Probability Distribution — a live probability across all four quads that shifts with each indicator update. Not a static classification — a continuously evolving belief state.</w:t>
      </w:r>
    </w:p>
    <w:p>
      <w:pPr>
        <w:pStyle w:val="ListParagraph"/>
        <w:numPr>
          <w:ilvl w:val="0"/>
          <w:numId w:val="1"/>
        </w:numPr>
      </w:pPr>
      <w:r>
        <w:t xml:space="preserve">Forward Quarter Projections (Q2-Q4) — the momentum decay model is a Bayesian prior decay: belief in the current trajectory weakens over time without new confirming evidence (decay factors: 1.0 → 0.75 → 0.55 → 0.35).</w:t>
      </w:r>
    </w:p>
    <w:p>
      <w:pPr>
        <w:pStyle w:val="ListParagraph"/>
        <w:numPr>
          <w:ilvl w:val="0"/>
          <w:numId w:val="1"/>
        </w:numPr>
      </w:pPr>
      <w:r>
        <w:t xml:space="preserve">Policy Signal Layer — Fed rate decisions, fiscal announcements, and tariff changes are treated as Bayesian evidence that updates and can override momentum-based forward projections when a clear policy path is established.</w:t>
      </w:r>
    </w:p>
    <w:p>
      <w:pPr>
        <w:pStyle w:val="ListParagraph"/>
        <w:numPr>
          <w:ilvl w:val="0"/>
          <w:numId w:val="1"/>
        </w:numPr>
      </w:pPr>
      <w:r>
        <w:t xml:space="preserve">Indicator Velocity — accelerating vs. decelerating ROC modifies the weight given to each indicator score, reflecting updated confidence in the direction of travel.</w:t>
      </w:r>
    </w:p>
    <w:p/>
    <w:p>
      <w:r>
        <w:t xml:space="preserve">Rationale: Macro regime identification is inherently a belief-updating problem. Indicators arrive at different frequencies (daily, weekly, monthly, quarterly). Each new data point should update the system's conviction — not wait for a full data set before rendering a verdict. Bayesian inference is the correct tool for this continuous-update environment.</w:t>
      </w:r>
    </w:p>
    <w:p/>
    <w:p>
      <w:pPr>
        <w:pStyle w:val="Heading2"/>
      </w:pPr>
      <w:r>
        <w:t>9.3 How They Work Together</w:t>
      </w:r>
    </w:p>
    <w:p>
      <w:r>
        <w:t xml:space="preserve">The two statistical frameworks operate in parallel and their outputs are complementary:</w:t>
      </w:r>
    </w:p>
    <w:p/>
    <w:p>
      <w:pPr>
        <w:pStyle w:val="ListParagraph"/>
        <w:numPr>
          <w:ilvl w:val="0"/>
          <w:numId w:val="1"/>
        </w:numPr>
      </w:pPr>
      <w:r>
        <w:t xml:space="preserve">Signal Matrix generates a Frequentist conviction score for each ticker based on historical signal properties.</w:t>
      </w:r>
    </w:p>
    <w:p>
      <w:pPr>
        <w:pStyle w:val="ListParagraph"/>
        <w:numPr>
          <w:ilvl w:val="0"/>
          <w:numId w:val="1"/>
        </w:numPr>
      </w:pPr>
      <w:r>
        <w:t xml:space="preserve">Quad Tracker generates a Bayesian quad probability that provides macro regime context.</w:t>
      </w:r>
    </w:p>
    <w:p>
      <w:pPr>
        <w:pStyle w:val="ListParagraph"/>
        <w:numPr>
          <w:ilvl w:val="0"/>
          <w:numId w:val="1"/>
        </w:numPr>
      </w:pPr>
      <w:r>
        <w:t xml:space="preserve">Maximum confidence occurs when both systems agree: a high Frequentist conviction score on a ticker whose asset class is favored by the current Bayesian dominant quad.</w:t>
      </w:r>
    </w:p>
    <w:p>
      <w:pPr>
        <w:pStyle w:val="ListParagraph"/>
        <w:numPr>
          <w:ilvl w:val="0"/>
          <w:numId w:val="1"/>
        </w:numPr>
      </w:pPr>
      <w:r>
        <w:t xml:space="preserve">Neither system overrides the other. The investor reads both outputs together.</w:t>
      </w:r>
    </w:p>
    <w:p/>
    <w:p>
      <w:r>
        <w:rPr>
          <w:b/>
        </w:rPr>
        <w:t xml:space="preserve">Component-level framework decisions:</w:t>
      </w:r>
    </w:p>
    <w:p>
      <w:pPr>
        <w:pStyle w:val="ListParagraph"/>
        <w:numPr>
          <w:ilvl w:val="0"/>
          <w:numId w:val="1"/>
        </w:numPr>
      </w:pPr>
      <w:r>
        <w:t xml:space="preserve">Hurst Exponent → Frequentist</w:t>
      </w:r>
    </w:p>
    <w:p>
      <w:pPr>
        <w:pStyle w:val="ListParagraph"/>
        <w:numPr>
          <w:ilvl w:val="0"/>
          <w:numId w:val="1"/>
        </w:numPr>
      </w:pPr>
      <w:r>
        <w:t xml:space="preserve">Fractal Dimension → Frequentist</w:t>
      </w:r>
    </w:p>
    <w:p>
      <w:pPr>
        <w:pStyle w:val="ListParagraph"/>
        <w:numPr>
          <w:ilvl w:val="0"/>
          <w:numId w:val="1"/>
        </w:numPr>
      </w:pPr>
      <w:r>
        <w:t xml:space="preserve">Gaussian Return Distribution → Frequentist</w:t>
      </w:r>
    </w:p>
    <w:p>
      <w:pPr>
        <w:pStyle w:val="ListParagraph"/>
        <w:numPr>
          <w:ilvl w:val="0"/>
          <w:numId w:val="1"/>
        </w:numPr>
      </w:pPr>
      <w:r>
        <w:t xml:space="preserve">LRR / HRR Ranges → Frequentist</w:t>
      </w:r>
    </w:p>
    <w:p>
      <w:pPr>
        <w:pStyle w:val="ListParagraph"/>
        <w:numPr>
          <w:ilvl w:val="0"/>
          <w:numId w:val="1"/>
        </w:numPr>
      </w:pPr>
      <w:r>
        <w:t xml:space="preserve">Conviction Score (Signal Matrix) → Frequentist</w:t>
      </w:r>
    </w:p>
    <w:p>
      <w:pPr>
        <w:pStyle w:val="ListParagraph"/>
        <w:numPr>
          <w:ilvl w:val="0"/>
          <w:numId w:val="1"/>
        </w:numPr>
      </w:pPr>
      <w:r>
        <w:t xml:space="preserve">Quad Probability Distribution → Bayesian</w:t>
      </w:r>
    </w:p>
    <w:p>
      <w:pPr>
        <w:pStyle w:val="ListParagraph"/>
        <w:numPr>
          <w:ilvl w:val="0"/>
          <w:numId w:val="1"/>
        </w:numPr>
      </w:pPr>
      <w:r>
        <w:t xml:space="preserve">Forward Quarter Projections (Q2-Q4) → Bayesian</w:t>
      </w:r>
    </w:p>
    <w:p>
      <w:pPr>
        <w:pStyle w:val="ListParagraph"/>
        <w:numPr>
          <w:ilvl w:val="0"/>
          <w:numId w:val="1"/>
        </w:numPr>
      </w:pPr>
      <w:r>
        <w:t xml:space="preserve">Policy Signal Modifiers → Bayesian</w:t>
      </w:r>
    </w:p>
    <w:p/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Open Questions / TBD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Tier 2 watchlist — pre-defined mapping vs dynamic screener?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Conviction score weighting — equal weight vs dominant factor?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Hurst lookback periods for each timeframe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 provider selection (AWS vs Azure vs GCP)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responsive design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Schwab API developer account setup and OAuth flow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should be saved as a Project Instruction in your Claude Project.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Every future conversation will start with full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2026-03-07T06:31:03.979Z</dcterms:created>
  <dcterms:modified xsi:type="dcterms:W3CDTF">2026-03-07T06:31:03.980Z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