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4F009" w14:textId="3F8530A0" w:rsidR="000B3388" w:rsidRDefault="00000000">
      <w:pPr>
        <w:spacing w:after="40"/>
        <w:jc w:val="center"/>
      </w:pPr>
      <w:r>
        <w:rPr>
          <w:b/>
          <w:bCs/>
          <w:color w:val="1F4E5F"/>
          <w:sz w:val="30"/>
          <w:szCs w:val="30"/>
        </w:rPr>
        <w:t>AnalystLab Africa Week 1–2 Summary Report</w:t>
      </w:r>
    </w:p>
    <w:p w14:paraId="466979D0" w14:textId="77777777" w:rsidR="000B3388" w:rsidRDefault="00000000">
      <w:pPr>
        <w:spacing w:after="200"/>
        <w:jc w:val="center"/>
      </w:pPr>
      <w:r>
        <w:rPr>
          <w:i/>
          <w:iCs/>
          <w:color w:val="555555"/>
        </w:rPr>
        <w:t>E-Commerce Transactions Dataset — Data Cleaning &amp; Exploratory Data Analysis</w:t>
      </w:r>
    </w:p>
    <w:p w14:paraId="5772F3A8" w14:textId="77777777" w:rsidR="000B3388" w:rsidRDefault="00000000">
      <w:pPr>
        <w:pStyle w:val="Heading2"/>
        <w:spacing w:before="200" w:after="100"/>
      </w:pPr>
      <w:r>
        <w:rPr>
          <w:b/>
          <w:bCs/>
          <w:color w:val="1F4E5F"/>
        </w:rPr>
        <w:t>1. Cleaning Challenges Encountered</w:t>
      </w:r>
    </w:p>
    <w:p w14:paraId="6FFA5EBA" w14:textId="77777777" w:rsidR="000B3388" w:rsidRDefault="00000000">
      <w:pPr>
        <w:pStyle w:val="ListParagraph"/>
        <w:numPr>
          <w:ilvl w:val="0"/>
          <w:numId w:val="1"/>
        </w:numPr>
        <w:spacing w:after="100"/>
        <w:ind w:left="260"/>
      </w:pPr>
      <w:r>
        <w:rPr>
          <w:b/>
          <w:bCs/>
        </w:rPr>
        <w:t xml:space="preserve">Missing CustomerID (25% of data): </w:t>
      </w:r>
      <w:r>
        <w:t>135,080 of 541,909 rows had no CustomerID. Rather than dropping a quarter of the dataset, these were filled with the label "Guest," preserving transaction-level data while flagging that no customer identity was attached.</w:t>
      </w:r>
    </w:p>
    <w:p w14:paraId="7310F895" w14:textId="77777777" w:rsidR="000B3388" w:rsidRDefault="00000000">
      <w:pPr>
        <w:pStyle w:val="ListParagraph"/>
        <w:numPr>
          <w:ilvl w:val="0"/>
          <w:numId w:val="1"/>
        </w:numPr>
        <w:spacing w:after="100"/>
        <w:ind w:left="260"/>
      </w:pPr>
      <w:r>
        <w:rPr>
          <w:b/>
          <w:bCs/>
        </w:rPr>
        <w:t xml:space="preserve">Missing Description (0.3% of data): </w:t>
      </w:r>
      <w:r>
        <w:t>1,454 rows had no product description and no reliable way to infer one, so these rows were dropped.</w:t>
      </w:r>
    </w:p>
    <w:p w14:paraId="6D1D656F" w14:textId="77777777" w:rsidR="000B3388" w:rsidRDefault="00000000">
      <w:pPr>
        <w:pStyle w:val="ListParagraph"/>
        <w:numPr>
          <w:ilvl w:val="0"/>
          <w:numId w:val="1"/>
        </w:numPr>
        <w:spacing w:after="100"/>
        <w:ind w:left="260"/>
      </w:pPr>
      <w:r>
        <w:rPr>
          <w:b/>
          <w:bCs/>
        </w:rPr>
        <w:t xml:space="preserve">Duplicate records: </w:t>
      </w:r>
      <w:r>
        <w:t>5,268 exact duplicate rows were identified and removed to avoid inflating sales totals.</w:t>
      </w:r>
    </w:p>
    <w:p w14:paraId="1BC95687" w14:textId="3AF79463" w:rsidR="000B3388" w:rsidRDefault="00000000">
      <w:pPr>
        <w:pStyle w:val="ListParagraph"/>
        <w:numPr>
          <w:ilvl w:val="0"/>
          <w:numId w:val="1"/>
        </w:numPr>
        <w:spacing w:after="100"/>
        <w:ind w:left="260"/>
      </w:pPr>
      <w:r>
        <w:rPr>
          <w:b/>
          <w:bCs/>
        </w:rPr>
        <w:t xml:space="preserve">Inconsistent data types: </w:t>
      </w:r>
      <w:r>
        <w:t>CustomerID was stored as a decimal number and InvoiceDate as plain text; both were corrected (CustomerID to text/ID form, InvoiceDate to proper datetime) to support accurate grouping and time</w:t>
      </w:r>
      <w:r w:rsidR="00973C2A">
        <w:t xml:space="preserve"> </w:t>
      </w:r>
      <w:r>
        <w:t>based analysis.</w:t>
      </w:r>
    </w:p>
    <w:p w14:paraId="16092E9F" w14:textId="1157E693" w:rsidR="000B3388" w:rsidRDefault="00000000">
      <w:pPr>
        <w:pStyle w:val="ListParagraph"/>
        <w:numPr>
          <w:ilvl w:val="0"/>
          <w:numId w:val="1"/>
        </w:numPr>
        <w:spacing w:after="100"/>
        <w:ind w:left="260"/>
      </w:pPr>
      <w:r>
        <w:rPr>
          <w:b/>
          <w:bCs/>
        </w:rPr>
        <w:t xml:space="preserve">Negative values: </w:t>
      </w:r>
      <w:r>
        <w:t>9,725 rows had zero/negative quantities and 1,058 had zero/negative prices. Cross</w:t>
      </w:r>
      <w:r w:rsidR="00973C2A">
        <w:t xml:space="preserve"> </w:t>
      </w:r>
      <w:r>
        <w:t>checking showed 9,251 invoices were cancellations (InvoiceNo starting with "C"), confirming these are legitimate returns rather than data errors they were kept but flagged for awareness in revenue analysis.</w:t>
      </w:r>
    </w:p>
    <w:p w14:paraId="794E385D" w14:textId="77777777" w:rsidR="000B3388" w:rsidRDefault="00000000">
      <w:pPr>
        <w:pStyle w:val="Heading2"/>
        <w:spacing w:before="200" w:after="100"/>
      </w:pPr>
      <w:r>
        <w:rPr>
          <w:b/>
          <w:bCs/>
          <w:color w:val="1F4E5F"/>
        </w:rPr>
        <w:t>2. Key EDA Findings</w:t>
      </w:r>
    </w:p>
    <w:p w14:paraId="48D5473D" w14:textId="0DC21B35" w:rsidR="000B3388" w:rsidRDefault="00000000">
      <w:pPr>
        <w:pStyle w:val="ListParagraph"/>
        <w:numPr>
          <w:ilvl w:val="0"/>
          <w:numId w:val="1"/>
        </w:numPr>
        <w:spacing w:after="100"/>
        <w:ind w:left="260"/>
      </w:pPr>
      <w:r>
        <w:rPr>
          <w:b/>
          <w:bCs/>
        </w:rPr>
        <w:t xml:space="preserve">Revenue is heavily UK-concentrated: </w:t>
      </w:r>
      <w:r>
        <w:t>United Kingdom generated £8.16M, nearly 29× the next highest country (Netherlands, £284K). (See Chart 2 Top Revenue-Generating Countries)</w:t>
      </w:r>
    </w:p>
    <w:p w14:paraId="391AC7F3" w14:textId="403FF6A9" w:rsidR="000B3388" w:rsidRDefault="00000000">
      <w:pPr>
        <w:pStyle w:val="ListParagraph"/>
        <w:numPr>
          <w:ilvl w:val="0"/>
          <w:numId w:val="1"/>
        </w:numPr>
        <w:spacing w:after="100"/>
        <w:ind w:left="260"/>
      </w:pPr>
      <w:r>
        <w:rPr>
          <w:b/>
          <w:bCs/>
        </w:rPr>
        <w:t xml:space="preserve">Bulk sellers vs. repeat favorites differ: </w:t>
      </w:r>
      <w:r>
        <w:t>"World War 2 Gliders Asstd Designs" leads in total quantity sold (53,751 units). (See Chart 1 Top 10 Best-Selling Products)</w:t>
      </w:r>
    </w:p>
    <w:p w14:paraId="5375987B" w14:textId="59008CE2" w:rsidR="000B3388" w:rsidRDefault="00000000">
      <w:pPr>
        <w:pStyle w:val="ListParagraph"/>
        <w:numPr>
          <w:ilvl w:val="0"/>
          <w:numId w:val="1"/>
        </w:numPr>
        <w:spacing w:after="100"/>
        <w:ind w:left="260"/>
      </w:pPr>
      <w:r>
        <w:rPr>
          <w:b/>
          <w:bCs/>
        </w:rPr>
        <w:t xml:space="preserve">Clear seasonal peak: </w:t>
      </w:r>
      <w:r>
        <w:t>Monthly revenue nearly tripled in November 2011 (£1.46M) versus a typical month (£680K), consistent with pre-holiday shopping. (See Chart 3 Monthly Sales Trend)</w:t>
      </w:r>
    </w:p>
    <w:p w14:paraId="61679367" w14:textId="586237A3" w:rsidR="000B3388" w:rsidRDefault="00000000">
      <w:pPr>
        <w:pStyle w:val="ListParagraph"/>
        <w:numPr>
          <w:ilvl w:val="0"/>
          <w:numId w:val="1"/>
        </w:numPr>
        <w:spacing w:after="100"/>
        <w:ind w:left="260"/>
      </w:pPr>
      <w:r>
        <w:rPr>
          <w:b/>
          <w:bCs/>
        </w:rPr>
        <w:t xml:space="preserve">Most unit prices cluster at the low end: </w:t>
      </w:r>
      <w:r>
        <w:t>The majority of items are priced under £5, with a long tail of higher-priced products, typical of a high</w:t>
      </w:r>
      <w:r w:rsidR="00973C2A">
        <w:t xml:space="preserve"> </w:t>
      </w:r>
      <w:r>
        <w:t>volume, low</w:t>
      </w:r>
      <w:r w:rsidR="00973C2A">
        <w:t xml:space="preserve"> </w:t>
      </w:r>
      <w:r>
        <w:t>cost retail catalog. (See Chart 4 Unit Price Distribution)</w:t>
      </w:r>
    </w:p>
    <w:p w14:paraId="5D8EC5C3" w14:textId="7F4B860E" w:rsidR="000B3388" w:rsidRDefault="00000000">
      <w:pPr>
        <w:pStyle w:val="ListParagraph"/>
        <w:numPr>
          <w:ilvl w:val="0"/>
          <w:numId w:val="1"/>
        </w:numPr>
        <w:spacing w:after="100"/>
        <w:ind w:left="260"/>
      </w:pPr>
      <w:r>
        <w:rPr>
          <w:b/>
          <w:bCs/>
        </w:rPr>
        <w:t xml:space="preserve">Guest checkouts are significant: </w:t>
      </w:r>
      <w:r>
        <w:t>Unidentified "Guest" transactions collectively totaled £1.4M more than any single identified customer. (See Chart 5</w:t>
      </w:r>
      <w:r w:rsidR="00973C2A">
        <w:t xml:space="preserve"> </w:t>
      </w:r>
      <w:r>
        <w:t>Top 10 Customers by Spend)</w:t>
      </w:r>
    </w:p>
    <w:p w14:paraId="4945A088" w14:textId="77777777" w:rsidR="000B3388" w:rsidRDefault="00000000">
      <w:pPr>
        <w:pStyle w:val="Heading2"/>
        <w:spacing w:before="200" w:after="100"/>
      </w:pPr>
      <w:r>
        <w:rPr>
          <w:b/>
          <w:bCs/>
          <w:color w:val="1F4E5F"/>
        </w:rPr>
        <w:t>3. Top Insights &amp; Recommendations</w:t>
      </w:r>
    </w:p>
    <w:p w14:paraId="0F2C6151" w14:textId="709F8779" w:rsidR="000B3388" w:rsidRDefault="00000000">
      <w:pPr>
        <w:pStyle w:val="ListParagraph"/>
        <w:numPr>
          <w:ilvl w:val="0"/>
          <w:numId w:val="1"/>
        </w:numPr>
        <w:spacing w:after="100"/>
        <w:ind w:left="260"/>
      </w:pPr>
      <w:r>
        <w:rPr>
          <w:b/>
          <w:bCs/>
        </w:rPr>
        <w:t xml:space="preserve">1. Prioritize the UK market, but nurture emerging ones: </w:t>
      </w:r>
      <w:r>
        <w:t>With the UK contributing the overwhelming majority of revenue, near-term growth may come from investing further in Netherlands, EIRE, and Germany the next-largest markets. (See Chart 2)</w:t>
      </w:r>
    </w:p>
    <w:p w14:paraId="349E2716" w14:textId="7D01E19D" w:rsidR="000B3388" w:rsidRDefault="00000000">
      <w:pPr>
        <w:pStyle w:val="ListParagraph"/>
        <w:numPr>
          <w:ilvl w:val="0"/>
          <w:numId w:val="1"/>
        </w:numPr>
        <w:spacing w:after="100"/>
        <w:ind w:left="260"/>
      </w:pPr>
      <w:r>
        <w:rPr>
          <w:b/>
          <w:bCs/>
        </w:rPr>
        <w:t xml:space="preserve">2. Separate "volume" from "loyalty" metrics when restocking: </w:t>
      </w:r>
      <w:r>
        <w:t>"World War 2 Gliders Asstd Designs" leads in total quantity sold, while "White Hanging Heart T-Light Holder" is the most frequently reordered item (2,302 separate orders) the two are not the same product, so inventory planning should track both metrics rather than one. (See Chart 1)</w:t>
      </w:r>
    </w:p>
    <w:p w14:paraId="324E357C" w14:textId="77777777" w:rsidR="000B3388" w:rsidRDefault="00000000">
      <w:pPr>
        <w:pStyle w:val="ListParagraph"/>
        <w:numPr>
          <w:ilvl w:val="0"/>
          <w:numId w:val="1"/>
        </w:numPr>
        <w:spacing w:after="100"/>
        <w:ind w:left="260"/>
      </w:pPr>
      <w:r>
        <w:rPr>
          <w:b/>
          <w:bCs/>
        </w:rPr>
        <w:t xml:space="preserve">3. Plan inventory and marketing around the November peak: </w:t>
      </w:r>
      <w:r>
        <w:t>The sharp Q4 spike in revenue suggests stock levels and campaigns should ramp up ahead of November to capture holiday demand. (See Chart 3)</w:t>
      </w:r>
    </w:p>
    <w:p w14:paraId="7D669C40" w14:textId="77777777" w:rsidR="000B3388" w:rsidRDefault="00000000">
      <w:pPr>
        <w:pStyle w:val="ListParagraph"/>
        <w:numPr>
          <w:ilvl w:val="0"/>
          <w:numId w:val="1"/>
        </w:numPr>
        <w:spacing w:after="100"/>
        <w:ind w:left="260"/>
      </w:pPr>
      <w:r>
        <w:rPr>
          <w:b/>
          <w:bCs/>
        </w:rPr>
        <w:t xml:space="preserve">4. Most products are low-cost, so revenue depends on volume: </w:t>
      </w:r>
      <w:r>
        <w:t>Since unit prices cluster below £5, growing revenue relies more on driving order volume and repeat purchases than on premium pricing. (See Chart 4)</w:t>
      </w:r>
    </w:p>
    <w:p w14:paraId="64854B05" w14:textId="77777777" w:rsidR="000B3388" w:rsidRDefault="00000000">
      <w:pPr>
        <w:pStyle w:val="ListParagraph"/>
        <w:numPr>
          <w:ilvl w:val="0"/>
          <w:numId w:val="1"/>
        </w:numPr>
        <w:spacing w:after="100"/>
        <w:ind w:left="260"/>
      </w:pPr>
      <w:r>
        <w:rPr>
          <w:b/>
          <w:bCs/>
        </w:rPr>
        <w:t xml:space="preserve">5. Encourage account creation at checkout: </w:t>
      </w:r>
      <w:r>
        <w:t>Since Guest transactions represent the single largest "customer" segment by spend, converting guests into identified accounts could unlock loyalty programs and repeat-purchase targeting. (See Chart 5)</w:t>
      </w:r>
    </w:p>
    <w:p w14:paraId="689BDDC0" w14:textId="77777777" w:rsidR="000B3388" w:rsidRDefault="00000000">
      <w:pPr>
        <w:pBdr>
          <w:top w:val="single" w:sz="6" w:space="4" w:color="CCCCCC"/>
        </w:pBdr>
        <w:spacing w:before="220"/>
      </w:pPr>
      <w:r>
        <w:rPr>
          <w:i/>
          <w:iCs/>
          <w:color w:val="666666"/>
          <w:sz w:val="16"/>
          <w:szCs w:val="16"/>
        </w:rPr>
        <w:t>Rows cleaned: 541,909 → 535,187  |  Missing values remaining: 0  |  Duplicates removed: 5,268</w:t>
      </w:r>
    </w:p>
    <w:sectPr w:rsidR="000B338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DA3003"/>
    <w:multiLevelType w:val="hybridMultilevel"/>
    <w:tmpl w:val="2C4A8920"/>
    <w:lvl w:ilvl="0" w:tplc="17905532">
      <w:start w:val="1"/>
      <w:numFmt w:val="bullet"/>
      <w:lvlText w:val="●"/>
      <w:lvlJc w:val="left"/>
      <w:pPr>
        <w:ind w:left="720" w:hanging="360"/>
      </w:pPr>
    </w:lvl>
    <w:lvl w:ilvl="1" w:tplc="BEA44258">
      <w:start w:val="1"/>
      <w:numFmt w:val="bullet"/>
      <w:lvlText w:val="○"/>
      <w:lvlJc w:val="left"/>
      <w:pPr>
        <w:ind w:left="1440" w:hanging="360"/>
      </w:pPr>
    </w:lvl>
    <w:lvl w:ilvl="2" w:tplc="9C74BCC6">
      <w:start w:val="1"/>
      <w:numFmt w:val="bullet"/>
      <w:lvlText w:val="■"/>
      <w:lvlJc w:val="left"/>
      <w:pPr>
        <w:ind w:left="2160" w:hanging="360"/>
      </w:pPr>
    </w:lvl>
    <w:lvl w:ilvl="3" w:tplc="7F3ED3F8">
      <w:start w:val="1"/>
      <w:numFmt w:val="bullet"/>
      <w:lvlText w:val="●"/>
      <w:lvlJc w:val="left"/>
      <w:pPr>
        <w:ind w:left="2880" w:hanging="360"/>
      </w:pPr>
    </w:lvl>
    <w:lvl w:ilvl="4" w:tplc="4E767864">
      <w:start w:val="1"/>
      <w:numFmt w:val="bullet"/>
      <w:lvlText w:val="○"/>
      <w:lvlJc w:val="left"/>
      <w:pPr>
        <w:ind w:left="3600" w:hanging="360"/>
      </w:pPr>
    </w:lvl>
    <w:lvl w:ilvl="5" w:tplc="F6ACE7EA">
      <w:start w:val="1"/>
      <w:numFmt w:val="bullet"/>
      <w:lvlText w:val="■"/>
      <w:lvlJc w:val="left"/>
      <w:pPr>
        <w:ind w:left="4320" w:hanging="360"/>
      </w:pPr>
    </w:lvl>
    <w:lvl w:ilvl="6" w:tplc="B8227A4C">
      <w:start w:val="1"/>
      <w:numFmt w:val="bullet"/>
      <w:lvlText w:val="●"/>
      <w:lvlJc w:val="left"/>
      <w:pPr>
        <w:ind w:left="5040" w:hanging="360"/>
      </w:pPr>
    </w:lvl>
    <w:lvl w:ilvl="7" w:tplc="142A1786">
      <w:start w:val="1"/>
      <w:numFmt w:val="bullet"/>
      <w:lvlText w:val="●"/>
      <w:lvlJc w:val="left"/>
      <w:pPr>
        <w:ind w:left="5760" w:hanging="360"/>
      </w:pPr>
    </w:lvl>
    <w:lvl w:ilvl="8" w:tplc="ED903FE0">
      <w:start w:val="1"/>
      <w:numFmt w:val="bullet"/>
      <w:lvlText w:val="●"/>
      <w:lvlJc w:val="left"/>
      <w:pPr>
        <w:ind w:left="6480" w:hanging="360"/>
      </w:pPr>
    </w:lvl>
  </w:abstractNum>
  <w:num w:numId="1" w16cid:durableId="2011640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388"/>
    <w:rsid w:val="000B3388"/>
    <w:rsid w:val="00113DFD"/>
    <w:rsid w:val="00973C2A"/>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904AB"/>
  <w15:docId w15:val="{4FA2A324-5A29-4F99-B8E3-7D09CAD78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Burabari Kogbara</cp:lastModifiedBy>
  <cp:revision>2</cp:revision>
  <dcterms:created xsi:type="dcterms:W3CDTF">2026-07-09T12:58:00Z</dcterms:created>
  <dcterms:modified xsi:type="dcterms:W3CDTF">2026-07-09T13:16:00Z</dcterms:modified>
</cp:coreProperties>
</file>