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AAPL Historical Stock Data Analysis</w:t>
      </w:r>
    </w:p>
    <w:p>
      <w:pPr>
        <w:jc w:val="center"/>
      </w:pPr>
      <w:r>
        <w:rPr>
          <w:i/>
          <w:sz w:val="22"/>
        </w:rPr>
        <w:t>Week 6 Insight Summary — Advanced Python for Data Analysis</w:t>
      </w:r>
    </w:p>
    <w:p>
      <w:r>
        <w:rPr>
          <w:b/>
          <w:sz w:val="25"/>
        </w:rPr>
        <w:t>1. Project Overview</w:t>
      </w:r>
    </w:p>
    <w:p>
      <w:pPr>
        <w:spacing w:after="80" w:line="252" w:lineRule="auto"/>
      </w:pPr>
      <w:r>
        <w:t>This project analyzes historical Apple Inc. (AAPL) stock data using Python and Pandas to identify patterns in price performance, daily returns, volatility, trading activity, seasonality, and downside risk. The final analytical dataset contains 11,506 observations covering 12 December 1980 to 10 August 2026, with 17 analytical columns.</w:t>
      </w:r>
    </w:p>
    <w:p>
      <w:r>
        <w:rPr>
          <w:b/>
          <w:sz w:val="25"/>
        </w:rPr>
        <w:t>2. Data Preparation and Transformation</w:t>
      </w:r>
    </w:p>
    <w:p>
      <w:pPr>
        <w:spacing w:after="80" w:line="252" w:lineRule="auto"/>
      </w:pPr>
      <w:r>
        <w:t>The analysis involved preparing the historical stock data for time-series analysis and creating an analytical dataset that combines the original market variables with derived indicators. The workflow included date handling, return calculations, price-change measures, intraday range metrics, moving averages, rolling volatility, volume changes, running peaks, and drawdown measures. Separate analytical tables were created for annual returns, monthly seasonality, extreme positive and negative returns, volatility, drawdown episodes, and recovery periods.</w:t>
      </w:r>
    </w:p>
    <w:p>
      <w:r>
        <w:rPr>
          <w:b/>
          <w:sz w:val="25"/>
        </w:rPr>
        <w:t>3. Features Created</w:t>
      </w:r>
    </w:p>
    <w:p>
      <w:pPr>
        <w:spacing w:after="80" w:line="252" w:lineRule="auto"/>
      </w:pPr>
      <w:r>
        <w:t>Key engineered features included Daily_Return, Intraday_Range, Intraday_Range_Pct, Daily_Price_Change, MA_20, Volatility_20, Volume_Change_Pct, Running_Peak, and Drawdown. These features allowed the analysis to move beyond raw OHLCV data and evaluate both performance and risk over time.</w:t>
      </w:r>
    </w:p>
    <w:p>
      <w:r>
        <w:rPr>
          <w:b/>
          <w:sz w:val="25"/>
        </w:rPr>
        <w:t>4. Key Findings</w:t>
      </w:r>
    </w:p>
    <w:p>
      <w:pPr>
        <w:spacing w:after="80" w:line="252" w:lineRule="auto"/>
      </w:pPr>
      <w:r>
        <w:t>Long-term price growth: AAPL's adjusted closing price increased substantially over the historical period, although the long-term upward trajectory was interrupted by several significant drawdown periods.</w:t>
      </w:r>
    </w:p>
    <w:p>
      <w:pPr>
        <w:spacing w:after="80" w:line="252" w:lineRule="auto"/>
      </w:pPr>
      <w:r>
        <w:t>Significant downside risk: The maximum historical drawdown was approximately 81.80%, indicating that the stock experienced a very substantial decline from a previous peak during the observed period.</w:t>
      </w:r>
    </w:p>
    <w:p>
      <w:pPr>
        <w:spacing w:after="80" w:line="252" w:lineRule="auto"/>
      </w:pPr>
      <w:r>
        <w:t>Volatility varied over time: The 20-day rolling volatility showed clear periods of elevated market risk. The highest observed 20-day volatility was approximately 12.89%.</w:t>
      </w:r>
    </w:p>
    <w:p>
      <w:pPr>
        <w:spacing w:after="80" w:line="252" w:lineRule="auto"/>
      </w:pPr>
      <w:r>
        <w:t>Extreme daily movements were relatively uncommon: Most daily returns were concentrated around zero, while a smaller number of observations produced exceptionally large movements. The largest positive daily return was approximately 33.23%, while the largest negative daily return was approximately -51.87%.</w:t>
      </w:r>
    </w:p>
    <w:p>
      <w:pPr>
        <w:spacing w:after="80" w:line="252" w:lineRule="auto"/>
      </w:pPr>
      <w:r>
        <w:t>Negative skewness: Daily returns had skewness of approximately -0.36, indicating a somewhat heavier negative tail than the positive side.</w:t>
      </w:r>
    </w:p>
    <w:p>
      <w:pPr>
        <w:spacing w:after="80" w:line="252" w:lineRule="auto"/>
      </w:pPr>
      <w:r>
        <w:t>Volume was more strongly associated with return magnitude than return direction: The Pearson correlation between trading volume and Daily_Return was approximately 0.001, indicating almost no linear relationship with return direction. In contrast, the correlation between volume and absolute daily return was approximately 0.384, suggesting that higher trading activity was more associated with larger price movements regardless of direction.</w:t>
      </w:r>
    </w:p>
    <w:p>
      <w:pPr>
        <w:spacing w:after="80" w:line="252" w:lineRule="auto"/>
      </w:pPr>
      <w:r>
        <w:t>Seasonality varied across calendar months: October recorded the highest average monthly return at approximately 6.33%, while September recorded the lowest at approximately -3.90%. August also showed relatively strong historical average performance at approximately 5.24%. These are historical observations and should not be treated as reliable forecasts of future returns.</w:t>
      </w:r>
    </w:p>
    <w:p>
      <w:pPr>
        <w:spacing w:after="80" w:line="252" w:lineRule="auto"/>
      </w:pPr>
      <w:r>
        <w:t>Drawdowns could persist for extended periods: The largest drawdown episodes lasted months or years before recovery to previous peaks. This demonstrates that drawdown depth alone does not capture the full extent of downside risk; recovery duration is also important.</w:t>
      </w:r>
    </w:p>
    <w:p>
      <w:r>
        <w:rPr>
          <w:b/>
          <w:sz w:val="25"/>
        </w:rPr>
        <w:t>5. Business and Analytical Interpretation</w:t>
      </w:r>
    </w:p>
    <w:p>
      <w:pPr>
        <w:spacing w:after="80" w:line="252" w:lineRule="auto"/>
      </w:pPr>
      <w:r>
        <w:t>The analysis demonstrates that evaluating a long-term equity requires more than measuring cumulative price growth. AAPL's historical upward trajectory coexisted with periods of severe downside risk, elevated volatility, and extended recovery periods. The relationship between volume and absolute returns also suggests that increased trading activity was more closely linked to the magnitude of price movement than to whether the return was positive or negative.</w:t>
      </w:r>
    </w:p>
    <w:p>
      <w:r>
        <w:rPr>
          <w:b/>
          <w:sz w:val="25"/>
        </w:rPr>
        <w:t>6. Recommendations</w:t>
      </w:r>
    </w:p>
    <w:p>
      <w:pPr>
        <w:spacing w:after="80" w:line="252" w:lineRule="auto"/>
      </w:pPr>
      <w:r>
        <w:t>For future equity analysis, performance should be evaluated alongside downside-risk measures such as maximum drawdown, rolling volatility, and recovery duration. Return distributions should also be examined for skewness and extreme observations rather than relying only on average returns. Volume should be considered as a potential indicator of market activity and movement magnitude, while historical seasonal patterns should be treated as descriptive rather than predictive.</w:t>
      </w:r>
    </w:p>
    <w:p>
      <w:r>
        <w:rPr>
          <w:b/>
          <w:sz w:val="25"/>
        </w:rPr>
        <w:t>7. Conclusion</w:t>
      </w:r>
    </w:p>
    <w:p>
      <w:pPr>
        <w:spacing w:after="80" w:line="252" w:lineRule="auto"/>
      </w:pPr>
      <w:r>
        <w:t>Overall, the analysis provides a comprehensive view of AAPL's historical market behaviour by combining price trends, return distributions, volatility, volume relationships, seasonality, and drawdown analysis. The findings highlight the importance of balancing long-term return potential with the magnitude and duration of historical downside risk. The resulting analytical dataset and supporting tables provide a reproducible foundation for further analysis and visualization.</w:t>
      </w:r>
    </w:p>
    <w:p>
      <w:r>
        <w:rPr>
          <w:b/>
          <w:sz w:val="25"/>
        </w:rPr>
        <w:t>Project Outputs</w:t>
      </w:r>
    </w:p>
    <w:p>
      <w:pPr>
        <w:ind w:left="288"/>
      </w:pPr>
      <w:r>
        <w:t>• AAPL_analytical_dataset.csv</w:t>
      </w:r>
    </w:p>
    <w:p>
      <w:pPr>
        <w:ind w:left="288"/>
      </w:pPr>
      <w:r>
        <w:t>• annual_returns.csv</w:t>
      </w:r>
    </w:p>
    <w:p>
      <w:pPr>
        <w:ind w:left="288"/>
      </w:pPr>
      <w:r>
        <w:t>• monthly_seasonality.csv</w:t>
      </w:r>
    </w:p>
    <w:p>
      <w:pPr>
        <w:ind w:left="288"/>
      </w:pPr>
      <w:r>
        <w:t>• top_10_positive_returns.csv</w:t>
      </w:r>
    </w:p>
    <w:p>
      <w:pPr>
        <w:ind w:left="288"/>
      </w:pPr>
      <w:r>
        <w:t>• top_10_negative_returns.csv</w:t>
      </w:r>
    </w:p>
    <w:p>
      <w:pPr>
        <w:ind w:left="288"/>
      </w:pPr>
      <w:r>
        <w:t>• top_10_volatility.csv</w:t>
      </w:r>
    </w:p>
    <w:p>
      <w:pPr>
        <w:ind w:left="288"/>
      </w:pPr>
      <w:r>
        <w:t>• top_10_drawdowns.csv</w:t>
      </w:r>
    </w:p>
    <w:p>
      <w:pPr>
        <w:ind w:left="288"/>
      </w:pPr>
      <w:r>
        <w:t>• drawdown_summary.csv</w:t>
      </w:r>
    </w:p>
    <w:p>
      <w:pPr>
        <w:ind w:left="288"/>
      </w:pPr>
      <w:r>
        <w:t>• recovery_summary.csv</w:t>
      </w:r>
    </w:p>
    <w:p>
      <w:pPr>
        <w:ind w:left="288"/>
      </w:pPr>
      <w:r>
        <w:t>• Seven analytical visualizations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AAPL Historical Stock Data Analysis | Week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