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采购标段数量</w:t>
      </w:r>
    </w:p>
    <w:p>
      <w:r>
        <w:t xml:space="preserve">术语名称：采购标段数量</w:t>
      </w:r>
    </w:p>
    <w:p>
      <w:r>
        <w:t xml:space="preserve">术语定义（术语标准定义）：发起采购项目、编制寻源方案过程中，可将一揽子采购对象分为多个标段或包，有确定的编号及名称，作为采购项目的子集，是供应商投标、招标方开标、评标的最小单元。统计标段或包的数量。</w:t>
      </w:r>
    </w:p>
    <w:p>
      <w:r>
        <w:t xml:space="preserve">同义词：标段、包、采购标段数、标段数量</w:t>
      </w:r>
    </w:p>
    <w:p>
      <w:r>
        <w:t xml:space="preserve"/>
      </w:r>
    </w:p>
    <w:p>
      <w:r>
        <w:t xml:space="preserve">采购定标金额</w:t>
      </w:r>
    </w:p>
    <w:p>
      <w:r>
        <w:t xml:space="preserve">术语名称：采购定标金额</w:t>
      </w:r>
    </w:p>
    <w:p>
      <w:r>
        <w:t xml:space="preserve">术语定义（术语标准定义）：在招标投标活动中，招标人最终确定并接受的投标人报价金额，即中标人完成招标项目后，招标人应支付给中标人的总价款。</w:t>
      </w:r>
    </w:p>
    <w:p>
      <w:r>
        <w:t xml:space="preserve">同义词：中标金额、定标金额、授标金额、采购中标金额</w:t>
      </w:r>
    </w:p>
    <w:sectPr>
      <w:pgSz w:w="11906" w:h="16838"/>
      <w:pgMar w:top="1440" w:right="1440" w:bottom="1440" w:left="1440"/>
    </w:sectPr>
  </w:body>
</w:document>
</file>