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mora.</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Gerente</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la situación general en una entrega posterior; no tiene panel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mora,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mora</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la mora pactada se calcula por días sobre el capital vencido.</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mora.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Todos/Personas/Empresas; DNI personal y RUC empresarial.</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 Condiciones → Cronograma. Tipo fijo después del paso 1; cliente nuevo se guarda al confirmar. Revalidación guardada del existente permanece.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Pagos y Cerrar sesión. Configuración aparece solo a quien tiene el permiso específico de mora.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elegir DNI o RUC → recuperar ficha, revalidar o preparar identidad nueva → monto y plazo → cronograma → confirmar. El alta nueva permanece en memoria hasta confirmar; cambiar de agencia no duplica ficha ni exige repetir una revisión vigente de DNI.</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mora.</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Moroso si tiene atraso menor de 12 meses; Extrajudicial si al menos una cuota impaga cumple 12 meses de atraso. Son estados automáticos del grupo, con prioridad de Extrajudicial sobre Moroso;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la mora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 la mora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ni penalidades. La mora se separa del interés original y solo se cobra cuando el préstamo tiene una tasa pactada.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Mora pactada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Capital vencido impago × [(1 + tasa efectiva anual moratoria)^(días de atraso / base anual) − 1], redondeada por cuota a dos decimales. Base 360 o 365. Sin tasa pactada no se agrega mora; no se cobra sobre intereses ni cuotas futuras.</w:t>
            </w:r>
          </w:p>
        </w:tc>
      </w:tr>
    </w:tbl>
    <w:p w14:paraId="4FD68FB8" w14:textId="77777777" w:rsidR="009B620A" w:rsidRDefault="00015AFF">
      <w:r>
        <w:t xml:space="preserve"/>
      </w:r>
    </w:p>
    <w:p w14:paraId="4FD68FB8" w14:textId="77777777" w:rsidR="009B620A" w:rsidRDefault="00015AFF">
      <w:r>
        <w:t>La configuración de mora corresponde a un asesor con permiso específico y motivo registrado. Solo afecta préstamos nuevos; cada préstamo conserva tasa y base pactadas. La confirmación rechaza condiciones o cotizaciones que hayan cambiado durante la revisión. No se establece una tasa moratoria predeterminada.</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mora,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El nuevo queda en memoria y se guarda junto con el préstamo en el paso 3; abandonar lo descarta.</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mora.</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El ausente requiere identidad previa vigente; el firmante debe estar presente. Registra tipo y referencia de propiedad/designación y facultades, con dos revisiones aunque compartan documento. Varios propietarios exigen designación. Recupera referencias sin aprobarlas; no reasigna propietario.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mora, historial conciliado, capital y autorización cuando corresponda. DNI personal no exige estado SUNAT del RUC 10 asociado; solicitar por RUC sí exige ACTIVO/HABIDO y personas/facultades verificadas.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no guarda. Confirmar registra alta nueva, evidencia, empresa cuando corresponda, préstamo y cuotas conjuntamente; un fallo revierte todo. Conserva revalidaciones existentes y evita duplicados por clave. Firma mayor de 30 minutos exige nueva consulta.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de cliente solo modificable en paso 1, sin Volver allí. Regresar de cronograma conserva condiciones; volver a identificación confirma el descarte cuando corresponde. No duplica Continuar ni Consultar clientes.</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ni penalidades; la mora pactada se calcula aparte.</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nuevo conserva identidad, modalidad y personas vinculadas; revalidaciones posteriores no alteran esa copia.</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del profesor y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Registrar identidad, acceder a un vínculo o cobrar una deuda ajena no los incorpora al listado.</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ficha separada. El grupo autorizado comparte identificación, condición, capital y vínculos. No repite préstamos; los historiales se abren aparte.</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mora pactada,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mora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cuotas seleccionadas y mora a la fecha de Perú;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Moroso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moroso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sin accesos de prueba; contador de 15 minutos, aviso y renovación válida. Otro navegador reemplaza la sesión anterior sin que cerrarla revoque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válidos y consulta firmada. Firma el propietario con facultades o un representante presente; propietario ausente solo con identidad previa vigente y evidencia documental.</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se guarda antes del paso 3; abandono descarta el alta. Confirmación guarda todo o revierte todo. La revalidación existente guardada permanece.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Préstamos y Clientes respetan cartera local; pagar deudas ajenas no incorpora titulares. DNI/RUC 10 comparten ficha y las empresas conservan la suya con vínculos autorizados.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solicitar por ese RUC, sin bloquear DNI personal elegible ni pagos. Fallo técnico no se registra como rechazo; revalidar conserva historial y mora.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cobra cuotas dos veces. Rechaza cotización o selección obsoleta y conserva la misma operación en un reintento.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Mora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