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atraso.</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Gerente</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la situación general en una entrega posterior; no tiene panel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atrasos,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del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el atraso no genera cargos adicionales.</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atraso.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Todos/Personas/Negocios y empresas. DNI/RUC 10 aparece con DNI en Personas y con RUC en Negocios y empresas; Todos reúne ambos en una fila.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 Condiciones → Cronograma. Tipo fijo después del paso 1; cliente nuevo se guarda al confirmar. Revalidación guardada del existente permanece.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Representación de empresas,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elegir DNI o RUC → recuperar ficha, revalidar o preparar identidad nueva → monto y plazo → cronograma → confirmar. El alta nueva permanece en memoria hasta confirmar; la solicitud de representación RUC 20 se guarda por separado. Cambiar de agencia no duplica ficha ni exige repetir una revisión vigente de DNI.</w:t>
      </w:r>
    </w:p>
    <w:p>
      <w:pPr/>
      <w:r>
        <w:t>Para RUC 20, el cliente presenta el certificado de vigencia de poder emitido por SUNARP. El asesor envía un PDF privado de hasta 5 MB; el sistema comprueba tamaño y formato, sin certificar autenticidad. Un asesor con permiso de revisión contrasta el documento y registra referencia, sustento, importe máximo y vigencia de su revisión, o deja observaciones. La política académica permite hasta 30 días de revisión, sin atribuir ese plazo al certificado. Una nueva presentación sustituye la anterior para futuras operaciones. El historial y el PDF presentado permanecen; no hay préstamo ni alta de cliente hasta confirmar. Se conservan préstamos y pagos anteriores.</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atrasos.</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Con atrasos si tiene atraso menor de 12 meses; Extrajudicial si al menos una cuota impaga cumple 12 meses de atraso. Son estados automáticos del grupo, con prioridad de Extrajudicial sobre Con atrasos;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el atraso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del atraso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penalidades ni recargos por atraso.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Atrasos sin recargos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atraso no incrementa el importe de las cuotas. Se conservan vencimientos, días de atraso, condición de pago y bloqueo de nuevos préstamos.</w:t>
            </w:r>
          </w:p>
        </w:tc>
      </w:tr>
    </w:tbl>
    <w:p w14:paraId="4FD68FB8" w14:textId="77777777" w:rsidR="009B620A" w:rsidRDefault="00015AFF">
      <w:r>
        <w:t xml:space="preserve"/>
      </w:r>
    </w:p>
    <w:p w14:paraId="4FD68FB8" w14:textId="77777777" w:rsidR="009B620A" w:rsidRDefault="00015AFF">
      <w:r>
        <w:t>La confirmación del cobro comprueba las cuotas y el importe consultado. Si cambiaron durante la revisión, exige actualizar antes de cobrar.</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atraso,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El cliente nuevo queda en memoria y se guarda con el préstamo en el paso 3; abandonar descarta el alta, pero conserva una solicitud de representación ya enviada.</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 El aviso de Pagos exige deuda pendiente del RUC consultado.</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atrasos.</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y firmante presencial; el ausente exige identidad previa vigente. Registra propiedad/designación y adjunta certificado PDF privado de hasta 5 MB para revisión autorizada de autenticidad y facultades. Pendiente u observado bloquea continuar; solo admite firma individual. No reasigna propietario ni aprueba el crédito.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atrasos, historial conciliado, capital y autorización cuando corresponda. DNI personal no exige estado SUNAT del RUC 10 asociado; por RUC exige ACTIVO/HABIDO e identidad vigente. RUC 20 exige la última representación revisada de la agencia para empresa, propietario, firmante e importe; repite el control al confirmar.</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el cronograma no guarda. La solicitud de representación se conserva aparte; confirmar registra alta nueva, evidencia, empresa, préstamo y cuotas conjuntamente o revierte todo. Conserva revalidaciones existentes y evita duplicados por clave. Firma mayor de 30 minutos exige nueva consulta.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de cliente solo modificable en paso 1, sin Volver allí. Regresar de cronograma conserva condiciones; volver a identificación confirma el descarte cuando corresponde. No duplica Continuar ni Consultar clientes.</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Suma meses a la fecha original, conserva el día y usa el último del mes si falta. Considera bisiestos, sin ajuste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penalidades ni recargos por atraso.</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nuevo conserva identidad, modalidad y personas vinculadas; revalidaciones posteriores no alteran esa copia.</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adaptada del profesor que termina en las firmas, sin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vence el 12/06/2026. Desde 31/01/2028: 29/02/2028 y 31/03/2028; el ajuste no cambia la TEM.</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DNI/RUC 10 figura en Personas con DNI y en Negocios y empresas con RUC; Todos conserva una fila. Identidad, solicitudes y cobros ajenos no incorporan titulares.</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ficha separada. El grupo autorizado comparte identificación, condición, capital y vínculos. No repite préstamos; los historiales se abren aparte.</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atrasos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el capital y el interés original de las cuotas seleccionadas, sin recargos por atraso;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Con atrasos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con atrasos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contador de 15 minutos y renovación válida. Otro navegador reemplaza la sesión; cerrar la anterior no revoca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PDF privado hasta 5 MB y revisión autorizada. Bloquea pendiente, observado, vencido, otro firmante o importe excesivo. RUC 10 sin certificado.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Alta en paso 3 o reversión total; solicitudes y revalidaciones guardadas permanecen. Retomar verifica datos vigentes.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sin incorporar titulares por cobro ajeno. DNI/RUC 10: ficha en ambos filtros, una fila en Todos. Empresa con ficha y propietario para el límite.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ese RUC, sin impedir DNI elegible ni pagos. Aviso de Pagos solo con deuda del RUC exacto. Fallo técnico no es rechazo; revalidar conserva historial y atrasos.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cobra cuotas dos veces. Rechaza cotización o selección obsoleta y conserva la misma operación en un reintento.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