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El sistema sustituye el registro en hojas de cálculo para conservar identidad, cartera por agencia y pagos trazables, evitando cobros duplicados y nuevos préstamos con atraso.</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Verifica clientes, registra préstamos, evalúa solicitudes RUC 20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Administrador</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Rol previsto para una entrega posterior; no tiene pantallas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fecha de operación, monto positivo en soles y plazo entero de 1 a 60 meses. Mínimo S/ 0.01 y máximo según el capital disponible.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Cada 30 días: fecha del préstamo más 30, 60, 90 días y así sucesivamente. No se fija el día del mes. Se conservan las cuotas ya confirmadas.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atrasos,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los titulares con préstamos confirmados en la agencia actual, incluidos los ya pagados; Préstamos lista solo operaciones originadas en esa agencia. Las fichas autorizadas comparten identidad y saldos globales, sin ampliar la cartera local.</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Iniciar y cerrar sesión, controlar 15 minutos de inactividad y mantener una sesión por cuenta, sin credenciales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Cuotas cada 30 días,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Reportes gerenciales y gestión jurídica de cobranza.</w:t>
            </w:r>
          </w:p>
        </w:tc>
      </w:tr>
    </w:tbl>
    <w:p w14:paraId="4FD68FB8" w14:textId="77777777" w:rsidR="009B620A" w:rsidRDefault="00015AFF">
      <w:r>
        <w:t xml:space="preserve"/>
      </w:r>
    </w:p>
    <w:p w14:paraId="4FD68FB8" w14:textId="77777777" w:rsidR="009B620A" w:rsidRDefault="00015AFF">
      <w:r>
        <w:t>No incluye abonos parciales, reversos, refinanciación, gestión judicial, panel gerencial, evaluación automática de riesgo, documentos extranjeros ni aprobación remota de un propietario no verificado. La vinculación para el límite es una regla académica; no constituye por sí sola garantía personal de una deuda empresarial.</w:t>
      </w:r>
    </w:p>
    <w:p w14:paraId="4FD68FB9" w14:textId="77777777" w:rsidR="009B620A" w:rsidRDefault="00015AFF">
      <w:pPr>
        <w:pStyle w:val="Ttulo2"/>
      </w:pPr>
      <w:r>
        <w:t xml:space="preserve">Decisiones que precisan el alcance</w:t>
      </w:r>
    </w:p>
    <w:p w14:paraId="4FD68FB8" w14:textId="77777777" w:rsidR="009B620A" w:rsidRDefault="00015AFF">
      <w:r>
        <w:t>Se adoptan las siguientes precisiones para la consulta por agencia, el pago entre agencias y los estados automáticos del caso académico.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del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constante por período de 30 días equivalente a la TEA con base 360. La fecha se obtiene sumando 30 días por cuota; el atraso no genera cargos adicionales.</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Las cuentas y las cinco agencias están preconfiguradas; General y Ana Morales permanecen fuera de operación, sin borrar datos históricos.</w:t>
      </w:r>
    </w:p>
    <w:p w14:paraId="4FD68FB8" w14:textId="77777777" w:rsidR="009B620A" w:rsidRDefault="00015AFF">
      <w:r>
        <w:t>Los préstamos anteriores requieren capital, cronograma y pagos conciliados. La falta de un pago histórico no demuestra por sí sola que exista atraso.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Correo y contraseña. Agencia asignada por cuenta, sin credenciales de demostración; contador y sesión única.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estado, tipo de titular y búsqueda exacta por DNI/RUC/PR-. Documento, cliente o razón social, fecha, monto, plazo, estado y detalle.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Titulares con préstamos confirmados locales, incluidos pagados. Filtros Todos/Personas/Negocios y empresas. DNI/RUC 10 aparece con DNI en Personas y con RUC en Negocios y empresas; Todos reúne ambos en una fila.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Identificación, condición, capital global y vínculos. Solicitar préstamo, Revalidar datos, Consultar para pagar y Ver historial. Historial en página aparte, sin tabla de préstamos.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 Cliente → Condiciones → Cronograma. RUC 20 añade Documentación tras identificar. Tipo fijo después del paso 1; Atrás conserva el borrador. Sin enlace Ir a clientes dentro del formulario.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a pagar, pagado y saldo; tasas, estado, cuotas e historial. Menús Cronograma y Contrato. Registrar pago carga ese préstamo fijo.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dirigida al grupo entre agencias por DNI/RUC o a un préstamo por PR-. Desde ficha fija documento; desde detalle fija préstamo. Regreso al origen y cobro individual.</w:t>
            </w:r>
          </w:p>
        </w:tc>
      </w:tr>
    </w:tbl>
    <w:p w14:paraId="4FD68FB8" w14:textId="77777777" w:rsidR="009B620A" w:rsidRDefault="00015AFF">
      <w:r>
        <w:t xml:space="preserve"/>
      </w:r>
    </w:p>
    <w:p w14:paraId="4FD68FB8" w14:textId="77777777" w:rsidR="009B620A" w:rsidRDefault="00015AFF">
      <w:r>
        <w:t>El menú del asesor contiene Préstamos, Clientes, Nuevo préstamo, Solicitudes de préstamo, Pagos y Cerrar sesión.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conserva su recorrido para DNI y RUC 10. RUC 20 recorre Identificación → Documentación → Condiciones → Cronograma y envío. El borrador, incluido el PDF, permanece en memoria; Atrás conserva datos y abandonar descarta lo no enviado. Solo Enviar solicitud de préstamo guarda el expediente completo como pendiente de evaluación.</w:t>
      </w:r>
    </w:p>
    <w:p>
      <w:pPr/>
      <w:r>
        <w:t>El envío RUC 20 guarda el expediente, el PDF privado hasta 5 MB, monto, plazo y simulación; no genera deuda ni reserva capital. Si el propietario ausente es nuevo o su verificación no está vigente, queda Pendiente de verificación del propietario. No crea una identidad aprobada ni una empresa nueva sin ese vínculo; registra al representante verificado y conserva el DNI declarado del propietario. Cuando este acude, el asesor completa la revisión presencial desde la misma solicitud, conserva el PDF y pasa a evaluación; las observaciones documentales previas permanecen. El asesor evalúa después desde Solicitudes de préstamo y puede aprobar, observar o rechazar en su agencia, incluso lo enviado por él. La evaluación reutiliza el documento de propiedad presentado y pide solo el código del certificado (hasta 80 caracteres: letras, números, guion o barra), conservando ceros iniciales. Es un límite operativo, no un formato registral universal. El asesor y la fecha se registran automáticamente. Aprobar permite observaciones opcionales; observar o rechazar exige un motivo de 10 a 1000 caracteres. Aprobar exige contrastar autenticidad y firma individual, consultar SUNAT y repetir identidad, elegibilidad y cupo global. Entonces se crea el préstamo y sus cuotas desde la fecha de aprobación; conserva el expediente y su historial.</w:t>
      </w:r>
    </w:p>
    <w:p w14:paraId="4FD68FB8" w14:textId="77777777" w:rsidR="009B620A" w:rsidRDefault="00015AFF">
      <w:r>
        <w:t>Desde Clientes se abre la ficha y Solicitar préstamo. Un cliente de otra agencia se recupera en Nuevo préstamo. La revalidación guardada actualiza la ficha compartida sin generar crédito ni eliminar atrasos.</w:t>
      </w:r>
    </w:p>
    <w:p w14:paraId="4FD68FB8" w14:textId="77777777" w:rsidR="009B620A" w:rsidRDefault="00015AFF">
      <w:r>
        <w:t>Cobranza: Pagos → consultar DNI/RUC/PR- → elegir préstamo → revisar cuotas y origen → confirmar dinero recibido y cobro → constancia. Desde ficha o detalle consulta automáticamente y conserva el contexto.</w:t>
      </w:r>
    </w:p>
    <w:p w14:paraId="4FD68FB9" w14:textId="77777777" w:rsidR="009B620A" w:rsidRDefault="00015AFF">
      <w:pPr>
        <w:pStyle w:val="Ttulo2"/>
      </w:pPr>
      <w:r>
        <w:t>Documentación y validaciones de empresas</w:t>
      </w:r>
    </w:p>
    <w:p w14:paraId="4FD68FB8" w14:textId="77777777" w:rsidR="009B620A" w:rsidRDefault="00015AFF">
      <w:r>
        <w:t>El asesor selecciona el documento que sustenta el vínculo e ingresa solo sus datos variables. Copia literal: partida y asiento; escritura pública: número, fecha y notaría; acto constitutivo SACS: partida y fecha; matrícula de acciones: libro, folio y asiento de titularidad. El sistema construye la referencia completa y no exige escribir sus etiquetas.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806"/>
        <w:gridCol w:w="5147"/>
        <w:gridCol w:w="2077"/>
      </w:tblGrid>
      <w:tr>
        <w:trPr>
          <w:tblHeader/>
        </w:trPr>
        <w:tc>
          <w:tcPr>
            <w:tcW w:type="dxa" w:w="1806"/>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Campo</w:t>
            </w:r>
          </w:p>
        </w:tc>
        <w:tc>
          <w:tcPr>
            <w:tcW w:type="dxa" w:w="5147"/>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Entrada admitida</w:t>
            </w:r>
          </w:p>
        </w:tc>
        <w:tc>
          <w:tcPr>
            <w:tcW w:type="dxa" w:w="2077"/>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Máximo</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Partida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12 dígitos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Escritura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10 dígitos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Libro y folio</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6 dígitos cada uno</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Asiento</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Letras y números; se muestra en mayúsculas.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10 caracteres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Notaría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Nombre con tildes, números y signos habituales; al menos una letra.</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80 caracteres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Fecha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Fecha real de calendario con año de cuatro dígitos.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Formato de fecha</w:t>
            </w:r>
          </w:p>
        </w:tc>
      </w:tr>
    </w:tbl>
    <w:p w14:paraId="4FD68FB8" w14:textId="77777777" w:rsidR="009B620A" w:rsidRDefault="00015AFF">
      <w:pPr>
        <w:spacing w:before="160"/>
      </w:pPr>
      <w:r>
        <w:t>Los límites anteriores son decisiones operativas del formulario y no describen una longitud registral universal. Escribir caracteres no admitidos o pegar un valor inválido no reemplaza el dato válido anterior; el formulario muestra el motivo. Un pegado demasiado largo se rechaza completo. Los campos vacíos o inválidos impiden continuar. Las referencias previas solo se separan en campos cuando la conversión es exacta; las demás se conservan completas y ofrecen Corregir datos del documento, sin recorte automático.</w:t>
      </w:r>
    </w:p>
    <w:p w14:paraId="4FD68FB8" w14:textId="77777777" w:rsidR="009B620A" w:rsidRDefault="00015AFF">
      <w:r>
        <w:t>Corregir DNI del propietario y Corregir DNI del representante aparecen junto al título de su tarjeta, con lápiz, texto azul grisáceo, fondo transparente y foco de teclado visible. En móvil se acomodan debajo del título. La corrección vuelve a verificar la identidad y descarta el PDF asociado; la empresa registrada conserva el propietario del límite. Los filtros de Solicitudes de préstamo se separan de la tabla y se distribuyen en varias líneas cuando falta espacio.</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atrasos (valor interno habilitado) si no tiene cuotas vencidas impagas; Con atrasos si tiene atraso menor de 12 meses; Extrajudicial si al menos una cuota impaga cumple 12 meses de atraso. Son estados automáticos del grupo, con prioridad de Extrajudicial sobre Con atrasos; un historial incompleto se identifica como Pendiente de conciliación.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Solicitud RUC 20</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de verificación del propietario, Pendiente de evaluación, Observada, Rechazada o Aprobada. Una solicitud abierta por RUC entre agencias. La identidad pendiente impide aprobar; completarla no borra observaciones ni genera un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Identidad y condición de pago son independientes: el atraso o el DNI caducado bloquean nuevos préstamos, pero no cobros. Pagar no borra verificaciones.</w:t>
      </w:r>
    </w:p>
    <w:p w14:paraId="4FD68FB8" w14:textId="77777777" w:rsidR="009B620A" w:rsidRDefault="00015AFF">
      <w:r>
        <w:t>El fallecimiento acreditado bloquea nuevas colocaciones y no se modifica con un selector financiero. Revisar el DNI físico no acredita una consulta oficial de fallecimiento.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para la persona y RUC de la empresa; ficha personal compartida con RUC 10, propietario y representante vinculados;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pagado, deuda contractual pendiente, capital pendiente, cuotas vencidas, antigüedad del atraso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Intervalos de 30 días desde la fecha de operación: fecha original más 30 por el número de cuota. Los cronogramas confirmados antes de este cambio permanecen intactos.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préstamo del 31/01/2028 vence el 01/03/2028, 31/03/2028 y 30/04/2028. Uno del 22/10/2026 vence el 21/11/2026, 21/12/2026 y 20/01/2027.</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tasa por período usa 30/360 y los nuevos vencimientos se separan por 30 días. No se ajustan fines de semana. El umbral extrajudicial conserva los doce meses calendario.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penalidades ni recargos por atraso.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Interés total programado = suma de intereses; total programado = suma de cuotas; deuda pendiente = total programado menos cobros confirmados. El capital pendiente excluye intereses futuros.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Atrasos sin recargos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atraso no incrementa el importe de las cuotas. Se conservan vencimientos, días de atraso, condición de pago y bloqueo de nuevos préstamos.</w:t>
            </w:r>
          </w:p>
        </w:tc>
      </w:tr>
    </w:tbl>
    <w:p w14:paraId="4FD68FB8" w14:textId="77777777" w:rsidR="009B620A" w:rsidRDefault="00015AFF">
      <w:r>
        <w:t xml:space="preserve"/>
      </w:r>
    </w:p>
    <w:p w14:paraId="4FD68FB8" w14:textId="77777777" w:rsidR="009B620A" w:rsidRDefault="00015AFF">
      <w:r>
        <w:t>La confirmación del cobro comprueba las cuotas y el importe consultado. Si cambiaron durante la revisión, exige actualizar antes de cobrar.</w:t>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préstamos y cronogramas recuperables, pagos trazables entre agencias y bloqueo de nuevas colocaciones cuando existe atraso,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Integra vencimientos, pagos y elegibilidad.</w:t>
            </w:r>
          </w:p>
        </w:tc>
      </w:tr>
    </w:tbl>
    <w:p w14:paraId="4FD68FB8" w14:textId="77777777" w:rsidR="009B620A" w:rsidRDefault="00015AFF">
      <w:r>
        <w:t xml:space="preserve"/>
      </w:r>
    </w:p>
    <w:p w14:paraId="4FD68FB8" w14:textId="77777777" w:rsidR="009B620A" w:rsidRDefault="00015AFF">
      <w:r>
        <w:t>Días 1 y 2: ajustar acceso, permisos por agencia, identidad y datos. Días 3 y 4: integrar cronograma, pagos y estados automáticos. Día 5: probar el flujo completo, desplegar y preparar la demostración.</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Credenciales obligatorias: </w:t>
            </w:r>
            <w:r>
              <w:rPr>
                <w:b w:val="0"/>
                <w:sz w:val="20"/>
              </w:rPr>
              <w:t>Solicita correo y contraseña; los campos vacíos impiden continuar.</w:t>
            </w:r>
          </w:p>
          <w:p w14:paraId="4FD6904D" w14:textId="77777777" w:rsidR="009B620A" w:rsidRDefault="00015AFF">
            <w:pPr>
              <w:spacing w:before="60" w:after="80" w:line="240" w:lineRule="auto"/>
              <w:ind w:left="216" w:hanging="216"/>
              <w:keepNext w:val="0"/>
              <w:keepLines/>
            </w:pPr>
            <w:r>
              <w:rPr>
                <w:b/>
                <w:sz w:val="20"/>
              </w:rPr>
              <w:t xml:space="preserve">• CA02. Acceso autorizado: </w:t>
            </w:r>
            <w:r>
              <w:rPr>
                <w:b w:val="0"/>
                <w:sz w:val="20"/>
              </w:rPr>
              <w:t>Solo ingresa una cuenta válida y activa. El rechazo de credenciales no identifica cuál falló.</w:t>
            </w:r>
          </w:p>
          <w:p w14:paraId="4FD6904D" w14:textId="77777777" w:rsidR="009B620A" w:rsidRDefault="00015AFF">
            <w:pPr>
              <w:spacing w:before="60" w:after="80" w:line="240" w:lineRule="auto"/>
              <w:ind w:left="216" w:hanging="216"/>
              <w:keepNext w:val="0"/>
              <w:keepLines/>
            </w:pPr>
            <w:r>
              <w:rPr>
                <w:b/>
                <w:sz w:val="20"/>
              </w:rPr>
              <w:t xml:space="preserve">• CA03. Agencia de sesión: </w:t>
            </w:r>
            <w:r>
              <w:rPr>
                <w:b w:val="0"/>
                <w:sz w:val="20"/>
              </w:rPr>
              <w:t>Obtiene asesor y agencia de la cuenta; no permite elegir otra agencia ni usar General.</w:t>
            </w:r>
          </w:p>
          <w:p w14:paraId="4FD6904D" w14:textId="77777777" w:rsidR="009B620A" w:rsidRDefault="00015AFF">
            <w:pPr>
              <w:spacing w:before="60" w:after="80" w:line="240" w:lineRule="auto"/>
              <w:ind w:left="216" w:hanging="216"/>
              <w:keepNext w:val="0"/>
              <w:keepLines/>
            </w:pPr>
            <w:r>
              <w:rPr>
                <w:b/>
                <w:sz w:val="20"/>
              </w:rPr>
              <w:t xml:space="preserve">• CA04. Protección efectiva: </w:t>
            </w:r>
            <w:r>
              <w:rPr>
                <w:b w:val="0"/>
                <w:sz w:val="20"/>
              </w:rPr>
              <w:t>Pantallas y operaciones requieren sesión y permisos, incluso por URL directa o solicitudes alteradas.</w:t>
            </w:r>
          </w:p>
          <w:p w14:paraId="4FD6904D" w14:textId="77777777" w:rsidR="009B620A" w:rsidRDefault="00015AFF">
            <w:pPr>
              <w:spacing w:before="60" w:after="80" w:line="240" w:lineRule="auto"/>
              <w:ind w:left="216" w:hanging="216"/>
              <w:keepNext w:val="0"/>
              <w:keepLines/>
            </w:pPr>
            <w:r>
              <w:rPr>
                <w:b/>
                <w:sz w:val="20"/>
              </w:rPr>
              <w:t xml:space="preserve">• CA05. Login limpio: </w:t>
            </w:r>
            <w:r>
              <w:rPr>
                <w:b w:val="0"/>
                <w:sz w:val="20"/>
              </w:rPr>
              <w:t>No muestra accesos rápidos ni contraseñas de demostración.</w:t>
            </w:r>
          </w:p>
          <w:p w14:paraId="4FD6904D" w14:textId="77777777" w:rsidR="009B620A" w:rsidRDefault="00015AFF">
            <w:pPr>
              <w:spacing w:before="60" w:after="80" w:line="240" w:lineRule="auto"/>
              <w:ind w:left="216" w:hanging="216"/>
              <w:keepNext w:val="0"/>
              <w:keepLines/>
            </w:pPr>
            <w:r>
              <w:rPr>
                <w:b/>
                <w:sz w:val="20"/>
              </w:rPr>
              <w:t xml:space="preserve">• CA06. Resultado: </w:t>
            </w:r>
            <w:r>
              <w:rPr>
                <w:b w:val="0"/>
                <w:sz w:val="20"/>
              </w:rPr>
              <w:t>Abre Préstamos con cartera propia. La cabecera muestra nombre y rol, agencia, fecha de Perú y contador, en ese orden.</w:t>
            </w:r>
          </w:p>
          <w:p w14:paraId="4FD6904D" w14:textId="77777777" w:rsidR="009B620A" w:rsidRDefault="00015AFF">
            <w:pPr>
              <w:spacing w:before="60" w:after="80" w:line="240" w:lineRule="auto"/>
              <w:ind w:left="216" w:hanging="216"/>
              <w:keepNext w:val="0"/>
              <w:keepLines/>
            </w:pPr>
            <w:r>
              <w:rPr>
                <w:b/>
                <w:sz w:val="20"/>
              </w:rPr>
              <w:t xml:space="preserve">• CA07. Sesión única: </w:t>
            </w:r>
            <w:r>
              <w:rPr>
                <w:b w:val="0"/>
                <w:sz w:val="20"/>
              </w:rPr>
              <w:t>Otro inicio válido de la misma cuenta reemplaza al anterior. La base lo bloquea y la interfaz lo detecta en hasta 15 segundos con conexión; las pestañas comparten sesión.</w:t>
            </w:r>
          </w:p>
          <w:p w14:paraId="4FD6904D" w14:textId="77777777" w:rsidR="009B620A" w:rsidRDefault="00015AFF">
            <w:pPr>
              <w:spacing w:before="60" w:after="80" w:line="240" w:lineRule="auto"/>
              <w:ind w:left="216" w:hanging="216"/>
              <w:keepNext w:val="0"/>
              <w:keepLines/>
            </w:pPr>
            <w:r>
              <w:rPr>
                <w:b/>
                <w:sz w:val="20"/>
              </w:rPr>
              <w:t xml:space="preserve">• CA08. Inactividad: </w:t>
            </w:r>
            <w:r>
              <w:rPr>
                <w:b w:val="0"/>
                <w:sz w:val="20"/>
              </w:rPr>
              <w:t>Cierra tras 15 minutos sin interacción. Teclado, puntero y desplazamiento renuevan actividad con envíos limitados; el sondeo no renueva. Usa tiempo del servidor y no reactiva sesiones vencidas.</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Opción disponible: </w:t>
            </w:r>
            <w:r>
              <w:rPr>
                <w:b w:val="0"/>
                <w:sz w:val="20"/>
              </w:rPr>
              <w:t>Cerrar sesión permanece visible durante una sesión activa.</w:t>
            </w:r>
          </w:p>
          <w:p w14:paraId="4FD6904D" w14:textId="77777777" w:rsidR="009B620A" w:rsidRDefault="00015AFF">
            <w:pPr>
              <w:spacing w:before="60" w:after="80" w:line="240" w:lineRule="auto"/>
              <w:ind w:left="216" w:hanging="216"/>
              <w:keepNext w:val="0"/>
              <w:keepLines/>
            </w:pPr>
            <w:r>
              <w:rPr>
                <w:b/>
                <w:sz w:val="20"/>
              </w:rPr>
              <w:t xml:space="preserve">• CA02. Finalización: </w:t>
            </w:r>
            <w:r>
              <w:rPr>
                <w:b w:val="0"/>
                <w:sz w:val="20"/>
              </w:rPr>
              <w:t>Invalida la sesión actual y vuelve al acceso. Las rutas protegidas exigen nuevo ingreso; cerrar una sesión antigua no revoca una posterior de otra computadora.</w:t>
            </w:r>
          </w:p>
          <w:p w14:paraId="4FD6904D" w14:textId="77777777" w:rsidR="009B620A" w:rsidRDefault="00015AFF">
            <w:pPr>
              <w:spacing w:before="60" w:after="80" w:line="240" w:lineRule="auto"/>
              <w:ind w:left="216" w:hanging="216"/>
              <w:keepNext w:val="0"/>
              <w:keepLines/>
            </w:pPr>
            <w:r>
              <w:rPr>
                <w:b/>
                <w:sz w:val="20"/>
              </w:rPr>
              <w:t xml:space="preserve">• CA03. Borradores: </w:t>
            </w:r>
            <w:r>
              <w:rPr>
                <w:b w:val="0"/>
                <w:sz w:val="20"/>
              </w:rPr>
              <w:t>Advierte antes de abandonar manualmente datos sin confirmar. El cierre obligatorio pierde borradores; las verificaciones guardadas y operaciones confirmadas permanecen.</w:t>
            </w:r>
          </w:p>
          <w:p w14:paraId="4FD6904D" w14:textId="77777777" w:rsidR="009B620A" w:rsidRDefault="00015AFF">
            <w:pPr>
              <w:spacing w:before="60" w:after="80" w:line="240" w:lineRule="auto"/>
              <w:ind w:left="216" w:hanging="216"/>
              <w:keepNext w:val="0"/>
              <w:keepLines/>
            </w:pPr>
            <w:r>
              <w:rPr>
                <w:b/>
                <w:sz w:val="20"/>
              </w:rPr>
              <w:t xml:space="preserve">• CA04. Aviso de vencimiento: </w:t>
            </w:r>
            <w:r>
              <w:rPr>
                <w:b w:val="0"/>
                <w:sz w:val="20"/>
              </w:rPr>
              <w:t>Contador ámbar en los últimos dos minutos y rojo en el último. El aviso ofrece Continuar sesión o Cerrar sesión; continuar exige sesión aún válida.</w:t>
            </w:r>
          </w:p>
          <w:p w14:paraId="4FD6904D" w14:textId="77777777" w:rsidR="009B620A" w:rsidRDefault="00015AFF">
            <w:pPr>
              <w:spacing w:before="60" w:after="80" w:line="240" w:lineRule="auto"/>
              <w:ind w:left="216" w:hanging="216"/>
              <w:keepNext w:val="0"/>
              <w:keepLines/>
            </w:pPr>
            <w:r>
              <w:rPr>
                <w:b/>
                <w:sz w:val="20"/>
              </w:rPr>
              <w:t xml:space="preserve">• CA05. Cierre obligatorio: </w:t>
            </w:r>
            <w:r>
              <w:rPr>
                <w:b w:val="0"/>
                <w:sz w:val="20"/>
              </w:rPr>
              <w:t>Inactividad, sesión reemplazada o cuenta sin acceso bloquean operaciones y devuelven al inicio con el motivo.</w:t>
            </w:r>
          </w:p>
        </w:tc>
      </w:tr>
    </w:tbl>
    <w:p w14:paraId="4FD69018" w14:textId="64332D66" w:rsidR="009B620A" w:rsidRDefault="00015AFF" w:rsidP="001C5E9A">
      <w:pPr>
        <w:pStyle w:val="Ttulo1"/>
        <w:pageBreakBefore/>
      </w:pPr>
      <w:r>
        <w:t xml:space="preserve">Épica Gestionar préstamos y cobranza</w:t>
      </w:r>
    </w:p>
    <w:p w14:paraId="4FD68FB8" w14:textId="77777777" w:rsidR="009B620A" w:rsidRDefault="00015AFF">
      <w:r>
        <w:t>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Documento admitido: </w:t>
            </w:r>
            <w:r>
              <w:rPr>
                <w:b w:val="0"/>
                <w:sz w:val="20"/>
              </w:rPr>
              <w:t>DNI peruano de ocho dígitos; RUC de once, prefijo 10 o 20 y dígito verificador. Conserva ceros iniciales y valida en pantalla y servidor. Extranjería y otros prefijos quedan fuera.</w:t>
            </w:r>
          </w:p>
          <w:p w14:paraId="4FD6904D" w14:textId="77777777" w:rsidR="009B620A" w:rsidRDefault="00015AFF">
            <w:pPr>
              <w:spacing w:before="60" w:after="80" w:line="240" w:lineRule="auto"/>
              <w:ind w:left="216" w:hanging="216"/>
              <w:keepNext w:val="0"/>
              <w:keepLines/>
            </w:pPr>
            <w:r>
              <w:rPr>
                <w:b/>
                <w:sz w:val="20"/>
              </w:rPr>
              <w:t xml:space="preserve">• CA02. Entrada y borrador: </w:t>
            </w:r>
            <w:r>
              <w:rPr>
                <w:b w:val="0"/>
                <w:sz w:val="20"/>
              </w:rPr>
              <w:t>Reutiliza la ficha vigente entre agencias sin duplicar consultas de DNI. DNI/RUC 10 guarda al confirmar; RUC 20 conserva personas y documentos en memoria hasta el envío final. Corregir DNI repite la verificación; no edita nombres. Abandonar descarta el borrador.</w:t>
            </w:r>
          </w:p>
          <w:p w14:paraId="4FD6904D" w14:textId="77777777" w:rsidR="009B620A" w:rsidRDefault="00015AFF">
            <w:pPr>
              <w:spacing w:before="60" w:after="80" w:line="240" w:lineRule="auto"/>
              <w:ind w:left="216" w:hanging="216"/>
              <w:keepNext w:val="0"/>
              <w:keepLines/>
            </w:pPr>
            <w:r>
              <w:rPr>
                <w:b/>
                <w:sz w:val="20"/>
              </w:rPr>
              <w:t xml:space="preserve">• CA03. Identidad exacta: </w:t>
            </w:r>
            <w:r>
              <w:rPr>
                <w:b w:val="0"/>
                <w:sz w:val="20"/>
              </w:rPr>
              <w:t>Consulta identidad para nuevos o revalidaciones. Nombres y apellidos originales no se editan; cambiar documento exige repetir su comprobación.</w:t>
            </w:r>
          </w:p>
          <w:p w14:paraId="4FD6904D" w14:textId="77777777" w:rsidR="009B620A" w:rsidRDefault="00015AFF">
            <w:pPr>
              <w:spacing w:before="60" w:after="80" w:line="240" w:lineRule="auto"/>
              <w:ind w:left="216" w:hanging="216"/>
              <w:keepNext w:val="0"/>
              <w:keepLines/>
            </w:pPr>
            <w:r>
              <w:rPr>
                <w:b/>
                <w:sz w:val="20"/>
              </w:rPr>
              <w:t xml:space="preserve">• CA04. Vigencia acreditada: </w:t>
            </w:r>
            <w:r>
              <w:rPr>
                <w:b w:val="0"/>
                <w:sz w:val="20"/>
              </w:rPr>
              <w:t>Registra caducidad y confirma DNI original y presencia con dos casillas. Genera referencias descriptivas; esta revisión no acredita una consulta oficial de fallecimiento.</w:t>
            </w:r>
          </w:p>
          <w:p w14:paraId="4FD6904D" w14:textId="77777777" w:rsidR="009B620A" w:rsidRDefault="00015AFF">
            <w:pPr>
              <w:spacing w:before="60" w:after="80" w:line="240" w:lineRule="auto"/>
              <w:ind w:left="216" w:hanging="216"/>
              <w:keepNext w:val="0"/>
              <w:keepLines/>
            </w:pPr>
            <w:r>
              <w:rPr>
                <w:b/>
                <w:sz w:val="20"/>
              </w:rPr>
              <w:t xml:space="preserve">• CA05. Estados separados: </w:t>
            </w:r>
            <w:r>
              <w:rPr>
                <w:b w:val="0"/>
                <w:sz w:val="20"/>
              </w:rPr>
              <w:t>Verificación Pendiente, Aprobada, Caducada o Rechazada, separada de la condición de pago. Fallecido no es una condición financiera editable.</w:t>
            </w:r>
          </w:p>
          <w:p w14:paraId="4FD6904D" w14:textId="77777777" w:rsidR="009B620A" w:rsidRDefault="00015AFF">
            <w:pPr>
              <w:spacing w:before="60" w:after="80" w:line="240" w:lineRule="auto"/>
              <w:ind w:left="216" w:hanging="216"/>
              <w:keepNext w:val="0"/>
              <w:keepLines/>
            </w:pPr>
            <w:r>
              <w:rPr>
                <w:b/>
                <w:sz w:val="20"/>
              </w:rPr>
              <w:t xml:space="preserve">• CA06. Caducidad automática: </w:t>
            </w:r>
            <w:r>
              <w:rPr>
                <w:b w:val="0"/>
                <w:sz w:val="20"/>
              </w:rPr>
              <w:t>El DNI es vigente hasta su caducidad inclusive. Desde el día siguiente bloquea nuevos préstamos; revalidar exige revisar el documento renovado.</w:t>
            </w:r>
          </w:p>
          <w:p w14:paraId="4FD6904D" w14:textId="77777777" w:rsidR="009B620A" w:rsidRDefault="00015AFF">
            <w:pPr>
              <w:spacing w:before="60" w:after="80" w:line="240" w:lineRule="auto"/>
              <w:ind w:left="216" w:hanging="216"/>
              <w:keepNext w:val="0"/>
              <w:keepLines/>
            </w:pPr>
            <w:r>
              <w:rPr>
                <w:b/>
                <w:sz w:val="20"/>
              </w:rPr>
              <w:t xml:space="preserve">• CA07. Fallo o rechazo: </w:t>
            </w:r>
            <w:r>
              <w:rPr>
                <w:b w:val="0"/>
                <w:sz w:val="20"/>
              </w:rPr>
              <w:t>Documento inexistente o consulta inconclusa impiden verificar. Un fallo técnico no se guarda como rechazo; permite reintentar y no bloquea pagar deudas existentes. El aviso de Pagos exige deuda pendiente del RUC consultado.</w:t>
            </w:r>
          </w:p>
          <w:p w14:paraId="4FD6904D" w14:textId="77777777" w:rsidR="009B620A" w:rsidRDefault="00015AFF">
            <w:pPr>
              <w:spacing w:before="60" w:after="80" w:line="240" w:lineRule="auto"/>
              <w:ind w:left="216" w:hanging="216"/>
              <w:keepNext w:val="0"/>
              <w:keepLines/>
            </w:pPr>
            <w:r>
              <w:rPr>
                <w:b/>
                <w:sz w:val="20"/>
              </w:rPr>
              <w:t xml:space="preserve">• CA08. Revalidación independiente: </w:t>
            </w:r>
            <w:r>
              <w:rPr>
                <w:b w:val="0"/>
                <w:sz w:val="20"/>
              </w:rPr>
              <w:t>Desde ficha consulta automáticamente el documento fijo y regresa al guardar. Conserva evidencia, fecha, asesor, agencia e historial compartido; permite actualizar datos vigentes y no elimina atrasos.</w:t>
            </w:r>
          </w:p>
          <w:p w14:paraId="4FD6904D" w14:textId="77777777" w:rsidR="009B620A" w:rsidRDefault="00015AFF">
            <w:pPr>
              <w:spacing w:before="60" w:after="80" w:line="240" w:lineRule="auto"/>
              <w:ind w:left="216" w:hanging="216"/>
              <w:keepNext w:val="0"/>
              <w:keepLines/>
            </w:pPr>
            <w:r>
              <w:rPr>
                <w:b/>
                <w:sz w:val="20"/>
              </w:rPr>
              <w:t xml:space="preserve">• CA09. SUNAT y alcance: </w:t>
            </w:r>
            <w:r>
              <w:rPr>
                <w:b w:val="0"/>
                <w:sz w:val="20"/>
              </w:rPr>
              <w:t>SUNAT compara razón social, estado, condición y domicilio. Permite guardar consulta firmada sin cambios o con observaciones. No edita datos externos ni revalida DNI, propiedad o facultades; no hay actualización periódica.</w:t>
            </w:r>
          </w:p>
          <w:p w14:paraId="4FD6904D" w14:textId="77777777" w:rsidR="009B620A" w:rsidRDefault="00015AFF">
            <w:pPr>
              <w:spacing w:before="60" w:after="80" w:line="240" w:lineRule="auto"/>
              <w:ind w:left="216" w:hanging="216"/>
              <w:keepNext w:val="0"/>
              <w:keepLines/>
            </w:pPr>
            <w:r>
              <w:rPr>
                <w:b/>
                <w:sz w:val="20"/>
              </w:rPr>
              <w:t xml:space="preserve">• CA10. Representación: </w:t>
            </w:r>
            <w:r>
              <w:rPr>
                <w:b w:val="0"/>
                <w:sz w:val="20"/>
              </w:rPr>
              <w:t>RUC 20 distingue propietario del límite y firmante presencial. Propietario ausente nuevo o vencido: solicitud pendiente, sin identidad ficticia ni deuda; impide aprobar hasta su revisión presencial. Documentación en pantalla propia, con referencia guiada y certificado SUNARP PDF hasta 5 MB. No reasigna propietario y admite firma individual. API Perú lista varios representantes y permite elegir al firmante. Contrasta el DNI completo al enviar; datos ocultos son referencia parcial. La consulta es opcional y no reemplaza DNI original, propiedad ni facultades.</w:t>
            </w:r>
          </w:p>
          <w:p w14:paraId="4FD6904D" w14:textId="77777777" w:rsidR="009B620A" w:rsidRDefault="00015AFF">
            <w:pPr>
              <w:spacing w:before="60" w:after="80" w:line="240" w:lineRule="auto"/>
              <w:ind w:left="216" w:hanging="216"/>
              <w:keepNext w:val="0"/>
              <w:keepLines/>
            </w:pPr>
            <w:r>
              <w:rPr>
                <w:b/>
                <w:sz w:val="20"/>
              </w:rPr>
              <w:t xml:space="preserve">• CA11. Referencias guiadas: </w:t>
            </w:r>
            <w:r>
              <w:rPr>
                <w:b w:val="0"/>
                <w:sz w:val="20"/>
              </w:rPr>
              <w:t>Genera la referencia con campos específicos, tipos y límites de Documentación y validaciones de empresas. Rechaza escritura y pegado inválidos; conserva referencias anteriores sin recortarlas. En evaluación reutiliza el documento presentado y exige solo el código del certificado. Aprobar admite observaciones opcionales; observar o rechazar requiere un motivo de 10 a 1000 caracteres. Registra asesor y fecha.</w:t>
            </w:r>
          </w:p>
          <w:p w14:paraId="4FD6904D" w14:textId="77777777" w:rsidR="009B620A" w:rsidRDefault="00015AFF">
            <w:pPr>
              <w:spacing w:before="60" w:after="80" w:line="240" w:lineRule="auto"/>
              <w:ind w:left="216" w:hanging="216"/>
              <w:keepNext w:val="0"/>
              <w:keepLines/>
            </w:pPr>
            <w:r>
              <w:rPr>
                <w:b/>
                <w:sz w:val="20"/>
              </w:rPr>
              <w:t xml:space="preserve">• CA12. Corrección visible: </w:t>
            </w:r>
            <w:r>
              <w:rPr>
                <w:b w:val="0"/>
                <w:sz w:val="20"/>
              </w:rPr>
              <w:t>Ubica las acciones Corregir DNI junto al título, con lápiz y estilo discreto adaptable a móvil. Si el DNI del representante coincide con el propietario, muestra un aviso bajo el campo y deshabilita Verificar representante antes de consultar. Otro DNI válido elimina el aviso. Repite verificación y conserva la restricción del propietario ya registrado.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Cliente previo: </w:t>
            </w:r>
            <w:r>
              <w:rPr>
                <w:b w:val="0"/>
              </w:rPr>
              <w:t>Reutiliza cliente y documento desde HU-03 o ficha, sin volver a escribir identidad ni abrir otro buscador.</w:t>
            </w:r>
          </w:p>
          <w:p w14:paraId="4FD6904D" w14:textId="77777777" w:rsidR="009B620A" w:rsidRDefault="00015AFF">
            <w:pPr>
              <w:spacing w:before="60" w:after="80" w:line="240" w:lineRule="auto"/>
              <w:ind w:left="216" w:hanging="216"/>
              <w:keepNext w:val="0"/>
              <w:keepLines/>
            </w:pPr>
            <w:r>
              <w:rPr>
                <w:b/>
              </w:rPr>
              <w:t xml:space="preserve">• CA02. Elegibilidad automática: </w:t>
            </w:r>
            <w:r>
              <w:rPr>
                <w:b w:val="0"/>
              </w:rPr>
              <w:t>Exige identidad vigente, sin atrasos, historial conciliado, capital y autorización cuando corresponda. DNI personal no exige estado SUNAT del RUC 10 asociado; por RUC exige ACTIVO/HABIDO e identidad vigente. RUC 20 permite enviar para evaluación y solo genera préstamo al aprobar el expediente de empresa, propietario, firmante e importe, con todos los controles vigentes.</w:t>
            </w:r>
          </w:p>
          <w:p w14:paraId="4FD6904D" w14:textId="77777777" w:rsidR="009B620A" w:rsidRDefault="00015AFF">
            <w:pPr>
              <w:spacing w:before="60" w:after="80" w:line="240" w:lineRule="auto"/>
              <w:ind w:left="216" w:hanging="216"/>
              <w:keepNext w:val="0"/>
              <w:keepLines/>
            </w:pPr>
            <w:r>
              <w:rPr>
                <w:b/>
              </w:rPr>
              <w:t xml:space="preserve">• CA03. Datos de sesión: </w:t>
            </w:r>
            <w:r>
              <w:rPr>
                <w:b w:val="0"/>
              </w:rPr>
              <w:t>Fecha de Perú, agencia y asesor provienen de la sesión y no son editables.</w:t>
            </w:r>
          </w:p>
          <w:p w14:paraId="4FD6904D" w14:textId="77777777" w:rsidR="009B620A" w:rsidRDefault="00015AFF">
            <w:pPr>
              <w:spacing w:before="60" w:after="80" w:line="240" w:lineRule="auto"/>
              <w:ind w:left="216" w:hanging="216"/>
              <w:keepNext w:val="0"/>
              <w:keepLines/>
            </w:pPr>
            <w:r>
              <w:rPr>
                <w:b/>
              </w:rPr>
              <w:t xml:space="preserve">• CA04. Monto: </w:t>
            </w:r>
            <w:r>
              <w:rPr>
                <w:b w:val="0"/>
              </w:rPr>
              <w:t>Inicial 0.00, punto fijo y solo dígitos en soles y dos cifras de centavos. Mínimo S/ 0.01 y máximo disponible, hasta S/ 10 000; cero, signos, letras o precisión adicional impiden continuar.</w:t>
            </w:r>
          </w:p>
          <w:p w14:paraId="4FD6904D" w14:textId="77777777" w:rsidR="009B620A" w:rsidRDefault="00015AFF">
            <w:pPr>
              <w:spacing w:before="60" w:after="80" w:line="240" w:lineRule="auto"/>
              <w:ind w:left="216" w:hanging="216"/>
              <w:keepNext w:val="0"/>
              <w:keepLines/>
            </w:pPr>
            <w:r>
              <w:rPr>
                <w:b/>
              </w:rPr>
              <w:t xml:space="preserve">• CA05. Capital global: </w:t>
            </w:r>
            <w:r>
              <w:rPr>
                <w:b w:val="0"/>
              </w:rPr>
              <w:t>Suma capital pendiente del propietario y sus empresas entre agencias. Solo amortización pagada libera cupo. El representante sin propiedad no aporta su límite al grupo.</w:t>
            </w:r>
          </w:p>
          <w:p w14:paraId="4FD6904D" w14:textId="77777777" w:rsidR="009B620A" w:rsidRDefault="00015AFF">
            <w:pPr>
              <w:spacing w:before="60" w:after="80" w:line="240" w:lineRule="auto"/>
              <w:ind w:left="216" w:hanging="216"/>
              <w:keepNext w:val="0"/>
              <w:keepLines/>
            </w:pPr>
            <w:r>
              <w:rPr>
                <w:b/>
              </w:rPr>
              <w:t xml:space="preserve">• CA06. Concurrencia: </w:t>
            </w:r>
            <w:r>
              <w:rPr>
                <w:b w:val="0"/>
              </w:rPr>
              <w:t>Repite elegibilidad y cupo al confirmar de forma transaccional para impedir exceder el capital con solicitudes simultáneas.</w:t>
            </w:r>
          </w:p>
          <w:p w14:paraId="4FD6904D" w14:textId="77777777" w:rsidR="009B620A" w:rsidRDefault="00015AFF">
            <w:pPr>
              <w:spacing w:before="60" w:after="80" w:line="240" w:lineRule="auto"/>
              <w:ind w:left="216" w:hanging="216"/>
              <w:keepNext w:val="0"/>
              <w:keepLines/>
            </w:pPr>
            <w:r>
              <w:rPr>
                <w:b/>
              </w:rPr>
              <w:t xml:space="preserve">• CA07. Plazo y tasa: </w:t>
            </w:r>
            <w:r>
              <w:rPr>
                <w:b w:val="0"/>
              </w:rPr>
              <w:t>Plazo inicial 0; solo enteros de 1 a 60 para continuar. TEA fija del 30 %, no porcentaje plano para cualquier duración.</w:t>
            </w:r>
          </w:p>
          <w:p w14:paraId="4FD6904D" w14:textId="77777777" w:rsidR="009B620A" w:rsidRDefault="00015AFF">
            <w:pPr>
              <w:spacing w:before="60" w:after="80" w:line="240" w:lineRule="auto"/>
              <w:ind w:left="216" w:hanging="216"/>
              <w:keepNext w:val="0"/>
              <w:keepLines/>
            </w:pPr>
            <w:r>
              <w:rPr>
                <w:b/>
              </w:rPr>
              <w:t xml:space="preserve">• CA08. Confirmación conjunta: </w:t>
            </w:r>
            <w:r>
              <w:rPr>
                <w:b w:val="0"/>
              </w:rPr>
              <w:t>Revisar el cronograma no guarda. Enviar RUC 20 registra expediente y las altas verificadas que correspondan, o revierte todo. Si falta verificar al propietario, conserva su DNI como declarado sin crear su ficha aprobada; queda pendiente sin préstamo, contrato definitivo ni cuotas cobrables. Aprobar crea préstamo y cuotas sin duplicados. Firma de consulta mayor de 30 minutos exige renovarla.</w:t>
            </w:r>
          </w:p>
          <w:p w14:paraId="4FD6904D" w14:textId="77777777" w:rsidR="009B620A" w:rsidRDefault="00015AFF">
            <w:pPr>
              <w:spacing w:before="60" w:after="80" w:line="240" w:lineRule="auto"/>
              <w:ind w:left="216" w:hanging="216"/>
              <w:keepNext w:val="0"/>
              <w:keepLines/>
            </w:pPr>
            <w:r>
              <w:rPr>
                <w:b/>
              </w:rPr>
              <w:t xml:space="preserve">• CA09. Resultado protegido: </w:t>
            </w:r>
            <w:r>
              <w:rPr>
                <w:b w:val="0"/>
              </w:rPr>
              <w:t>El préstamo pertenece a la agencia de sesión y añade allí al titular sin duplicar ficha ni trasladar préstamos. No permite editar ni anular lo confirmado.</w:t>
            </w:r>
          </w:p>
          <w:p w14:paraId="4FD6904D" w14:textId="77777777" w:rsidR="009B620A" w:rsidRDefault="00015AFF">
            <w:pPr>
              <w:spacing w:before="60" w:after="80" w:line="240" w:lineRule="auto"/>
              <w:ind w:left="216" w:hanging="216"/>
              <w:keepNext w:val="0"/>
              <w:keepLines/>
            </w:pPr>
            <w:r>
              <w:rPr>
                <w:b/>
              </w:rPr>
              <w:t xml:space="preserve">• CA10. Pasos y regreso: </w:t>
            </w:r>
            <w:r>
              <w:rPr>
                <w:b w:val="0"/>
              </w:rPr>
              <w:t>Tipo modificable solo en identificación. RUC 20 añade Documentación sin Ver solicitudes ni Actualizar revisión; el formulario no muestra Ir a clientes. Atrás conserva el borrador y la salida voluntaria por los enlaces protegidos advierte sobre datos pendientes. Corregir DNI descarta el PDF ligado a esa selección. DNI/RUC 10 conserva su navegación.</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Entradas: </w:t>
            </w:r>
            <w:r>
              <w:rPr>
                <w:b w:val="0"/>
              </w:rPr>
              <w:t>Usa monto, fecha, plazo y TEA del préstamo; genera una cuota por mes.</w:t>
            </w:r>
          </w:p>
          <w:p w14:paraId="4FD6904D" w14:textId="77777777" w:rsidR="009B620A" w:rsidRDefault="00015AFF">
            <w:pPr>
              <w:spacing w:before="60" w:after="80" w:line="240" w:lineRule="auto"/>
              <w:ind w:left="216" w:hanging="216"/>
              <w:keepNext w:val="0"/>
              <w:keepLines/>
            </w:pPr>
            <w:r>
              <w:rPr>
                <w:b/>
              </w:rPr>
              <w:t xml:space="preserve">• CA02. Cálculo: </w:t>
            </w:r>
            <w:r>
              <w:rPr>
                <w:b w:val="0"/>
              </w:rPr>
              <w:t>TEM = (1 + 0,30)^(1/12) − 1, aproximadamente 2,210445 %. Sistema francés: interés sobre saldo y amortización como cuota menos interés.</w:t>
            </w:r>
          </w:p>
          <w:p w14:paraId="4FD6904D" w14:textId="77777777" w:rsidR="009B620A" w:rsidRDefault="00015AFF">
            <w:pPr>
              <w:spacing w:before="60" w:after="80" w:line="240" w:lineRule="auto"/>
              <w:ind w:left="216" w:hanging="216"/>
              <w:keepNext w:val="0"/>
              <w:keepLines/>
            </w:pPr>
            <w:r>
              <w:rPr>
                <w:b/>
              </w:rPr>
              <w:t xml:space="preserve">• CA03. Fechas cada 30 días: </w:t>
            </w:r>
            <w:r>
              <w:rPr>
                <w:b w:val="0"/>
              </w:rPr>
              <w:t>Suma 30 días por cuota a la fecha del préstamo. Considera cambios de mes, año y bisiestos, sin ajuste por fines de semana. Conserva las fechas de cuotas ya confirmadas.</w:t>
            </w:r>
          </w:p>
          <w:p w14:paraId="4FD6904D" w14:textId="77777777" w:rsidR="009B620A" w:rsidRDefault="00015AFF">
            <w:pPr>
              <w:spacing w:before="60" w:after="80" w:line="240" w:lineRule="auto"/>
              <w:ind w:left="216" w:hanging="216"/>
              <w:keepNext w:val="0"/>
              <w:keepLines/>
            </w:pPr>
            <w:r>
              <w:rPr>
                <w:b/>
              </w:rPr>
              <w:t xml:space="preserve">• CA04. Detalle: </w:t>
            </w:r>
            <w:r>
              <w:rPr>
                <w:b w:val="0"/>
              </w:rPr>
              <w:t>Muestra número, vencimiento, cuota, interés, amortización y saldo; identifica titular, código, agencia, monto, plazo, TEA, TEM y totales.</w:t>
            </w:r>
          </w:p>
          <w:p w14:paraId="4FD6904D" w14:textId="77777777" w:rsidR="009B620A" w:rsidRDefault="00015AFF">
            <w:pPr>
              <w:spacing w:before="60" w:after="80" w:line="240" w:lineRule="auto"/>
              <w:ind w:left="216" w:hanging="216"/>
              <w:keepNext w:val="0"/>
              <w:keepLines/>
            </w:pPr>
            <w:r>
              <w:rPr>
                <w:b/>
              </w:rPr>
              <w:t xml:space="preserve">• CA05. Redondeo y cargos: </w:t>
            </w:r>
            <w:r>
              <w:rPr>
                <w:b w:val="0"/>
              </w:rPr>
              <w:t>Dos decimales y última cuota ajustada a saldo cero. Sin comisiones, seguros, penalidades ni recargos por atraso.</w:t>
            </w:r>
          </w:p>
          <w:p w14:paraId="4FD6904D" w14:textId="77777777" w:rsidR="009B620A" w:rsidRDefault="00015AFF">
            <w:pPr>
              <w:spacing w:before="60" w:after="80" w:line="240" w:lineRule="auto"/>
              <w:ind w:left="216" w:hanging="216"/>
              <w:keepNext w:val="0"/>
              <w:keepLines/>
            </w:pPr>
            <w:r>
              <w:rPr>
                <w:b/>
              </w:rPr>
              <w:t xml:space="preserve">• CA06. Consistencia: </w:t>
            </w:r>
            <w:r>
              <w:rPr>
                <w:b w:val="0"/>
              </w:rPr>
              <w:t>Guarda el cronograma confirmado sin recalcularlo al consultar o pagar. El contrato conserva identidad, modalidad y firmante originales. En RUC 20, la empresa es prestataria; firma su representante verificado, sea o no el propietario, sin atribuir aval al propietario. Solo se emite para un préstamo confirmado. Si falta la copia completa del firmante, bloquea la descarga en lugar de usar la ficha actual.</w:t>
            </w:r>
          </w:p>
          <w:p w14:paraId="4FD6904D" w14:textId="77777777" w:rsidR="009B620A" w:rsidRDefault="00015AFF">
            <w:pPr>
              <w:spacing w:before="60" w:after="80" w:line="240" w:lineRule="auto"/>
              <w:ind w:left="216" w:hanging="216"/>
              <w:keepNext w:val="0"/>
              <w:keepLines/>
            </w:pPr>
            <w:r>
              <w:rPr>
                <w:b/>
              </w:rPr>
              <w:t xml:space="preserve">• CA07. Descarga e impresión: </w:t>
            </w:r>
            <w:r>
              <w:rPr>
                <w:b w:val="0"/>
              </w:rPr>
              <w:t>Cronograma agrupa PDF e impresión. Contrato agrupa Word e impresión/guardar PDF, con plantilla adaptada del profesor que termina en las firmas, con nombre, DNI y calidad del firmante, sin anexo de condiciones. Descargar de nuevo no crea préstamo.</w:t>
            </w:r>
          </w:p>
          <w:p w14:paraId="4FD6904D" w14:textId="77777777" w:rsidR="009B620A" w:rsidRDefault="00015AFF">
            <w:pPr>
              <w:spacing w:before="60" w:after="80" w:line="240" w:lineRule="auto"/>
              <w:ind w:left="216" w:hanging="216"/>
              <w:keepNext w:val="0"/>
              <w:keepLines/>
            </w:pPr>
            <w:r>
              <w:rPr>
                <w:b/>
              </w:rPr>
              <w:t xml:space="preserve">• CA08. Caso financiero: </w:t>
            </w:r>
            <w:r>
              <w:rPr>
                <w:b w:val="0"/>
              </w:rPr>
              <w:t>Para S/ 1 000 a seis meses: primeras cinco cuotas S/ 179,80 y última S/ 179,77; capital S/ 1 000, interés S/ 78,77 y total S/ 1 078,77.</w:t>
            </w:r>
          </w:p>
          <w:p w14:paraId="4FD6904D" w14:textId="77777777" w:rsidR="009B620A" w:rsidRDefault="00015AFF">
            <w:pPr>
              <w:spacing w:before="60" w:after="80" w:line="240" w:lineRule="auto"/>
              <w:ind w:left="216" w:hanging="216"/>
              <w:keepNext w:val="0"/>
              <w:keepLines/>
            </w:pPr>
            <w:r>
              <w:rPr>
                <w:b/>
              </w:rPr>
              <w:t xml:space="preserve">• CA09. Caso de calendario: </w:t>
            </w:r>
            <w:r>
              <w:rPr>
                <w:b w:val="0"/>
              </w:rPr>
              <w:t>Desde 22/10/2026 vence el 21/11/2026, 21/12/2026 y 20/01/2027. Desde 31/01/2028 usa 01/03/2028 y 31/03/2028; la tasa por período se mantiene.</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Next w:val="0"/>
              <w:keepLines/>
            </w:pPr>
            <w:r>
              <w:rPr>
                <w:b/>
                <w:sz w:val="20"/>
              </w:rPr>
              <w:t xml:space="preserve">• CA01. Cartera propia: </w:t>
            </w:r>
            <w:r>
              <w:rPr>
                <w:b w:val="0"/>
                <w:sz w:val="20"/>
              </w:rPr>
              <w:t>Solo operaciones originadas en la agencia, de más recientes a antiguas; también se restringe detalle y servidor.</w:t>
            </w:r>
          </w:p>
          <w:p w14:paraId="4FD6904D" w14:textId="77777777" w:rsidR="009B620A" w:rsidRDefault="00015AFF">
            <w:pPr>
              <w:spacing w:before="0" w:after="40" w:line="240" w:lineRule="auto"/>
              <w:ind w:left="216" w:hanging="216"/>
              <w:keepNext w:val="0"/>
              <w:keepLines/>
            </w:pPr>
            <w:r>
              <w:rPr>
                <w:b/>
                <w:sz w:val="20"/>
              </w:rPr>
              <w:t xml:space="preserve">• CA02. Listado y filtros: </w:t>
            </w:r>
            <w:r>
              <w:rPr>
                <w:b w:val="0"/>
                <w:sz w:val="20"/>
              </w:rPr>
              <w:t>Activos por defecto; filtros Activos/Cancelados/Todos y Personas/Empresas/Todos. Busca DNI, RUC o PR-. Documento muestra DNI personal o RUC empresarial, con monto, plazo, fecha, estado y detalle.</w:t>
            </w:r>
          </w:p>
          <w:p w14:paraId="4FD6904D" w14:textId="77777777" w:rsidR="009B620A" w:rsidRDefault="00015AFF">
            <w:pPr>
              <w:spacing w:before="0" w:after="40" w:line="240" w:lineRule="auto"/>
              <w:ind w:left="216" w:hanging="216"/>
              <w:keepNext w:val="0"/>
              <w:keepLines/>
            </w:pPr>
            <w:r>
              <w:rPr>
                <w:b/>
                <w:sz w:val="20"/>
              </w:rPr>
              <w:t xml:space="preserve">• CA03. Clientes de la agencia: </w:t>
            </w:r>
            <w:r>
              <w:rPr>
                <w:b w:val="0"/>
                <w:sz w:val="20"/>
              </w:rPr>
              <w:t>Solo titulares con préstamos confirmados locales, incluidos pagados. DNI/RUC 10 figura en Personas con DNI y en Negocios y empresas con RUC; Todos conserva una fila. Identidad, solicitudes y cobros ajenos no incorporan titulares.</w:t>
            </w:r>
          </w:p>
          <w:p w14:paraId="4FD6904D" w14:textId="77777777" w:rsidR="009B620A" w:rsidRDefault="00015AFF">
            <w:pPr>
              <w:spacing w:before="0" w:after="40" w:line="240" w:lineRule="auto"/>
              <w:ind w:left="216" w:hanging="216"/>
              <w:keepNext w:val="0"/>
              <w:keepLines/>
            </w:pPr>
            <w:r>
              <w:rPr>
                <w:b/>
                <w:sz w:val="20"/>
              </w:rPr>
              <w:t xml:space="preserve">• CA04. Ficha y privacidad de cartera: </w:t>
            </w:r>
            <w:r>
              <w:rPr>
                <w:b w:val="0"/>
                <w:sz w:val="20"/>
              </w:rPr>
              <w:t>DNI/RUC 10 comparten ficha; RUC 20 conserva empresa y propietario del límite. Recupera datos previos y permite otro representante verificado en otra solicitud. Una pendiente u observada por RUC se retoma sin duplicar; el historial conserva rechazos y aprobaciones.</w:t>
            </w:r>
          </w:p>
          <w:p w14:paraId="4FD6904D" w14:textId="77777777" w:rsidR="009B620A" w:rsidRDefault="00015AFF">
            <w:pPr>
              <w:spacing w:before="0" w:after="40" w:line="240" w:lineRule="auto"/>
              <w:ind w:left="216" w:hanging="216"/>
              <w:keepNext w:val="0"/>
              <w:keepLines/>
            </w:pPr>
            <w:r>
              <w:rPr>
                <w:b/>
                <w:sz w:val="20"/>
              </w:rPr>
              <w:t xml:space="preserve">• CA05. Continuar atención: </w:t>
            </w:r>
            <w:r>
              <w:rPr>
                <w:b w:val="0"/>
                <w:sz w:val="20"/>
              </w:rPr>
              <w:t>Solicitar préstamo despliega DNI/RUC 10 cuando existen ambos; sin elegibilidad o cupo queda bloqueado. Revalidar datos ofrece DNI/RUC 10, o SUNAT directo para RUC 20. Incluye Consultar para pagar y Ver historial.</w:t>
            </w:r>
          </w:p>
          <w:p w14:paraId="4FD6904D" w14:textId="77777777" w:rsidR="009B620A" w:rsidRDefault="00015AFF">
            <w:pPr>
              <w:spacing w:before="0" w:after="40" w:line="240" w:lineRule="auto"/>
              <w:ind w:left="216" w:hanging="216"/>
              <w:keepNext w:val="0"/>
              <w:keepLines/>
            </w:pPr>
            <w:r>
              <w:rPr>
                <w:b/>
                <w:sz w:val="20"/>
              </w:rPr>
              <w:t xml:space="preserve">• CA06. Resumen del detalle: </w:t>
            </w:r>
            <w:r>
              <w:rPr>
                <w:b w:val="0"/>
                <w:sz w:val="20"/>
              </w:rPr>
              <w:t>Detalle muestra Total a pagar, Total pagado y Saldo por pagar, con estado, TEA, TEM e interés total; diseño adaptable a móvil.</w:t>
            </w:r>
          </w:p>
          <w:p w14:paraId="4FD6904D" w14:textId="77777777" w:rsidR="009B620A" w:rsidRDefault="00015AFF">
            <w:pPr>
              <w:spacing w:before="0" w:after="40" w:line="240" w:lineRule="auto"/>
              <w:ind w:left="216" w:hanging="216"/>
              <w:keepNext w:val="0"/>
              <w:keepLines/>
            </w:pPr>
            <w:r>
              <w:rPr>
                <w:b/>
                <w:sz w:val="20"/>
              </w:rPr>
              <w:t xml:space="preserve">• CA07. Cuotas y acceso al cobro: </w:t>
            </w:r>
            <w:r>
              <w:rPr>
                <w:b w:val="0"/>
                <w:sz w:val="20"/>
              </w:rPr>
              <w:t>Registrar pago carga el préstamo y cuotas automáticamente con código/tipo fijos y regreso al mismo detalle. Desplaza al titular; no confirma el cobro.</w:t>
            </w:r>
          </w:p>
          <w:p w14:paraId="4FD6904D" w14:textId="77777777" w:rsidR="009B620A" w:rsidRDefault="00015AFF">
            <w:pPr>
              <w:spacing w:before="0" w:after="40" w:line="240" w:lineRule="auto"/>
              <w:ind w:left="216" w:hanging="216"/>
              <w:keepNext w:val="0"/>
              <w:keepLines/>
            </w:pPr>
            <w:r>
              <w:rPr>
                <w:b/>
                <w:sz w:val="20"/>
              </w:rPr>
              <w:t xml:space="preserve">• CA08. Cobro entre agencias: </w:t>
            </w:r>
            <w:r>
              <w:rPr>
                <w:b w:val="0"/>
                <w:sz w:val="20"/>
              </w:rPr>
              <w:t>Pagos localiza deudas entre agencias por DNI, RUC o código. No incorpora préstamos ajenos a la cartera ni habilita sus detalles ordinarios.</w:t>
            </w:r>
          </w:p>
          <w:p w14:paraId="4FD6904D" w14:textId="77777777" w:rsidR="009B620A" w:rsidRDefault="00015AFF">
            <w:pPr>
              <w:spacing w:before="0" w:after="40" w:line="240" w:lineRule="auto"/>
              <w:ind w:left="216" w:hanging="216"/>
              <w:keepNext w:val="0"/>
              <w:keepLines/>
            </w:pPr>
            <w:r>
              <w:rPr>
                <w:b/>
                <w:sz w:val="20"/>
              </w:rPr>
              <w:t xml:space="preserve">• CA09. Documento y resultados vacíos: </w:t>
            </w:r>
            <w:r>
              <w:rPr>
                <w:b w:val="0"/>
                <w:sz w:val="20"/>
              </w:rPr>
              <w:t>Recupera documentos sin alterar el préstamo. Una búsqueda vacía informa que no hay coincidencias, sin mostrar registros ajenos.</w:t>
            </w:r>
          </w:p>
          <w:p w14:paraId="4FD6904D" w14:textId="77777777" w:rsidR="009B620A" w:rsidRDefault="00015AFF">
            <w:pPr>
              <w:spacing w:before="0" w:after="40" w:line="240" w:lineRule="auto"/>
              <w:ind w:left="216" w:hanging="216"/>
              <w:keepNext w:val="0"/>
              <w:keepLines/>
            </w:pPr>
            <w:r>
              <w:rPr>
                <w:b/>
                <w:sz w:val="20"/>
              </w:rPr>
              <w:t xml:space="preserve">• CA10. Formato de búsqueda: </w:t>
            </w:r>
            <w:r>
              <w:rPr>
                <w:b w:val="0"/>
                <w:sz w:val="20"/>
              </w:rPr>
              <w:t>DNI de ocho dígitos y RUC válido de once. PR- fijo más ocho hexadecimales en mayúsculas; pegar código completo no duplica prefijo. Entrada inválida impide consultar.</w:t>
            </w:r>
          </w:p>
          <w:p w14:paraId="4FD6904D" w14:textId="77777777" w:rsidR="009B620A" w:rsidRDefault="00015AFF">
            <w:pPr>
              <w:spacing w:before="0" w:after="40" w:line="240" w:lineRule="auto"/>
              <w:ind w:left="216" w:hanging="216"/>
              <w:keepNext w:val="0"/>
              <w:keepLines/>
            </w:pPr>
            <w:r>
              <w:rPr>
                <w:b/>
                <w:sz w:val="20"/>
              </w:rPr>
              <w:t xml:space="preserve">• CA11. Solicitudes de la agencia: </w:t>
            </w:r>
            <w:r>
              <w:rPr>
                <w:b w:val="0"/>
                <w:sz w:val="20"/>
              </w:rPr>
              <w:t>Lista solicitudes RUC 20 por Pendientes, Por verificar propietario, Observadas, Aprobadas, Rechazadas y Todas. Pendientes reúne las pendientes de evaluación y de identidad. Completar la identidad conserva solicitud, PDF e historial; no aprueba el crédito y respeta las observaciones previas. Separa los filtros de la tabla y adapta su distribución a pantallas pequeñas; conserva la privacidad por agencia.</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2"/>
              </w:rPr>
              <w:t xml:space="preserve">• CA01. Localización: </w:t>
            </w:r>
            <w:r>
              <w:rPr>
                <w:b w:val="0"/>
                <w:sz w:val="22"/>
              </w:rPr>
              <w:t>DNI, RUC 10 o RUC 20 reúnen deudas del propietario y sus empresas entre agencias; ser representante no une grupos. Desde ficha fija documento; desde detalle fija UUID autorizado. Consulta automática y regreso al origen, sin Cambiar cliente.</w:t>
            </w:r>
          </w:p>
          <w:p w14:paraId="4FD6904D" w14:textId="77777777" w:rsidR="009B620A" w:rsidRDefault="00015AFF">
            <w:pPr>
              <w:spacing w:before="60" w:after="80" w:line="240" w:lineRule="auto"/>
              <w:ind w:left="216" w:hanging="216"/>
              <w:keepNext w:val="0"/>
              <w:keepLines/>
            </w:pPr>
            <w:r>
              <w:rPr>
                <w:b/>
                <w:sz w:val="22"/>
              </w:rPr>
              <w:t xml:space="preserve">• CA02. Datos de revisión: </w:t>
            </w:r>
            <w:r>
              <w:rPr>
                <w:b w:val="0"/>
                <w:sz w:val="22"/>
              </w:rPr>
              <w:t>Muestra titular, código, agencia de origen, deuda y cuotas. No exige DNI vigente, RUC habilitado ni ausencia de atrasos para pagar.</w:t>
            </w:r>
          </w:p>
          <w:p w14:paraId="4FD6904D" w14:textId="77777777" w:rsidR="009B620A" w:rsidRDefault="00015AFF">
            <w:pPr>
              <w:spacing w:before="60" w:after="80" w:line="240" w:lineRule="auto"/>
              <w:ind w:left="216" w:hanging="216"/>
              <w:keepNext w:val="0"/>
              <w:keepLines/>
            </w:pPr>
            <w:r>
              <w:rPr>
                <w:b/>
                <w:sz w:val="22"/>
              </w:rPr>
              <w:t xml:space="preserve">• CA03. Selección: </w:t>
            </w:r>
            <w:r>
              <w:rPr>
                <w:b w:val="0"/>
                <w:sz w:val="22"/>
              </w:rPr>
              <w:t>Cuotas completas consecutivas desde la pendiente más antigua del préstamo. Admite la próxima cuota sin recalcular; excluye abonos parciales y pagos extraordinarios a capital.</w:t>
            </w:r>
          </w:p>
          <w:p w14:paraId="4FD6904D" w14:textId="77777777" w:rsidR="009B620A" w:rsidRDefault="00015AFF">
            <w:pPr>
              <w:spacing w:before="60" w:after="80" w:line="240" w:lineRule="auto"/>
              <w:ind w:left="216" w:hanging="216"/>
              <w:keepNext w:val="0"/>
              <w:keepLines/>
            </w:pPr>
            <w:r>
              <w:rPr>
                <w:b/>
                <w:sz w:val="22"/>
              </w:rPr>
              <w:t xml:space="preserve">• CA04. Importe y confirmación: </w:t>
            </w:r>
            <w:r>
              <w:rPr>
                <w:b w:val="0"/>
                <w:sz w:val="22"/>
              </w:rPr>
              <w:t>Suma el capital y el interés original de las cuotas seleccionadas, sin recargos por atraso; el importe no es editable. Exige confirmar dinero recibido y aceptar el cobro; no integra un banco.</w:t>
            </w:r>
          </w:p>
          <w:p w14:paraId="4FD6904D" w14:textId="77777777" w:rsidR="009B620A" w:rsidRDefault="00015AFF">
            <w:pPr>
              <w:spacing w:before="60" w:after="80" w:line="240" w:lineRule="auto"/>
              <w:ind w:left="216" w:hanging="216"/>
              <w:keepNext w:val="0"/>
              <w:keepLines/>
            </w:pPr>
            <w:r>
              <w:rPr>
                <w:b/>
                <w:sz w:val="22"/>
              </w:rPr>
              <w:t xml:space="preserve">• CA05. Trazabilidad: </w:t>
            </w:r>
            <w:r>
              <w:rPr>
                <w:b w:val="0"/>
                <w:sz w:val="22"/>
              </w:rPr>
              <w:t>Guarda identificador, fecha/hora, asesor, agencia de cobro, préstamo y aplicación por cuota. Conserva origen y emite constancia recuperable desde origen o agencia de cobro.</w:t>
            </w:r>
          </w:p>
          <w:p w14:paraId="4FD6904D" w14:textId="77777777" w:rsidR="009B620A" w:rsidRDefault="00015AFF">
            <w:pPr>
              <w:spacing w:before="60" w:after="80" w:line="240" w:lineRule="auto"/>
              <w:ind w:left="216" w:hanging="216"/>
              <w:keepNext w:val="0"/>
              <w:keepLines/>
            </w:pPr>
            <w:r>
              <w:rPr>
                <w:b/>
                <w:sz w:val="22"/>
              </w:rPr>
              <w:t xml:space="preserve">• CA06. Registro consistente: </w:t>
            </w:r>
            <w:r>
              <w:rPr>
                <w:b w:val="0"/>
                <w:sz w:val="22"/>
              </w:rPr>
              <w:t>La clave evita duplicar el mismo reintento y se rechazan cuotas ya cobradas. Un fallo no deja aplicaciones incompletas. Si se pierde la respuesta, revisar historial antes de iniciar otro cobro.</w:t>
            </w:r>
          </w:p>
          <w:p w14:paraId="4FD6904D" w14:textId="77777777" w:rsidR="009B620A" w:rsidRDefault="00015AFF">
            <w:pPr>
              <w:spacing w:before="60" w:after="80" w:line="240" w:lineRule="auto"/>
              <w:ind w:left="216" w:hanging="216"/>
              <w:keepNext w:val="0"/>
              <w:keepLines/>
            </w:pPr>
            <w:r>
              <w:rPr>
                <w:b/>
                <w:sz w:val="22"/>
              </w:rPr>
              <w:t xml:space="preserve">• CA07. Efectos: </w:t>
            </w:r>
            <w:r>
              <w:rPr>
                <w:b w:val="0"/>
                <w:sz w:val="22"/>
              </w:rPr>
              <w:t>Marca cuotas pagadas, reduce deuda y capital por su amortización y recalcula condición. Pago total cancela el préstamo.</w:t>
            </w:r>
          </w:p>
          <w:p w14:paraId="4FD6904D" w14:textId="77777777" w:rsidR="009B620A" w:rsidRDefault="00015AFF">
            <w:pPr>
              <w:spacing w:before="60" w:after="80" w:line="240" w:lineRule="auto"/>
              <w:ind w:left="216" w:hanging="216"/>
              <w:keepNext w:val="0"/>
              <w:keepLines/>
            </w:pPr>
            <w:r>
              <w:rPr>
                <w:b/>
                <w:sz w:val="22"/>
              </w:rPr>
              <w:t xml:space="preserve">• CA08. Conservación: </w:t>
            </w:r>
            <w:r>
              <w:rPr>
                <w:b w:val="0"/>
                <w:sz w:val="22"/>
              </w:rPr>
              <w:t>No modifica el cronograma ni desmarca pagos confirmados. Reversos y devoluciones quedan fuera; la constancia no es comprobante tributario.</w:t>
            </w:r>
          </w:p>
          <w:p w14:paraId="4FD6904D" w14:textId="77777777" w:rsidR="009B620A" w:rsidRDefault="00015AFF">
            <w:pPr>
              <w:spacing w:before="60" w:after="80" w:line="240" w:lineRule="auto"/>
              <w:ind w:left="216" w:hanging="216"/>
              <w:keepNext w:val="0"/>
              <w:keepLines/>
            </w:pPr>
            <w:r>
              <w:rPr>
                <w:b/>
                <w:sz w:val="22"/>
              </w:rPr>
              <w:t xml:space="preserve">• CA09. Validación de búsqueda: </w:t>
            </w:r>
            <w:r>
              <w:rPr>
                <w:b w:val="0"/>
                <w:sz w:val="22"/>
              </w:rPr>
              <w:t>Valida documento o PR- antes de consultar, según HU-06 CA10. Un error no muestra otras identidades.</w:t>
            </w:r>
          </w:p>
          <w:p w14:paraId="4FD6904D" w14:textId="77777777" w:rsidR="009B620A" w:rsidRDefault="00015AFF">
            <w:pPr>
              <w:spacing w:before="60" w:after="80" w:line="240" w:lineRule="auto"/>
              <w:ind w:left="216" w:hanging="216"/>
              <w:keepNext w:val="0"/>
              <w:keepLines/>
            </w:pPr>
            <w:r>
              <w:rPr>
                <w:b/>
                <w:sz w:val="22"/>
              </w:rPr>
              <w:t xml:space="preserve">• CA10. Relación con la agencia: </w:t>
            </w:r>
            <w:r>
              <w:rPr>
                <w:b w:val="0"/>
                <w:sz w:val="22"/>
              </w:rPr>
              <w:t>Cobrar en otra agencia registra quién recibió el dinero, sin cambiar origen ni incorporar al cliente a su listado.</w:t>
            </w:r>
          </w:p>
          <w:p w14:paraId="4FD6904D" w14:textId="77777777" w:rsidR="009B620A" w:rsidRDefault="00015AFF">
            <w:pPr>
              <w:spacing w:before="60" w:after="80" w:line="240" w:lineRule="auto"/>
              <w:ind w:left="216" w:hanging="216"/>
              <w:keepNext w:val="0"/>
              <w:keepLines/>
            </w:pPr>
            <w:r>
              <w:rPr>
                <w:b/>
                <w:sz w:val="22"/>
              </w:rPr>
              <w:t xml:space="preserve">• CA11. Cambio de consulta: </w:t>
            </w:r>
            <w:r>
              <w:rPr>
                <w:b w:val="0"/>
                <w:sz w:val="22"/>
              </w:rPr>
              <w:t>Solo la búsqueda general permite editar documento/tipo. Cualquier cambio limpia resultados, cuotas y confirmación y descarta respuestas antiguas; los flujos fijos conservan su origen.</w:t>
            </w:r>
          </w:p>
          <w:p w14:paraId="4FD6904D" w14:textId="77777777" w:rsidR="009B620A" w:rsidRDefault="00015AFF">
            <w:pPr>
              <w:spacing w:before="60" w:after="80" w:line="240" w:lineRule="auto"/>
              <w:ind w:left="216" w:hanging="216"/>
              <w:keepNext w:val="0"/>
              <w:keepLines/>
            </w:pPr>
            <w:r>
              <w:rPr>
                <w:b/>
                <w:sz w:val="22"/>
              </w:rPr>
              <w:t xml:space="preserve">• CA12. Desplazamiento y revisión: </w:t>
            </w:r>
            <w:r>
              <w:rPr>
                <w:b w:val="0"/>
                <w:sz w:val="22"/>
              </w:rPr>
              <w:t>Elegir préstamo o cargar resultado único enfoca y desplaza al titular. Una lista múltiple o cambiar cuotas no repiten el movimiento; respeta reducir animaciones y foco accesible.</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Fecha de referencia: </w:t>
            </w:r>
            <w:r>
              <w:rPr>
                <w:b w:val="0"/>
              </w:rPr>
              <w:t>Fecha de Perú: una cuota impaga de hoy vence al día siguiente.</w:t>
            </w:r>
          </w:p>
          <w:p w14:paraId="4FD6904D" w14:textId="77777777" w:rsidR="009B620A" w:rsidRDefault="00015AFF">
            <w:pPr>
              <w:spacing w:before="60" w:after="80" w:line="240" w:lineRule="auto"/>
              <w:ind w:left="216" w:hanging="216"/>
              <w:keepNext w:val="0"/>
              <w:keepLines/>
            </w:pPr>
            <w:r>
              <w:rPr>
                <w:b/>
              </w:rPr>
              <w:t xml:space="preserve">• CA02. Condición global: </w:t>
            </w:r>
            <w:r>
              <w:rPr>
                <w:b w:val="0"/>
              </w:rPr>
              <w:t>Considera persona y empresas entre agencias. Extrajudicial desde doce meses de la cuota impaga más antigua; Con atrasos con menor atraso; Sin atrasos sin vencidas. Historial incompleto queda Pendiente de conciliación.</w:t>
            </w:r>
          </w:p>
          <w:p w14:paraId="4FD6904D" w14:textId="77777777" w:rsidR="009B620A" w:rsidRDefault="00015AFF">
            <w:pPr>
              <w:spacing w:before="60" w:after="80" w:line="240" w:lineRule="auto"/>
              <w:ind w:left="216" w:hanging="216"/>
              <w:keepNext w:val="0"/>
              <w:keepLines/>
            </w:pPr>
            <w:r>
              <w:rPr>
                <w:b/>
              </w:rPr>
              <w:t xml:space="preserve">• CA03. Alcance de la etiqueta: </w:t>
            </w:r>
            <w:r>
              <w:rPr>
                <w:b w:val="0"/>
              </w:rPr>
              <w:t>Extrajudicial es clasificación académica, sin iniciar trámite jurídico ni permitir selección manual de la condición.</w:t>
            </w:r>
          </w:p>
          <w:p w14:paraId="4FD6904D" w14:textId="77777777" w:rsidR="009B620A" w:rsidRDefault="00015AFF">
            <w:pPr>
              <w:spacing w:before="60" w:after="80" w:line="240" w:lineRule="auto"/>
              <w:ind w:left="216" w:hanging="216"/>
              <w:keepNext w:val="0"/>
              <w:keepLines/>
            </w:pPr>
            <w:r>
              <w:rPr>
                <w:b/>
              </w:rPr>
              <w:t xml:space="preserve">• CA04. Actualización efectiva: </w:t>
            </w:r>
            <w:r>
              <w:rPr>
                <w:b w:val="0"/>
              </w:rPr>
              <w:t>Recalcula después de pagar, al cambiar el día y al consultar o confirmar, aunque el corte diario no se haya ejecutado.</w:t>
            </w:r>
          </w:p>
          <w:p w14:paraId="4FD6904D" w14:textId="77777777" w:rsidR="009B620A" w:rsidRDefault="00015AFF">
            <w:pPr>
              <w:spacing w:before="60" w:after="80" w:line="240" w:lineRule="auto"/>
              <w:ind w:left="216" w:hanging="216"/>
              <w:keepNext w:val="0"/>
              <w:keepLines/>
            </w:pPr>
            <w:r>
              <w:rPr>
                <w:b/>
              </w:rPr>
              <w:t xml:space="preserve">• CA05. Regularización: </w:t>
            </w:r>
            <w:r>
              <w:rPr>
                <w:b w:val="0"/>
              </w:rPr>
              <w:t>Cubrir lo vencido regulariza sin anticipar cuotas futuras. El antecedente permanece: nuevo crédito requiere asesor autorizado, motivo, ausencia de vencidas e historial conciliado, sin omitir identidad, RUC o cupo.</w:t>
            </w:r>
          </w:p>
          <w:p w14:paraId="4FD6904D" w14:textId="77777777" w:rsidR="009B620A" w:rsidRDefault="00015AFF">
            <w:pPr>
              <w:spacing w:before="60" w:after="80" w:line="240" w:lineRule="auto"/>
              <w:ind w:left="216" w:hanging="216"/>
              <w:keepNext w:val="0"/>
              <w:keepLines/>
            </w:pPr>
            <w:r>
              <w:rPr>
                <w:b/>
              </w:rPr>
              <w:t xml:space="preserve">• CA06. Independencia de identidad: </w:t>
            </w:r>
            <w:r>
              <w:rPr>
                <w:b w:val="0"/>
              </w:rPr>
              <w:t>Pagar o regularizar no borra verificaciones. Un DNI caducado sigue bloqueando nuevas colocaciones hasta revalidar.</w:t>
            </w:r>
          </w:p>
          <w:p w14:paraId="4FD6904D" w14:textId="77777777" w:rsidR="009B620A" w:rsidRDefault="00015AFF">
            <w:pPr>
              <w:spacing w:before="60" w:after="80" w:line="240" w:lineRule="auto"/>
              <w:ind w:left="216" w:hanging="216"/>
              <w:keepNext w:val="0"/>
              <w:keepLines/>
            </w:pPr>
            <w:r>
              <w:rPr>
                <w:b/>
              </w:rPr>
              <w:t xml:space="preserve">• CA07. Capital y cierre: </w:t>
            </w:r>
            <w:r>
              <w:rPr>
                <w:b w:val="0"/>
              </w:rPr>
              <w:t>Disponible = límite menos capital pendiente global. Los intereses no liberan cupo; terminar el plazo no cancela deuda.</w:t>
            </w:r>
          </w:p>
          <w:p w14:paraId="4FD6904D" w14:textId="77777777" w:rsidR="009B620A" w:rsidRDefault="00015AFF">
            <w:pPr>
              <w:spacing w:before="60" w:after="80" w:line="240" w:lineRule="auto"/>
              <w:ind w:left="216" w:hanging="216"/>
              <w:keepNext w:val="0"/>
              <w:keepLines/>
            </w:pPr>
            <w:r>
              <w:rPr>
                <w:b/>
              </w:rPr>
              <w:t xml:space="preserve">• CA08. Caso de umbral: </w:t>
            </w:r>
            <w:r>
              <w:rPr>
                <w:b w:val="0"/>
              </w:rPr>
              <w:t>Cuota del 15/10/2026: pendiente ese día, vencida el 16/10/2026 y extrajudicial el 15/10/2027 si sigue impaga.</w:t>
            </w:r>
          </w:p>
          <w:p w14:paraId="4FD6904D" w14:textId="77777777" w:rsidR="009B620A" w:rsidRDefault="00015AFF">
            <w:pPr>
              <w:spacing w:before="60" w:after="80" w:line="240" w:lineRule="auto"/>
              <w:ind w:left="216" w:hanging="216"/>
              <w:keepNext w:val="0"/>
              <w:keepLines/>
            </w:pPr>
            <w:r>
              <w:rPr>
                <w:b/>
              </w:rPr>
              <w:t xml:space="preserve">• CA09. Datos incompletos: </w:t>
            </w:r>
            <w:r>
              <w:rPr>
                <w:b w:val="0"/>
              </w:rPr>
              <w:t>Un historial no conciliado no se declara ficticiamente pagado o con atrasos y bloquea nuevos préstamos hasta completarse.</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 entrega debe demostrar las ocho HU integradas, permisos por agencia, cálculo financiero, cobro sin duplicados y estados automáticos. Se conservan operaciones confirmadas e historial. Las pruebas y el despliegue se verifican sobre la misma versión; las funciones fuera del alcance no se presentan como implementadas.</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Acceso y sesiones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Cuenta activa, contador de 15 minutos y renovación válida. Otro navegador reemplaza la sesión; cerrar la anterior no revoca la nueva.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Identidad y representación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corregir DNI antes de enviar; documento concreto, referencia automática y PDF hasta 5 MB. Asesor evalúa después; otra agencia no accede al expediente. RUC 10 sin certificado.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nuevo y borradores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no guarda antes del envío final. Propietario ausente nuevo o vencido permite enviar sin identidad ficticia ni deuda. Aprobar se bloquea hasta verificarlo presencialmente desde la misma solicitud. Se conserva el PDF; observar corrige la misma solicitud y rechazar permite otra. Aprobar crea una sola operación.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 y fichas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sin incorporar titulares por cobro ajeno. DNI/RUC 10: ficha en ambos filtros, una fila en Todos. Empresa con ficha y propietario para el límite.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RUC y elegibilidad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observado bloquea ese RUC, sin impedir DNI elegible ni pagos. Aviso de Pagos solo con deuda del RUC exacto. Fallo técnico no es rechazo; revalidar conserva historial y atrasos.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Monto plazo y capital</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dígitos, S/ 0.01 hasta el disponible global de S/ 10 000 y de 1 a 60 meses. Pagar libera únicamente el capital amortizado.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Cronograma y documentos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Comprueba el ejemplo de S/ 1 000, redondeos, meses de 28 a 31 días y bisiestos. Descargas e impresión conservan las condiciones e identidad del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10/RUC 20 reúnen el grupo. Se elige un préstamo y cuotas completas consecutivas; conserva origen, registra agencia de cobro y emite constancia.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Contexto y navegación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ficha o detalle los campos quedan fijos y el regreso conserva el origen. Búsqueda general limpia resultados al cambiar documento/tipo; seleccionar préstamo desplaza al titular una vez.</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Concurrencia y reintentos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excede capital ni duplica cobros o solicitudes. Aprobar revalida cupo sin reservarlo al enviar y rechaza versiones obsoletas; reintentar no duplica.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 y regularización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Prueba vencimiento, día siguiente y doce meses. Regularizar no anticipa cuotas futuras; conserva antecedente y exige autorización especial para nuevo crédito.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Conciliación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historial incompleto bloquea nuevas colocaciones; cancelar exige pago total. Pagar no elimina identidad ni su caducidad, y quedan historial y constancias.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Referencias y restricciones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Elegir los cuatro documentos, comprobar campos y límites, conservar ceros y convertir asiento a mayúsculas. Rechazar letras en números, signos en asiento y pegado excesivo; aceptar notaría con tildes y fecha real. Retomar una referencia anterior sin recortarla.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Interfaz y conservación del flujo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Ir a clientes en Nuevo préstamo. Atrás conserva personas, documentos, PDF y condiciones; corregir DNI invalida el PDF. Botones junto al título y adaptables a móvil; filtros separados de la tabla de Solicitudes.</w:t>
            </w:r>
          </w:p>
        </w:tc>
      </w:tr>
    </w:tbl>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