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Machbarkeitsanfrage: Example-CCDL</w:t>
      </w:r>
    </w:p>
    <w:p>
      <w:r>
        <w:rPr>
          <w:i/>
        </w:rPr>
        <w:t>Quelle: ccdl-all-properties.json   Erstellt: 2026-07-29   CCDL-Version: https://medizininformatik-initiative.de/fdpg/ClinicalCohortDefinitionLanguage/v1/schema</w:t>
      </w:r>
    </w:p>
    <w:p>
      <w:pPr>
        <w:pStyle w:val="Heading1"/>
      </w:pPr>
      <w:r>
        <w:t>Kohortendefinition</w:t>
      </w:r>
    </w:p>
    <w:p>
      <w:r>
        <w:t>Eine Person gehört zur Kohorte, wenn alle Einschlussbedingungen (E1–E4) erfüllt sind und keine der Ausschlussbedingungen (A1–A3) zutrifft.</w:t>
      </w:r>
    </w:p>
    <w:p>
      <w:pPr>
        <w:pStyle w:val="Heading2"/>
      </w:pPr>
      <w:r>
        <w:t>Einschlusskriterien</w:t>
      </w:r>
    </w:p>
    <w:p>
      <w:r>
        <w:rPr>
          <w:b/>
        </w:rPr>
        <w:t>Alle 4 Bedingungen E1–E4 müssen erfüllt sein (mit UND verknüpft).</w:t>
      </w:r>
    </w:p>
    <w:p>
      <w:r>
        <w:rPr>
          <w:i/>
          <w:sz w:val="16"/>
        </w:rPr>
        <w:t>Formale Struktur: E1 UND E2 UND (E3a ODER E3b) UND (E4 UND (E4r1a ODER E4r1b)) — Alle 7 Kriterien dieses Abschnitts sind in der formalen Struktur genau einmal referenziert.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E1  </w:t>
      </w:r>
      <w:r>
        <w:t>[Patient] Geschlecht (LL2191-6, LOINC)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Wert: Weiblich (F, LOINC) ODER Männlich (M, LOINC)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E2  </w:t>
      </w:r>
      <w:r>
        <w:t>[Patient] Alter (30525-0, LOINC)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Wert: &gt; 18 Jahr(e)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⚠ Einheit im Export widersprüchlich: UCUM-Code „a“, Bezeichnung „Jahr“ — dargestellt wird der Code.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E3  </w:t>
      </w:r>
      <w:r>
        <w:t>Mindestens eines der folgenden 2 Kriterien (E3a–E3b):</w:t>
      </w:r>
    </w:p>
    <w:p>
      <w:pPr>
        <w:spacing w:after="20"/>
        <w:ind w:left="255"/>
        <w:pBdr>
          <w:left w:val="single" w:sz="14" w:space="6" w:color="4A7BA8"/>
        </w:pBdr>
      </w:pPr>
      <w:r>
        <w:rPr>
          <w:b/>
        </w:rPr>
        <w:t xml:space="preserve">E3a  </w:t>
      </w:r>
      <w:r>
        <w:t>[Diagnose] F00 (ICD-10-GM)</w:t>
      </w:r>
    </w:p>
    <w:p>
      <w:pPr>
        <w:spacing w:after="0"/>
        <w:ind w:left="482"/>
        <w:pBdr>
          <w:left w:val="single" w:sz="14" w:space="6" w:color="4A7BA8"/>
        </w:pBdr>
      </w:pPr>
      <w:r>
        <w:rPr>
          <w:sz w:val="18"/>
        </w:rPr>
        <w:t>· keine Einschränkung</w:t>
      </w:r>
    </w:p>
    <w:p>
      <w:pPr>
        <w:spacing w:before="60" w:after="60"/>
        <w:jc w:val="center"/>
      </w:pPr>
      <w:r>
        <w:rPr>
          <w:b/>
        </w:rPr>
        <w:t>ODER</w:t>
      </w:r>
    </w:p>
    <w:p>
      <w:pPr>
        <w:spacing w:after="20"/>
        <w:ind w:left="255"/>
        <w:pBdr>
          <w:left w:val="single" w:sz="14" w:space="6" w:color="4A7BA8"/>
        </w:pBdr>
      </w:pPr>
      <w:r>
        <w:rPr>
          <w:b/>
        </w:rPr>
        <w:t xml:space="preserve">E3b  </w:t>
      </w:r>
      <w:r>
        <w:t>[Diagnose] F09 (ICD-10-GM)</w:t>
      </w:r>
    </w:p>
    <w:p>
      <w:pPr>
        <w:spacing w:after="0"/>
        <w:ind w:left="482"/>
        <w:pBdr>
          <w:left w:val="single" w:sz="14" w:space="6" w:color="4A7BA8"/>
        </w:pBdr>
      </w:pPr>
      <w:r>
        <w:rPr>
          <w:sz w:val="18"/>
        </w:rPr>
        <w:t>· Zeitraum (Überschneidung): von 09.09.2021 bis 09.10.2021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E4  </w:t>
      </w:r>
      <w:r>
        <w:t>[Bioprobe] Exzision und Destruktion von erkranktem Gewebe der Schädelknochen: Schädelbasis, Tumorgewebe (5-016.0, OPS 2023)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keine Einschränkung</w:t>
      </w:r>
    </w:p>
    <w:p>
      <w:pPr>
        <w:spacing w:after="20"/>
        <w:ind w:left="255"/>
        <w:pBdr>
          <w:left w:val="single" w:sz="14" w:space="6" w:color="4A7BA8"/>
        </w:pBdr>
      </w:pPr>
      <w:r>
        <w:rPr>
          <w:b/>
        </w:rPr>
        <w:t xml:space="preserve">E4r1  </w:t>
      </w:r>
      <w:r>
        <w:t>Referenzbedingung über „specimen diagnosis“ — es muss mindestens eines der folgenden Kriterien dazu vorliegen:</w:t>
      </w:r>
    </w:p>
    <w:p>
      <w:pPr>
        <w:spacing w:after="20"/>
        <w:ind w:left="510"/>
        <w:pBdr>
          <w:left w:val="single" w:sz="10" w:space="6" w:color="6D97C2"/>
        </w:pBdr>
      </w:pPr>
      <w:r>
        <w:rPr>
          <w:b/>
        </w:rPr>
        <w:t xml:space="preserve">E4r1a  </w:t>
      </w:r>
      <w:r>
        <w:t>[Diagnose] Some cid-o-3 Cancer (C50.0, ICD-O-3)</w:t>
      </w:r>
    </w:p>
    <w:p>
      <w:pPr>
        <w:spacing w:after="0"/>
        <w:ind w:left="737"/>
        <w:pBdr>
          <w:left w:val="single" w:sz="10" w:space="6" w:color="6D97C2"/>
        </w:pBdr>
      </w:pPr>
      <w:r>
        <w:rPr>
          <w:sz w:val="18"/>
        </w:rPr>
        <w:t>· status: active (fhir)</w:t>
      </w:r>
    </w:p>
    <w:p>
      <w:pPr>
        <w:spacing w:before="60" w:after="60"/>
        <w:jc w:val="center"/>
      </w:pPr>
      <w:r>
        <w:rPr>
          <w:b/>
        </w:rPr>
        <w:t>ODER</w:t>
      </w:r>
    </w:p>
    <w:p>
      <w:pPr>
        <w:spacing w:after="20"/>
        <w:ind w:left="510"/>
        <w:pBdr>
          <w:left w:val="single" w:sz="10" w:space="6" w:color="6D97C2"/>
        </w:pBdr>
      </w:pPr>
      <w:r>
        <w:rPr>
          <w:b/>
        </w:rPr>
        <w:t xml:space="preserve">E4r1b  </w:t>
      </w:r>
      <w:r>
        <w:t>[Diagnose] Some cid-o-3 Cancer (C50.1, ICD-O-3)</w:t>
      </w:r>
    </w:p>
    <w:p>
      <w:pPr>
        <w:spacing w:after="0"/>
        <w:ind w:left="737"/>
        <w:pBdr>
          <w:left w:val="single" w:sz="10" w:space="6" w:color="6D97C2"/>
        </w:pBdr>
      </w:pPr>
      <w:r>
        <w:rPr>
          <w:sz w:val="18"/>
        </w:rPr>
        <w:t>· keine Einschränkung</w:t>
      </w:r>
    </w:p>
    <w:p>
      <w:pPr>
        <w:pStyle w:val="Heading2"/>
      </w:pPr>
      <w:r>
        <w:t>Ausschlusskriterien</w:t>
      </w:r>
    </w:p>
    <w:p>
      <w:r>
        <w:rPr>
          <w:b/>
        </w:rPr>
        <w:t>Trifft mindestens eine der 3 Bedingungen A1–A3 zu, wird die Person ausgeschlossen (mit ODER verknüpft).</w:t>
      </w:r>
    </w:p>
    <w:p>
      <w:r>
        <w:rPr>
          <w:i/>
          <w:sz w:val="16"/>
        </w:rPr>
        <w:t>Formale Struktur: A1 ODER A2 ODER (A3a UND A3b) — Alle 4 Kriterien dieses Abschnitts sind in der formalen Struktur genau einmal referenziert.</w:t>
      </w:r>
    </w:p>
    <w:p>
      <w:pPr>
        <w:spacing w:after="20"/>
        <w:ind w:left="0"/>
        <w:pBdr>
          <w:left w:val="single" w:sz="18" w:space="6" w:color="8A3B2C"/>
        </w:pBdr>
        <w:shd w:val="clear" w:fill="FAF2F0"/>
      </w:pPr>
      <w:r>
        <w:rPr>
          <w:b/>
        </w:rPr>
        <w:t xml:space="preserve">A1  </w:t>
      </w:r>
      <w:r>
        <w:t>[Patient] Geschlecht (LL2191-6, LOINC) → Ausschluss</w:t>
      </w:r>
    </w:p>
    <w:p>
      <w:pPr>
        <w:spacing w:after="0"/>
        <w:ind w:left="227"/>
        <w:pBdr>
          <w:left w:val="single" w:sz="18" w:space="6" w:color="8A3B2C"/>
        </w:pBdr>
      </w:pPr>
      <w:r>
        <w:rPr>
          <w:sz w:val="18"/>
        </w:rPr>
        <w:t>· Wert: male (ohne System)</w:t>
      </w:r>
    </w:p>
    <w:p>
      <w:pPr>
        <w:spacing w:before="60" w:after="60"/>
        <w:jc w:val="center"/>
      </w:pPr>
      <w:r>
        <w:rPr>
          <w:b/>
        </w:rPr>
        <w:t>ODER</w:t>
      </w:r>
    </w:p>
    <w:p>
      <w:pPr>
        <w:spacing w:after="20"/>
        <w:ind w:left="0"/>
        <w:pBdr>
          <w:left w:val="single" w:sz="18" w:space="6" w:color="8A3B2C"/>
        </w:pBdr>
        <w:shd w:val="clear" w:fill="FAF2F0"/>
      </w:pPr>
      <w:r>
        <w:rPr>
          <w:b/>
        </w:rPr>
        <w:t xml:space="preserve">A2  </w:t>
      </w:r>
      <w:r>
        <w:t>[Patient] Alter (30525-0, LOINC) → Ausschluss</w:t>
      </w:r>
    </w:p>
    <w:p>
      <w:pPr>
        <w:spacing w:after="0"/>
        <w:ind w:left="227"/>
        <w:pBdr>
          <w:left w:val="single" w:sz="18" w:space="6" w:color="8A3B2C"/>
        </w:pBdr>
      </w:pPr>
      <w:r>
        <w:rPr>
          <w:sz w:val="18"/>
        </w:rPr>
        <w:t>· Wert: &gt; 65 year</w:t>
      </w:r>
    </w:p>
    <w:p>
      <w:pPr>
        <w:spacing w:after="0"/>
        <w:ind w:left="227"/>
        <w:pBdr>
          <w:left w:val="single" w:sz="18" w:space="6" w:color="8A3B2C"/>
        </w:pBdr>
      </w:pPr>
      <w:r>
        <w:rPr>
          <w:sz w:val="18"/>
        </w:rPr>
        <w:t>· ⚠ Einheit im Export widersprüchlich: UCUM-Code „year“, Bezeichnung „Jahr“ — dargestellt wird der Code.</w:t>
      </w:r>
    </w:p>
    <w:p>
      <w:pPr>
        <w:spacing w:before="60" w:after="60"/>
        <w:jc w:val="center"/>
      </w:pPr>
      <w:r>
        <w:rPr>
          <w:b/>
        </w:rPr>
        <w:t>ODER</w:t>
      </w:r>
    </w:p>
    <w:p>
      <w:pPr>
        <w:spacing w:after="20"/>
        <w:ind w:left="0"/>
        <w:pBdr>
          <w:left w:val="single" w:sz="18" w:space="6" w:color="8A3B2C"/>
        </w:pBdr>
        <w:shd w:val="clear" w:fill="FAF2F0"/>
      </w:pPr>
      <w:r>
        <w:rPr>
          <w:b/>
        </w:rPr>
        <w:t xml:space="preserve">A3  </w:t>
      </w:r>
      <w:r>
        <w:t>Alle folgenden 2 Kriterien (A3a–A3b) gemeinsam → Ausschluss:</w:t>
      </w:r>
    </w:p>
    <w:p>
      <w:pPr>
        <w:spacing w:after="20"/>
        <w:ind w:left="255"/>
        <w:pBdr>
          <w:left w:val="single" w:sz="14" w:space="6" w:color="A8574A"/>
        </w:pBdr>
      </w:pPr>
      <w:r>
        <w:rPr>
          <w:b/>
        </w:rPr>
        <w:t xml:space="preserve">A3a  </w:t>
      </w:r>
      <w:r>
        <w:t>[Diagnose] F00.9 (ICD-10-GM)</w:t>
      </w:r>
    </w:p>
    <w:p>
      <w:pPr>
        <w:spacing w:after="0"/>
        <w:ind w:left="482"/>
        <w:pBdr>
          <w:left w:val="single" w:sz="14" w:space="6" w:color="A8574A"/>
        </w:pBdr>
      </w:pPr>
      <w:r>
        <w:rPr>
          <w:sz w:val="18"/>
        </w:rPr>
        <w:t>· keine Einschränkung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255"/>
        <w:pBdr>
          <w:left w:val="single" w:sz="14" w:space="6" w:color="A8574A"/>
        </w:pBdr>
      </w:pPr>
      <w:r>
        <w:rPr>
          <w:b/>
        </w:rPr>
        <w:t xml:space="preserve">A3b  </w:t>
      </w:r>
      <w:r>
        <w:t>[Patient] Körpertemperatur (8310-5, LOINC)</w:t>
      </w:r>
    </w:p>
    <w:p>
      <w:pPr>
        <w:spacing w:after="0"/>
        <w:ind w:left="482"/>
        <w:pBdr>
          <w:left w:val="single" w:sz="14" w:space="6" w:color="A8574A"/>
        </w:pBdr>
      </w:pPr>
      <w:r>
        <w:rPr>
          <w:sz w:val="18"/>
        </w:rPr>
        <w:t>· Wert: 35 bis 39 °C</w:t>
      </w:r>
    </w:p>
    <w:p>
      <w:pPr>
        <w:spacing w:after="0"/>
        <w:ind w:left="482"/>
        <w:pBdr>
          <w:left w:val="single" w:sz="14" w:space="6" w:color="A8574A"/>
        </w:pBdr>
      </w:pPr>
      <w:r>
        <w:rPr>
          <w:sz w:val="18"/>
        </w:rPr>
        <w:t>· method: Axillary (LA9370-3, LOINC)</w:t>
      </w:r>
    </w:p>
    <w:p>
      <w:pPr>
        <w:spacing w:after="0"/>
        <w:ind w:left="482"/>
        <w:pBdr>
          <w:left w:val="single" w:sz="14" w:space="6" w:color="A8574A"/>
        </w:pBdr>
      </w:pPr>
      <w:r>
        <w:rPr>
          <w:sz w:val="18"/>
        </w:rPr>
        <w:t>· Zeitraum (Überschneidung): von 09.09.2021 bis 09.10.2021</w:t>
      </w:r>
    </w:p>
    <w:p>
      <w:pPr>
        <w:pStyle w:val="Heading1"/>
      </w:pPr>
      <w:r>
        <w:t>Kodiersysteme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Kurzform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System-URI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Version(en)</w:t>
            </w:r>
          </w:p>
        </w:tc>
      </w:tr>
      <w:tr>
        <w:tc>
          <w:tcPr>
            <w:tcW w:type="dxa" w:w="2880"/>
          </w:tcPr>
          <w:p>
            <w:r>
              <w:t>FDPG</w:t>
            </w:r>
          </w:p>
        </w:tc>
        <w:tc>
          <w:tcPr>
            <w:tcW w:type="dxa" w:w="2880"/>
          </w:tcPr>
          <w:p>
            <w:r>
              <w:t>fdpg.mii.cds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</w:tr>
      <w:tr>
        <w:tc>
          <w:tcPr>
            <w:tcW w:type="dxa" w:w="2880"/>
          </w:tcPr>
          <w:p>
            <w:r>
              <w:t>ICD-10-GM</w:t>
            </w:r>
          </w:p>
        </w:tc>
        <w:tc>
          <w:tcPr>
            <w:tcW w:type="dxa" w:w="2880"/>
          </w:tcPr>
          <w:p>
            <w:r>
              <w:t>http://fhir.de/CodeSystem/dimdi/icd-10-gm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ICD-O-3</w:t>
            </w:r>
          </w:p>
        </w:tc>
        <w:tc>
          <w:tcPr>
            <w:tcW w:type="dxa" w:w="2880"/>
          </w:tcPr>
          <w:p>
            <w:r>
              <w:t>icd-o-3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LOINC ⚠</w:t>
            </w:r>
          </w:p>
        </w:tc>
        <w:tc>
          <w:tcPr>
            <w:tcW w:type="dxa" w:w="2880"/>
          </w:tcPr>
          <w:p>
            <w:r>
              <w:t>http://loinc.org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LOINC ⚠</w:t>
            </w:r>
          </w:p>
        </w:tc>
        <w:tc>
          <w:tcPr>
            <w:tcW w:type="dxa" w:w="2880"/>
          </w:tcPr>
          <w:p>
            <w:r>
              <w:t>https://fhir.loinc.org/CodeSystem/$lookup?system=http://loinc.org&amp;code=LL2191-6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http://fhir.de/CodeSystem/bfarm/ops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abide</w:t>
            </w:r>
          </w:p>
        </w:tc>
        <w:tc>
          <w:tcPr>
            <w:tcW w:type="dxa" w:w="2880"/>
          </w:tcPr>
          <w:p>
            <w:r>
              <w:t>abide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fhir</w:t>
            </w:r>
          </w:p>
        </w:tc>
        <w:tc>
          <w:tcPr>
            <w:tcW w:type="dxa" w:w="2880"/>
          </w:tcPr>
          <w:p>
            <w:r>
              <w:t>http://hl7.org/fhir/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mii.abide</w:t>
            </w:r>
          </w:p>
        </w:tc>
        <w:tc>
          <w:tcPr>
            <w:tcW w:type="dxa" w:w="2880"/>
          </w:tcPr>
          <w:p>
            <w:r>
              <w:t>mii.abide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ohne System</w:t>
            </w:r>
          </w:p>
        </w:tc>
        <w:tc>
          <w:tcPr>
            <w:tcW w:type="dxa" w:w="2880"/>
          </w:tcPr>
          <w:p>
            <w:r>
              <w:t>(ohne System)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⚠ Diese Kurzform steht im Dokument für mehr als eine System-URI. Die Kriterien nennen nur die Kurzform; maßgeblich ist die URI aus dem Export.</w:t>
      </w:r>
    </w:p>
    <w:p>
      <w:pPr>
        <w:pStyle w:val="Heading1"/>
      </w:pPr>
      <w:r>
        <w:t>Lesehilfe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320"/>
          </w:tcPr>
          <w:p>
            <w:r>
              <w:t>E1, E2 …</w:t>
            </w:r>
          </w:p>
        </w:tc>
        <w:tc>
          <w:tcPr>
            <w:tcW w:type="dxa" w:w="4320"/>
          </w:tcPr>
          <w:p>
            <w:r>
              <w:t>Einschlussbedingung; alle müssen erfüllt sein</w:t>
            </w:r>
          </w:p>
        </w:tc>
      </w:tr>
      <w:tr>
        <w:tc>
          <w:tcPr>
            <w:tcW w:type="dxa" w:w="4320"/>
          </w:tcPr>
          <w:p>
            <w:r>
              <w:t>A1, A2 …</w:t>
            </w:r>
          </w:p>
        </w:tc>
        <w:tc>
          <w:tcPr>
            <w:tcW w:type="dxa" w:w="4320"/>
          </w:tcPr>
          <w:p>
            <w:r>
              <w:t>Ausschlussbedingung; eine genügt für den Ausschluss</w:t>
            </w:r>
          </w:p>
        </w:tc>
      </w:tr>
      <w:tr>
        <w:tc>
          <w:tcPr>
            <w:tcW w:type="dxa" w:w="4320"/>
          </w:tcPr>
          <w:p>
            <w:r>
              <w:t>E2a, E2b …</w:t>
            </w:r>
          </w:p>
        </w:tc>
        <w:tc>
          <w:tcPr>
            <w:tcW w:type="dxa" w:w="4320"/>
          </w:tcPr>
          <w:p>
            <w:r>
              <w:t>Kriterien innerhalb der Bedingung E2</w:t>
            </w:r>
          </w:p>
        </w:tc>
      </w:tr>
      <w:tr>
        <w:tc>
          <w:tcPr>
            <w:tcW w:type="dxa" w:w="4320"/>
          </w:tcPr>
          <w:p>
            <w:r>
              <w:t>E4r1a …</w:t>
            </w:r>
          </w:p>
        </w:tc>
        <w:tc>
          <w:tcPr>
            <w:tcW w:type="dxa" w:w="4320"/>
          </w:tcPr>
          <w:p>
            <w:r>
              <w:t>Kriterium einer Referenzbedingung von E4</w:t>
            </w:r>
          </w:p>
        </w:tc>
      </w:tr>
      <w:tr>
        <w:tc>
          <w:tcPr>
            <w:tcW w:type="dxa" w:w="4320"/>
          </w:tcPr>
          <w:p>
            <w:r>
              <w:t>Name (Code, System Version)</w:t>
            </w:r>
          </w:p>
        </w:tc>
        <w:tc>
          <w:tcPr>
            <w:tcW w:type="dxa" w:w="4320"/>
          </w:tcPr>
          <w:p>
            <w:r>
              <w:t>Bezeichnung, Code und Kodiersystem des Konzepts; die vollständige System-URI steht unter „Kodiersysteme“</w:t>
            </w:r>
          </w:p>
        </w:tc>
      </w:tr>
      <w:tr>
        <w:tc>
          <w:tcPr>
            <w:tcW w:type="dxa" w:w="4320"/>
          </w:tcPr>
          <w:p>
            <w:r>
              <w:t>x bis y</w:t>
            </w:r>
          </w:p>
        </w:tc>
        <w:tc>
          <w:tcPr>
            <w:tcW w:type="dxa" w:w="4320"/>
          </w:tcPr>
          <w:p>
            <w:r>
              <w:t>Wertebereich; die CCDL legt nicht fest, ob die Grenzen eingeschlossen sind — hier unverändert wiedergegeben</w:t>
            </w:r>
          </w:p>
        </w:tc>
      </w:tr>
      <w:tr>
        <w:tc>
          <w:tcPr>
            <w:tcW w:type="dxa" w:w="4320"/>
          </w:tcPr>
          <w:p>
            <w:r>
              <w:t>Einheiten</w:t>
            </w:r>
          </w:p>
        </w:tc>
        <w:tc>
          <w:tcPr>
            <w:tcW w:type="dxa" w:w="4320"/>
          </w:tcPr>
          <w:p>
            <w:r>
              <w:t>dargestellt wird der UCUM-Code aus dem Export, nicht die freie Bezeichnung; Abweichungen zwischen beiden werden am Kriterium vermerkt</w:t>
            </w:r>
          </w:p>
        </w:tc>
      </w:tr>
      <w:tr>
        <w:tc>
          <w:tcPr>
            <w:tcW w:type="dxa" w:w="4320"/>
          </w:tcPr>
          <w:p>
            <w:r>
              <w:t>Bezeichnungen</w:t>
            </w:r>
          </w:p>
        </w:tc>
        <w:tc>
          <w:tcPr>
            <w:tcW w:type="dxa" w:w="4320"/>
          </w:tcPr>
          <w:p>
            <w:r>
              <w:t>aus der FDPG-Terminologie aufgelöst und können daher von den im Export enthaltenen Bezeichnungen abweichen; Codes und Systeme stammen unverändert aus dem Export</w:t>
            </w:r>
          </w:p>
        </w:tc>
      </w:tr>
      <w:tr>
        <w:tc>
          <w:tcPr>
            <w:tcW w:type="dxa" w:w="4320"/>
          </w:tcPr>
          <w:p>
            <w:r>
              <w:t>→ Ausschluss</w:t>
            </w:r>
          </w:p>
        </w:tc>
        <w:tc>
          <w:tcPr>
            <w:tcW w:type="dxa" w:w="4320"/>
          </w:tcPr>
          <w:p>
            <w:r>
              <w:t>Zutreffen dieser Bedingung schließt die Person aus</w:t>
            </w:r>
          </w:p>
        </w:tc>
      </w:tr>
    </w:tbl>
    <w:p>
      <w:r>
        <w:rPr>
          <w:i/>
        </w:rPr>
        <w:t>Für folgende Codes lag keine geprüfte deutsche Bezeichnung vor; angezeigt wird die im Export enthaltene Bezeichnung: diagnose (mii.abide), C50.0 (ICD-O-3), status (mii.abide), active (fhir), C50.1 (ICD-O-3), male (ohne System), method (abide)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