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Machbarkeitsanfrage: Erwachsene mit Hypertonie und Diabetes mellitus Typ 2 (Demo)</w:t>
      </w:r>
    </w:p>
    <w:p>
      <w:r>
        <w:rPr>
          <w:i/>
        </w:rPr>
        <w:t>Quelle: demo_hypertonie_diabetes.json   Erstellt: 2026-07-29   CRTDL-Version: http://json-schema.org/to-be-done/schema#   CCDL-Version: https://medizininformatik-initiative.de/fdpg/ClinicalCohortDefinitionLanguage/v1/schema</w:t>
      </w:r>
    </w:p>
    <w:p>
      <w:pPr>
        <w:pStyle w:val="Heading1"/>
      </w:pPr>
      <w:r>
        <w:t>Kohortendefinition</w:t>
      </w:r>
    </w:p>
    <w:p>
      <w:r>
        <w:t>Eine Person gehört zur Kohorte, wenn alle Einschlussbedingungen (E1–E6) erfüllt sind und keine der Ausschlussbedingungen (A1–A2) zutrifft.</w:t>
      </w:r>
    </w:p>
    <w:p>
      <w:pPr>
        <w:pStyle w:val="Heading2"/>
      </w:pPr>
      <w:r>
        <w:t>Einschlusskriterien</w:t>
      </w:r>
    </w:p>
    <w:p>
      <w:r>
        <w:rPr>
          <w:b/>
        </w:rPr>
        <w:t>Alle 6 Bedingungen E1–E6 müssen erfüllt sein (mit UND verknüpft).</w:t>
      </w:r>
    </w:p>
    <w:p>
      <w:r>
        <w:rPr>
          <w:i/>
          <w:sz w:val="16"/>
        </w:rPr>
        <w:t>Formale Struktur: E1 UND (E2a ODER E2b) UND E3 UND E4 UND E5 UND E6 — Alle 7 Kriterien dieses Abschnitts sind in der formalen Struktur genau einmal referenziert.</w:t>
      </w:r>
    </w:p>
    <w:p>
      <w:pPr>
        <w:spacing w:after="20"/>
        <w:ind w:left="0"/>
        <w:pBdr>
          <w:left w:val="single" w:sz="18" w:space="6" w:color="2C5F8A"/>
        </w:pBdr>
        <w:shd w:val="clear" w:fill="F2F6FA"/>
      </w:pPr>
      <w:r>
        <w:rPr>
          <w:b/>
        </w:rPr>
        <w:t xml:space="preserve">E1  </w:t>
      </w:r>
      <w:r>
        <w:t>[Person] Alter (424144002, SNOMED CT)</w:t>
      </w:r>
    </w:p>
    <w:p>
      <w:pPr>
        <w:spacing w:after="0"/>
        <w:ind w:left="227"/>
        <w:pBdr>
          <w:left w:val="single" w:sz="18" w:space="6" w:color="2C5F8A"/>
        </w:pBdr>
      </w:pPr>
      <w:r>
        <w:rPr>
          <w:sz w:val="18"/>
        </w:rPr>
        <w:t>· Wert: ≥ 18 Jahr(e)</w:t>
      </w:r>
    </w:p>
    <w:p>
      <w:pPr>
        <w:spacing w:before="60" w:after="60"/>
        <w:jc w:val="center"/>
      </w:pPr>
      <w:r>
        <w:rPr>
          <w:b/>
        </w:rPr>
        <w:t>UND</w:t>
      </w:r>
    </w:p>
    <w:p>
      <w:pPr>
        <w:spacing w:after="20"/>
        <w:ind w:left="0"/>
        <w:pBdr>
          <w:left w:val="single" w:sz="18" w:space="6" w:color="2C5F8A"/>
        </w:pBdr>
        <w:shd w:val="clear" w:fill="F2F6FA"/>
      </w:pPr>
      <w:r>
        <w:rPr>
          <w:b/>
        </w:rPr>
        <w:t xml:space="preserve">E2  </w:t>
      </w:r>
      <w:r>
        <w:t>Mindestens eines der folgenden 2 Kriterien (E2a–E2b):</w:t>
      </w:r>
    </w:p>
    <w:p>
      <w:pPr>
        <w:spacing w:after="20"/>
        <w:ind w:left="255"/>
        <w:pBdr>
          <w:left w:val="single" w:sz="14" w:space="6" w:color="4A7BA8"/>
        </w:pBdr>
      </w:pPr>
      <w:r>
        <w:rPr>
          <w:b/>
        </w:rPr>
        <w:t xml:space="preserve">E2a  </w:t>
      </w:r>
      <w:r>
        <w:t>[Diagnose] Essentielle (primäre) Hypertonie (I10, ICD-10-GM 2024)</w:t>
      </w:r>
    </w:p>
    <w:p>
      <w:pPr>
        <w:spacing w:after="0"/>
        <w:ind w:left="482"/>
        <w:pBdr>
          <w:left w:val="single" w:sz="14" w:space="6" w:color="4A7BA8"/>
        </w:pBdr>
      </w:pPr>
      <w:r>
        <w:rPr>
          <w:sz w:val="18"/>
        </w:rPr>
        <w:t>· Zeitraum (Überschneidung): von 01.01.2020 bis 31.12.2024</w:t>
      </w:r>
    </w:p>
    <w:p>
      <w:pPr>
        <w:spacing w:before="60" w:after="60"/>
        <w:jc w:val="center"/>
      </w:pPr>
      <w:r>
        <w:rPr>
          <w:b/>
        </w:rPr>
        <w:t>ODER</w:t>
      </w:r>
    </w:p>
    <w:p>
      <w:pPr>
        <w:spacing w:after="20"/>
        <w:ind w:left="255"/>
        <w:pBdr>
          <w:left w:val="single" w:sz="14" w:space="6" w:color="4A7BA8"/>
        </w:pBdr>
      </w:pPr>
      <w:r>
        <w:rPr>
          <w:b/>
        </w:rPr>
        <w:t xml:space="preserve">E2b  </w:t>
      </w:r>
      <w:r>
        <w:t>[Diagnose] Hypertensive Herzkrankheit ohne (kongestive) Herzinsuffizienz (I11.9, ICD-10-GM 2024)</w:t>
      </w:r>
    </w:p>
    <w:p>
      <w:pPr>
        <w:spacing w:after="0"/>
        <w:ind w:left="482"/>
        <w:pBdr>
          <w:left w:val="single" w:sz="14" w:space="6" w:color="4A7BA8"/>
        </w:pBdr>
      </w:pPr>
      <w:r>
        <w:rPr>
          <w:sz w:val="18"/>
        </w:rPr>
        <w:t>· keine Einschränkung</w:t>
      </w:r>
    </w:p>
    <w:p>
      <w:pPr>
        <w:spacing w:before="60" w:after="60"/>
        <w:jc w:val="center"/>
      </w:pPr>
      <w:r>
        <w:rPr>
          <w:b/>
        </w:rPr>
        <w:t>UND</w:t>
      </w:r>
    </w:p>
    <w:p>
      <w:pPr>
        <w:spacing w:after="20"/>
        <w:ind w:left="0"/>
        <w:pBdr>
          <w:left w:val="single" w:sz="18" w:space="6" w:color="2C5F8A"/>
        </w:pBdr>
        <w:shd w:val="clear" w:fill="F2F6FA"/>
      </w:pPr>
      <w:r>
        <w:rPr>
          <w:b/>
        </w:rPr>
        <w:t xml:space="preserve">E3  </w:t>
      </w:r>
      <w:r>
        <w:t>[Diagnose] Diabetes mellitus, Typ 2: Ohne Komplikationen (E11.9, ICD-10-GM 2024)</w:t>
      </w:r>
    </w:p>
    <w:p>
      <w:pPr>
        <w:spacing w:after="0"/>
        <w:ind w:left="227"/>
        <w:pBdr>
          <w:left w:val="single" w:sz="18" w:space="6" w:color="2C5F8A"/>
        </w:pBdr>
      </w:pPr>
      <w:r>
        <w:rPr>
          <w:sz w:val="18"/>
        </w:rPr>
        <w:t>· Diagnosesicherheit: Gesicherte Diagnose (G, KBV_CS_SFHIR_ICD_DIAGNOSESICHERHEIT)</w:t>
      </w:r>
    </w:p>
    <w:p>
      <w:pPr>
        <w:spacing w:before="60" w:after="60"/>
        <w:jc w:val="center"/>
      </w:pPr>
      <w:r>
        <w:rPr>
          <w:b/>
        </w:rPr>
        <w:t>UND</w:t>
      </w:r>
    </w:p>
    <w:p>
      <w:pPr>
        <w:spacing w:after="20"/>
        <w:ind w:left="0"/>
        <w:pBdr>
          <w:left w:val="single" w:sz="18" w:space="6" w:color="2C5F8A"/>
        </w:pBdr>
        <w:shd w:val="clear" w:fill="F2F6FA"/>
      </w:pPr>
      <w:r>
        <w:rPr>
          <w:b/>
        </w:rPr>
        <w:t xml:space="preserve">E4  </w:t>
      </w:r>
      <w:r>
        <w:t>[Laboruntersuchung] Hämoglobin A1c/Hämoglobin.gesamt in Blut (4548-4, LOINC)</w:t>
      </w:r>
    </w:p>
    <w:p>
      <w:pPr>
        <w:spacing w:after="0"/>
        <w:ind w:left="227"/>
        <w:pBdr>
          <w:left w:val="single" w:sz="18" w:space="6" w:color="2C5F8A"/>
        </w:pBdr>
      </w:pPr>
      <w:r>
        <w:rPr>
          <w:sz w:val="18"/>
        </w:rPr>
        <w:t>· Wert: &gt; 7 %</w:t>
      </w:r>
    </w:p>
    <w:p>
      <w:pPr>
        <w:spacing w:after="0"/>
        <w:ind w:left="227"/>
        <w:pBdr>
          <w:left w:val="single" w:sz="18" w:space="6" w:color="2C5F8A"/>
        </w:pBdr>
      </w:pPr>
      <w:r>
        <w:rPr>
          <w:sz w:val="18"/>
        </w:rPr>
        <w:t>· Zeitraum (Überschneidung): ab 01.01.2022</w:t>
      </w:r>
    </w:p>
    <w:p>
      <w:pPr>
        <w:spacing w:before="60" w:after="60"/>
        <w:jc w:val="center"/>
      </w:pPr>
      <w:r>
        <w:rPr>
          <w:b/>
        </w:rPr>
        <w:t>UND</w:t>
      </w:r>
    </w:p>
    <w:p>
      <w:pPr>
        <w:spacing w:after="20"/>
        <w:ind w:left="0"/>
        <w:pBdr>
          <w:left w:val="single" w:sz="18" w:space="6" w:color="2C5F8A"/>
        </w:pBdr>
        <w:shd w:val="clear" w:fill="F2F6FA"/>
      </w:pPr>
      <w:r>
        <w:rPr>
          <w:b/>
        </w:rPr>
        <w:t xml:space="preserve">E5  </w:t>
      </w:r>
      <w:r>
        <w:t>[Medikation] Metformin (A10BA02, ATC 2024)</w:t>
      </w:r>
    </w:p>
    <w:p>
      <w:pPr>
        <w:spacing w:after="0"/>
        <w:ind w:left="227"/>
        <w:pBdr>
          <w:left w:val="single" w:sz="18" w:space="6" w:color="2C5F8A"/>
        </w:pBdr>
      </w:pPr>
      <w:r>
        <w:rPr>
          <w:sz w:val="18"/>
        </w:rPr>
        <w:t>· keine Einschränkung</w:t>
      </w:r>
    </w:p>
    <w:p>
      <w:pPr>
        <w:spacing w:before="60" w:after="60"/>
        <w:jc w:val="center"/>
      </w:pPr>
      <w:r>
        <w:rPr>
          <w:b/>
        </w:rPr>
        <w:t>UND</w:t>
      </w:r>
    </w:p>
    <w:p>
      <w:pPr>
        <w:spacing w:after="20"/>
        <w:ind w:left="0"/>
        <w:pBdr>
          <w:left w:val="single" w:sz="18" w:space="6" w:color="2C5F8A"/>
        </w:pBdr>
        <w:shd w:val="clear" w:fill="F2F6FA"/>
      </w:pPr>
      <w:r>
        <w:rPr>
          <w:b/>
        </w:rPr>
        <w:t xml:space="preserve">E6  </w:t>
      </w:r>
      <w:r>
        <w:t>[Einwilligung] MDAT wissenschaftlich nutzen EU DSGVO NIVEAU (2.16.840.1.113883.3.1937.777.24.5.3.8, MII-Consent 1.0.7)</w:t>
      </w:r>
    </w:p>
    <w:p>
      <w:pPr>
        <w:spacing w:after="0"/>
        <w:ind w:left="227"/>
        <w:pBdr>
          <w:left w:val="single" w:sz="18" w:space="6" w:color="2C5F8A"/>
        </w:pBdr>
      </w:pPr>
      <w:r>
        <w:rPr>
          <w:sz w:val="18"/>
        </w:rPr>
        <w:t>· (Einwilligung)</w:t>
      </w:r>
    </w:p>
    <w:p>
      <w:pPr>
        <w:pStyle w:val="Heading2"/>
      </w:pPr>
      <w:r>
        <w:t>Ausschlusskriterien</w:t>
      </w:r>
    </w:p>
    <w:p>
      <w:r>
        <w:rPr>
          <w:b/>
        </w:rPr>
        <w:t>Trifft mindestens eine der 2 Bedingungen A1–A2 zu, wird die Person ausgeschlossen (mit ODER verknüpft).</w:t>
      </w:r>
    </w:p>
    <w:p>
      <w:r>
        <w:rPr>
          <w:i/>
          <w:sz w:val="16"/>
        </w:rPr>
        <w:t>Formale Struktur: A1 ODER (A2a UND A2b) — Alle 3 Kriterien dieses Abschnitts sind in der formalen Struktur genau einmal referenziert.</w:t>
      </w:r>
    </w:p>
    <w:p>
      <w:pPr>
        <w:spacing w:after="20"/>
        <w:ind w:left="0"/>
        <w:pBdr>
          <w:left w:val="single" w:sz="18" w:space="6" w:color="8A3B2C"/>
        </w:pBdr>
        <w:shd w:val="clear" w:fill="FAF2F0"/>
      </w:pPr>
      <w:r>
        <w:rPr>
          <w:b/>
        </w:rPr>
        <w:t xml:space="preserve">A1  </w:t>
      </w:r>
      <w:r>
        <w:t>[Diagnose] Diabetes mellitus, während der Schwangerschaft auftretend (O24.4, ICD-10-GM 2024) → Ausschluss</w:t>
      </w:r>
    </w:p>
    <w:p>
      <w:pPr>
        <w:spacing w:after="0"/>
        <w:ind w:left="227"/>
        <w:pBdr>
          <w:left w:val="single" w:sz="18" w:space="6" w:color="8A3B2C"/>
        </w:pBdr>
      </w:pPr>
      <w:r>
        <w:rPr>
          <w:sz w:val="18"/>
        </w:rPr>
        <w:t>· keine Einschränkung</w:t>
      </w:r>
    </w:p>
    <w:p>
      <w:pPr>
        <w:spacing w:before="60" w:after="60"/>
        <w:jc w:val="center"/>
      </w:pPr>
      <w:r>
        <w:rPr>
          <w:b/>
        </w:rPr>
        <w:t>ODER</w:t>
      </w:r>
    </w:p>
    <w:p>
      <w:pPr>
        <w:spacing w:after="20"/>
        <w:ind w:left="0"/>
        <w:pBdr>
          <w:left w:val="single" w:sz="18" w:space="6" w:color="8A3B2C"/>
        </w:pBdr>
        <w:shd w:val="clear" w:fill="FAF2F0"/>
      </w:pPr>
      <w:r>
        <w:rPr>
          <w:b/>
        </w:rPr>
        <w:t xml:space="preserve">A2  </w:t>
      </w:r>
      <w:r>
        <w:t>Alle folgenden 2 Kriterien (A2a–A2b) gemeinsam → Ausschluss:</w:t>
      </w:r>
    </w:p>
    <w:p>
      <w:pPr>
        <w:spacing w:after="20"/>
        <w:ind w:left="255"/>
        <w:pBdr>
          <w:left w:val="single" w:sz="14" w:space="6" w:color="A8574A"/>
        </w:pBdr>
      </w:pPr>
      <w:r>
        <w:rPr>
          <w:b/>
        </w:rPr>
        <w:t xml:space="preserve">A2a  </w:t>
      </w:r>
      <w:r>
        <w:t>[Prozedur] Hämodialyse (8-854, OPS 2024)</w:t>
      </w:r>
    </w:p>
    <w:p>
      <w:pPr>
        <w:spacing w:after="0"/>
        <w:ind w:left="482"/>
        <w:pBdr>
          <w:left w:val="single" w:sz="14" w:space="6" w:color="A8574A"/>
        </w:pBdr>
      </w:pPr>
      <w:r>
        <w:rPr>
          <w:sz w:val="18"/>
        </w:rPr>
        <w:t>· keine Einschränkung</w:t>
      </w:r>
    </w:p>
    <w:p>
      <w:pPr>
        <w:spacing w:before="60" w:after="60"/>
        <w:jc w:val="center"/>
      </w:pPr>
      <w:r>
        <w:rPr>
          <w:b/>
        </w:rPr>
        <w:t>UND</w:t>
      </w:r>
    </w:p>
    <w:p>
      <w:pPr>
        <w:spacing w:after="20"/>
        <w:ind w:left="255"/>
        <w:pBdr>
          <w:left w:val="single" w:sz="14" w:space="6" w:color="A8574A"/>
        </w:pBdr>
      </w:pPr>
      <w:r>
        <w:rPr>
          <w:b/>
        </w:rPr>
        <w:t xml:space="preserve">A2b  </w:t>
      </w:r>
      <w:r>
        <w:t>[Laboruntersuchung] Creatinin [Masse/Volumen] in Serum oder Plasma (2160-0, LOINC)</w:t>
      </w:r>
    </w:p>
    <w:p>
      <w:pPr>
        <w:spacing w:after="0"/>
        <w:ind w:left="482"/>
        <w:pBdr>
          <w:left w:val="single" w:sz="14" w:space="6" w:color="A8574A"/>
        </w:pBdr>
      </w:pPr>
      <w:r>
        <w:rPr>
          <w:sz w:val="18"/>
        </w:rPr>
        <w:t>· Wert: 3 bis 15 mg/dL</w:t>
      </w:r>
    </w:p>
    <w:p>
      <w:pPr>
        <w:pStyle w:val="Heading1"/>
      </w:pPr>
      <w:r>
        <w:t>Datenextraktion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 / Profil</w:t>
            </w:r>
          </w:p>
        </w:tc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Attribute</w:t>
            </w:r>
          </w:p>
        </w:tc>
      </w:tr>
      <w:tr>
        <w:tc>
          <w:tcPr>
            <w:tcW w:type="dxa" w:w="2880"/>
          </w:tcPr>
          <w:p>
            <w:r>
              <w:t>Person — Patient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Patient.gender</w:t>
              <w:br/>
              <w:t>Patient.birthDate (Pflicht)</w:t>
            </w:r>
          </w:p>
        </w:tc>
      </w:tr>
      <w:tr>
        <w:tc>
          <w:tcPr>
            <w:tcW w:type="dxa" w:w="2880"/>
          </w:tcPr>
          <w:p>
            <w:r>
              <w:t>HbA1c-Laborwerte</w:t>
            </w:r>
          </w:p>
        </w:tc>
        <w:tc>
          <w:tcPr>
            <w:tcW w:type="dxa" w:w="2880"/>
          </w:tcPr>
          <w:p>
            <w:r>
              <w:t>code: Hämoglobin A1c/Hämoglobin.gesamt in Blut (4548-4, LOINC) ODER Hämoglobin A1c/Hämoglobin.gesamt in Blut mittels Hochleistungsflüssigkeitschromatografie (HPLC) (17856-6, LOINC)</w:t>
              <w:br/>
              <w:t>date: 01.01.2022 bis 31.12.2024</w:t>
            </w:r>
          </w:p>
        </w:tc>
        <w:tc>
          <w:tcPr>
            <w:tcW w:type="dxa" w:w="2880"/>
          </w:tcPr>
          <w:p>
            <w:r>
              <w:t>Observation.code</w:t>
              <w:br/>
              <w:t>Observation.value (Pflicht)</w:t>
              <w:br/>
              <w:t>Observation.encounter → Fall — KontaktGesundheitseinrichtung</w:t>
            </w:r>
          </w:p>
        </w:tc>
      </w:tr>
      <w:tr>
        <w:tc>
          <w:tcPr>
            <w:tcW w:type="dxa" w:w="2880"/>
          </w:tcPr>
          <w:p>
            <w:r>
              <w:t>Fall — KontaktGesundheitseinrichtung (nur als Referenz)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Encounter.period</w:t>
              <w:br/>
              <w:t>Encounter.diagnosis</w:t>
            </w:r>
          </w:p>
        </w:tc>
      </w:tr>
    </w:tbl>
    <w:p>
      <w:r>
        <w:t>(Pflicht): Fehlt das Attribut bei einer Person, wird diese vollständig von der Extraktion ausgeschlossen (mustHave-Regel).</w:t>
      </w:r>
    </w:p>
    <w:p>
      <w:pPr>
        <w:pStyle w:val="Heading1"/>
      </w:pPr>
      <w:r>
        <w:t>Kodiersysteme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Kurzform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System-URI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Version(en)</w:t>
            </w:r>
          </w:p>
        </w:tc>
      </w:tr>
      <w:tr>
        <w:tc>
          <w:tcPr>
            <w:tcW w:type="dxa" w:w="2880"/>
          </w:tcPr>
          <w:p>
            <w:r>
              <w:t>ATC</w:t>
            </w:r>
          </w:p>
        </w:tc>
        <w:tc>
          <w:tcPr>
            <w:tcW w:type="dxa" w:w="2880"/>
          </w:tcPr>
          <w:p>
            <w:r>
              <w:t>http://fhir.de/CodeSystem/bfarm/atc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</w:tr>
      <w:tr>
        <w:tc>
          <w:tcPr>
            <w:tcW w:type="dxa" w:w="2880"/>
          </w:tcPr>
          <w:p>
            <w:r>
              <w:t>FDPG</w:t>
            </w:r>
          </w:p>
        </w:tc>
        <w:tc>
          <w:tcPr>
            <w:tcW w:type="dxa" w:w="2880"/>
          </w:tcPr>
          <w:p>
            <w:r>
              <w:t>fdpg.mii.cds</w:t>
            </w:r>
          </w:p>
        </w:tc>
        <w:tc>
          <w:tcPr>
            <w:tcW w:type="dxa" w:w="2880"/>
          </w:tcPr>
          <w:p>
            <w:r>
              <w:t>1.0.0</w:t>
            </w:r>
          </w:p>
        </w:tc>
      </w:tr>
      <w:tr>
        <w:tc>
          <w:tcPr>
            <w:tcW w:type="dxa" w:w="2880"/>
          </w:tcPr>
          <w:p>
            <w:r>
              <w:t>ICD-10-GM</w:t>
            </w:r>
          </w:p>
        </w:tc>
        <w:tc>
          <w:tcPr>
            <w:tcW w:type="dxa" w:w="2880"/>
          </w:tcPr>
          <w:p>
            <w:r>
              <w:t>http://fhir.de/CodeSystem/bfarm/icd-10-gm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</w:tr>
      <w:tr>
        <w:tc>
          <w:tcPr>
            <w:tcW w:type="dxa" w:w="2880"/>
          </w:tcPr>
          <w:p>
            <w:r>
              <w:t>KBV_CS_SFHIR_ICD_DIAGNOSESICHERHEIT</w:t>
            </w:r>
          </w:p>
        </w:tc>
        <w:tc>
          <w:tcPr>
            <w:tcW w:type="dxa" w:w="2880"/>
          </w:tcPr>
          <w:p>
            <w:r>
              <w:t>https://fhir.kbv.de/CodeSystem/KBV_CS_SFHIR_ICD_DIAGNOSESICHERHEIT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LOINC</w:t>
            </w:r>
          </w:p>
        </w:tc>
        <w:tc>
          <w:tcPr>
            <w:tcW w:type="dxa" w:w="2880"/>
          </w:tcPr>
          <w:p>
            <w:r>
              <w:t>http://loinc.org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MII-Consent</w:t>
            </w:r>
          </w:p>
        </w:tc>
        <w:tc>
          <w:tcPr>
            <w:tcW w:type="dxa" w:w="2880"/>
          </w:tcPr>
          <w:p>
            <w:r>
              <w:t>urn:oid:2.16.840.1.113883.3.1937.777.24.5.3</w:t>
            </w:r>
          </w:p>
        </w:tc>
        <w:tc>
          <w:tcPr>
            <w:tcW w:type="dxa" w:w="2880"/>
          </w:tcPr>
          <w:p>
            <w:r>
              <w:t>1.0.7</w:t>
            </w:r>
          </w:p>
        </w:tc>
      </w:tr>
      <w:tr>
        <w:tc>
          <w:tcPr>
            <w:tcW w:type="dxa" w:w="2880"/>
          </w:tcPr>
          <w:p>
            <w:r>
              <w:t>OPS</w:t>
            </w:r>
          </w:p>
        </w:tc>
        <w:tc>
          <w:tcPr>
            <w:tcW w:type="dxa" w:w="2880"/>
          </w:tcPr>
          <w:p>
            <w:r>
              <w:t>http://fhir.de/CodeSystem/bfarm/ops</w:t>
            </w:r>
          </w:p>
        </w:tc>
        <w:tc>
          <w:tcPr>
            <w:tcW w:type="dxa" w:w="2880"/>
          </w:tcPr>
          <w:p>
            <w:r>
              <w:t>2024</w:t>
            </w:r>
          </w:p>
        </w:tc>
      </w:tr>
      <w:tr>
        <w:tc>
          <w:tcPr>
            <w:tcW w:type="dxa" w:w="2880"/>
          </w:tcPr>
          <w:p>
            <w:r>
              <w:t>SNOMED CT</w:t>
            </w:r>
          </w:p>
        </w:tc>
        <w:tc>
          <w:tcPr>
            <w:tcW w:type="dxa" w:w="2880"/>
          </w:tcPr>
          <w:p>
            <w:r>
              <w:t>http://snomed.info/sct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mii.abide</w:t>
            </w:r>
          </w:p>
        </w:tc>
        <w:tc>
          <w:tcPr>
            <w:tcW w:type="dxa" w:w="2880"/>
          </w:tcPr>
          <w:p>
            <w:r>
              <w:t>mii.abide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Lesehilfe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4320"/>
          </w:tcPr>
          <w:p>
            <w:r>
              <w:t>E1, E2 …</w:t>
            </w:r>
          </w:p>
        </w:tc>
        <w:tc>
          <w:tcPr>
            <w:tcW w:type="dxa" w:w="4320"/>
          </w:tcPr>
          <w:p>
            <w:r>
              <w:t>Einschlussbedingung; alle müssen erfüllt sein</w:t>
            </w:r>
          </w:p>
        </w:tc>
      </w:tr>
      <w:tr>
        <w:tc>
          <w:tcPr>
            <w:tcW w:type="dxa" w:w="4320"/>
          </w:tcPr>
          <w:p>
            <w:r>
              <w:t>A1, A2 …</w:t>
            </w:r>
          </w:p>
        </w:tc>
        <w:tc>
          <w:tcPr>
            <w:tcW w:type="dxa" w:w="4320"/>
          </w:tcPr>
          <w:p>
            <w:r>
              <w:t>Ausschlussbedingung; eine genügt für den Ausschluss</w:t>
            </w:r>
          </w:p>
        </w:tc>
      </w:tr>
      <w:tr>
        <w:tc>
          <w:tcPr>
            <w:tcW w:type="dxa" w:w="4320"/>
          </w:tcPr>
          <w:p>
            <w:r>
              <w:t>E2a, E2b …</w:t>
            </w:r>
          </w:p>
        </w:tc>
        <w:tc>
          <w:tcPr>
            <w:tcW w:type="dxa" w:w="4320"/>
          </w:tcPr>
          <w:p>
            <w:r>
              <w:t>Kriterien innerhalb der Bedingung E2</w:t>
            </w:r>
          </w:p>
        </w:tc>
      </w:tr>
      <w:tr>
        <w:tc>
          <w:tcPr>
            <w:tcW w:type="dxa" w:w="4320"/>
          </w:tcPr>
          <w:p>
            <w:r>
              <w:t>Name (Code, System Version)</w:t>
            </w:r>
          </w:p>
        </w:tc>
        <w:tc>
          <w:tcPr>
            <w:tcW w:type="dxa" w:w="4320"/>
          </w:tcPr>
          <w:p>
            <w:r>
              <w:t>Bezeichnung, Code und Kodiersystem des Konzepts; die vollständige System-URI steht unter „Kodiersysteme“</w:t>
            </w:r>
          </w:p>
        </w:tc>
      </w:tr>
      <w:tr>
        <w:tc>
          <w:tcPr>
            <w:tcW w:type="dxa" w:w="4320"/>
          </w:tcPr>
          <w:p>
            <w:r>
              <w:t>x bis y</w:t>
            </w:r>
          </w:p>
        </w:tc>
        <w:tc>
          <w:tcPr>
            <w:tcW w:type="dxa" w:w="4320"/>
          </w:tcPr>
          <w:p>
            <w:r>
              <w:t>Wertebereich; die CCDL legt nicht fest, ob die Grenzen eingeschlossen sind — hier unverändert wiedergegeben</w:t>
            </w:r>
          </w:p>
        </w:tc>
      </w:tr>
      <w:tr>
        <w:tc>
          <w:tcPr>
            <w:tcW w:type="dxa" w:w="4320"/>
          </w:tcPr>
          <w:p>
            <w:r>
              <w:t>Einheiten</w:t>
            </w:r>
          </w:p>
        </w:tc>
        <w:tc>
          <w:tcPr>
            <w:tcW w:type="dxa" w:w="4320"/>
          </w:tcPr>
          <w:p>
            <w:r>
              <w:t>dargestellt wird der UCUM-Code aus dem Export, nicht die freie Bezeichnung; Abweichungen zwischen beiden werden am Kriterium vermerkt</w:t>
            </w:r>
          </w:p>
        </w:tc>
      </w:tr>
      <w:tr>
        <w:tc>
          <w:tcPr>
            <w:tcW w:type="dxa" w:w="4320"/>
          </w:tcPr>
          <w:p>
            <w:r>
              <w:t>Bezeichnungen</w:t>
            </w:r>
          </w:p>
        </w:tc>
        <w:tc>
          <w:tcPr>
            <w:tcW w:type="dxa" w:w="4320"/>
          </w:tcPr>
          <w:p>
            <w:r>
              <w:t>aus der FDPG-Terminologie aufgelöst und können daher von den im Export enthaltenen Bezeichnungen abweichen; Codes und Systeme stammen unverändert aus dem Export</w:t>
            </w:r>
          </w:p>
        </w:tc>
      </w:tr>
      <w:tr>
        <w:tc>
          <w:tcPr>
            <w:tcW w:type="dxa" w:w="4320"/>
          </w:tcPr>
          <w:p>
            <w:r>
              <w:t>→ Ausschluss</w:t>
            </w:r>
          </w:p>
        </w:tc>
        <w:tc>
          <w:tcPr>
            <w:tcW w:type="dxa" w:w="4320"/>
          </w:tcPr>
          <w:p>
            <w:r>
              <w:t>Zutreffen dieser Bedingung schließt die Person aus</w:t>
            </w:r>
          </w:p>
        </w:tc>
      </w:tr>
    </w:tbl>
    <w:p>
      <w:r>
        <w:rPr>
          <w:i/>
        </w:rPr>
        <w:t>Für folgende Codes lag keine geprüfte deutsche Bezeichnung vor; angezeigt wird die im Export enthaltene Bezeichnung: diagnosesicherheit (mii.abide)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