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Liberation Serif" w:hAnsi="Liberation Serif" w:cs="Liberation Serif"/>
        </w:rPr>
      </w:pPr>
      <w:r>
        <w:rPr>
          <w:rFonts w:ascii="Liberation Serif" w:hAnsi="Liberation Serif" w:eastAsia="Liberation Serif" w:cs="Liberation Serif"/>
          <w:b/>
          <w:bCs/>
          <w:sz w:val="28"/>
        </w:rPr>
        <w:t xml:space="preserve">TRANSBORDER FREIGHT DATA ANALYSIS</w:t>
      </w:r>
      <w:r>
        <w:rPr>
          <w:rFonts w:ascii="Liberation Serif" w:hAnsi="Liberation Serif" w:eastAsia="Liberation Serif" w:cs="Liberation Serif"/>
        </w:rPr>
      </w:r>
      <w:r>
        <w:rPr>
          <w:rFonts w:ascii="Liberation Serif" w:hAnsi="Liberation Serif" w:cs="Liberation Serif"/>
        </w:rPr>
      </w:r>
    </w:p>
    <w:p>
      <w:pPr>
        <w:pBdr/>
        <w:spacing/>
        <w:ind/>
        <w:jc w:val="center"/>
        <w:rPr>
          <w:rFonts w:ascii="Liberation Serif" w:hAnsi="Liberation Serif" w:cs="Liberation Serif"/>
          <w:highlight w:val="none"/>
        </w:rPr>
      </w:pPr>
      <w:r>
        <w:rPr>
          <w:rFonts w:ascii="Liberation Serif" w:hAnsi="Liberation Serif" w:eastAsia="Liberation Serif" w:cs="Liberation Serif"/>
          <w:sz w:val="28"/>
        </w:rPr>
        <w:t xml:space="preserve">Ebenezer Omari– </w:t>
      </w:r>
      <w:r>
        <w:rPr>
          <w:rStyle w:val="947"/>
          <w:rFonts w:ascii="Liberation Serif" w:hAnsi="Liberation Serif" w:eastAsia="Liberation Serif" w:cs="Liberation Serif"/>
          <w:sz w:val="28"/>
        </w:rPr>
      </w:r>
      <w:hyperlink r:id="rId9" w:tooltip="http://omarieben7@gmail.com" w:history="1">
        <w:r>
          <w:rPr>
            <w:rStyle w:val="947"/>
            <w:rFonts w:ascii="Liberation Serif" w:hAnsi="Liberation Serif" w:eastAsia="Liberation Serif" w:cs="Liberation Serif"/>
            <w:sz w:val="28"/>
          </w:rPr>
          <w:t xml:space="preserve">omarieben7@gmail.com</w:t>
        </w:r>
        <w:r>
          <w:rPr>
            <w:rStyle w:val="947"/>
            <w:rFonts w:ascii="Liberation Serif" w:hAnsi="Liberation Serif" w:eastAsia="Liberation Serif" w:cs="Liberation Serif"/>
          </w:rPr>
        </w:r>
        <w:r>
          <w:rPr>
            <w:rStyle w:val="947"/>
            <w:rFonts w:ascii="Liberation Serif" w:hAnsi="Liberation Serif" w:eastAsia="Liberation Serif" w:cs="Liberation Serif"/>
          </w:rPr>
        </w:r>
      </w:hyperlink>
      <w:r>
        <w:rPr>
          <w:rFonts w:ascii="Liberation Serif" w:hAnsi="Liberation Serif" w:eastAsia="Liberation Serif" w:cs="Liberation Serif"/>
          <w:highlight w:val="none"/>
        </w:rPr>
      </w:r>
      <w:r>
        <w:rPr>
          <w:rFonts w:ascii="Liberation Serif" w:hAnsi="Liberation Serif" w:cs="Liberation Serif"/>
          <w:highlight w:val="none"/>
        </w:rPr>
      </w:r>
    </w:p>
    <w:p>
      <w:pPr>
        <w:pBdr/>
        <w:spacing/>
        <w:ind/>
        <w:jc w:val="left"/>
        <w:rPr>
          <w:rFonts w:ascii="Liberation Serif" w:hAnsi="Liberation Serif" w:cs="Liberation Serif"/>
          <w:sz w:val="28"/>
        </w:rPr>
      </w:pPr>
      <w:r>
        <w:rPr>
          <w:rFonts w:ascii="Liberation Serif" w:hAnsi="Liberation Serif" w:eastAsia="Liberation Serif" w:cs="Liberation Serif"/>
          <w:sz w:val="28"/>
        </w:rPr>
      </w:r>
      <w:r>
        <w:rPr>
          <w:rFonts w:ascii="Liberation Serif" w:hAnsi="Liberation Serif" w:eastAsia="Liberation Serif" w:cs="Liberation Serif"/>
          <w:sz w:val="28"/>
        </w:rPr>
      </w:r>
      <w:r>
        <w:rPr>
          <w:rFonts w:ascii="Liberation Serif" w:hAnsi="Liberation Serif" w:cs="Liberation Serif"/>
          <w:sz w:val="28"/>
        </w:rPr>
      </w:r>
    </w:p>
    <w:p>
      <w:pPr>
        <w:pStyle w:val="942"/>
        <w:pBdr/>
        <w:spacing/>
        <w:ind/>
        <w:jc w:val="left"/>
        <w:rPr>
          <w:rFonts w:ascii="Liberation Serif" w:hAnsi="Liberation Serif" w:cs="Liberation Serif"/>
        </w:rPr>
      </w:pPr>
      <w:r>
        <w:rPr>
          <w:rFonts w:ascii="Liberation Serif" w:hAnsi="Liberation Serif" w:eastAsia="Liberation Serif" w:cs="Liberation Serif"/>
          <w:sz w:val="32"/>
        </w:rPr>
        <w:t xml:space="preserve">Introduction</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This document outlines the analysis conducted on the </w:t>
      </w:r>
      <w:r>
        <w:rPr>
          <w:rFonts w:ascii="Liberation Serif" w:hAnsi="Liberation Serif" w:eastAsia="Liberation Serif" w:cs="Liberation Serif"/>
        </w:rPr>
        <w:t xml:space="preserve">Transborder</w:t>
      </w:r>
      <w:r>
        <w:rPr>
          <w:rFonts w:ascii="Liberation Serif" w:hAnsi="Liberation Serif" w:eastAsia="Liberation Serif" w:cs="Liberation Serif"/>
        </w:rPr>
        <w:t xml:space="preserve"> Freight data provided by the Bureau of Transportation Statistics (BTS). </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primary objectives were to:</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uncover freight movement patterns.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identify inefficiencies.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analyze environmental impacts.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safety and</w:t>
      </w:r>
      <w:r>
        <w:rPr>
          <w:rFonts w:ascii="Liberation Serif" w:hAnsi="Liberation Serif" w:eastAsia="Liberation Serif" w:cs="Liberation Serif"/>
        </w:rPr>
        <w:t xml:space="preserve"> risk assessment.</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economic disruptions.</w:t>
      </w:r>
      <w:r>
        <w:rPr>
          <w:rFonts w:ascii="Liberation Serif" w:hAnsi="Liberation Serif" w:eastAsia="Liberation Serif" w:cs="Liberation Serif"/>
        </w:rPr>
      </w:r>
      <w:r>
        <w:rPr>
          <w:rFonts w:ascii="Liberation Serif" w:hAnsi="Liberation Serif" w:cs="Liberation Serif"/>
        </w:rPr>
      </w:r>
    </w:p>
    <w:p>
      <w:pPr>
        <w:pStyle w:val="953"/>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propose actionable recommendations to improve cross-border freight transportation.</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b w:val="0"/>
          <w:bCs w:val="0"/>
        </w:rPr>
        <w:t xml:space="preserve">Key Analytical Questions</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are the top modes of transportation by freight volume and value?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How does freight movement vary across states and countries?</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is the trend of freight charges over time?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Which </w:t>
      </w:r>
      <w:r>
        <w:rPr>
          <w:rStyle w:val="951"/>
          <w:rFonts w:ascii="Liberation Serif" w:hAnsi="Liberation Serif" w:eastAsia="Liberation Serif" w:cs="Liberation Serif"/>
          <w:b w:val="0"/>
          <w:bCs w:val="0"/>
        </w:rPr>
        <w:t xml:space="preserve">state contributes</w:t>
      </w:r>
      <w:r>
        <w:rPr>
          <w:rStyle w:val="951"/>
          <w:rFonts w:ascii="Liberation Serif" w:hAnsi="Liberation Serif" w:eastAsia="Liberation Serif" w:cs="Liberation Serif"/>
          <w:b w:val="0"/>
          <w:bCs w:val="0"/>
        </w:rPr>
        <w:t xml:space="preserve"> the most to freight </w:t>
      </w:r>
      <w:r>
        <w:rPr>
          <w:rStyle w:val="951"/>
          <w:rFonts w:ascii="Liberation Serif" w:hAnsi="Liberation Serif" w:eastAsia="Liberation Serif" w:cs="Liberation Serif"/>
          <w:b w:val="0"/>
          <w:bCs w:val="0"/>
        </w:rPr>
        <w:t xml:space="preserve">weight?</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Which country </w:t>
      </w:r>
      <w:r>
        <w:rPr>
          <w:rStyle w:val="951"/>
          <w:rFonts w:ascii="Liberation Serif" w:hAnsi="Liberation Serif" w:eastAsia="Liberation Serif" w:cs="Liberation Serif"/>
          <w:b w:val="0"/>
          <w:bCs w:val="0"/>
        </w:rPr>
        <w:t xml:space="preserve">contributes</w:t>
      </w:r>
      <w:r>
        <w:rPr>
          <w:rStyle w:val="951"/>
          <w:rFonts w:ascii="Liberation Serif" w:hAnsi="Liberation Serif" w:eastAsia="Liberation Serif" w:cs="Liberation Serif"/>
          <w:b w:val="0"/>
          <w:bCs w:val="0"/>
        </w:rPr>
        <w:t xml:space="preserve"> the most to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r>
      <w:r>
        <w:t xml:space="preserve">How does the trade volume differ between  Canadian provinces and US States over the past 4 years?</w:t>
      </w:r>
      <w:r>
        <w:rPr>
          <w:rStyle w:val="951"/>
          <w:rFonts w:ascii="Liberation Serif" w:hAnsi="Liberation Serif" w:eastAsia="Liberation Serif" w:cs="Liberation Serif"/>
          <w:b w:val="0"/>
          <w:bCs w:val="0"/>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What is the correlation between Freight Value, Shipment Weight and Freight Charges for each year from 2020 to 2024?</w:t>
      </w:r>
      <w:r>
        <w:rPr>
          <w:rFonts w:ascii="Liberation Serif" w:hAnsi="Liberation Serif" w:eastAsia="Liberation Serif" w:cs="Liberation Serif"/>
        </w:rPr>
      </w:r>
      <w:r>
        <w:rPr>
          <w:rFonts w:ascii="Liberation Serif" w:hAnsi="Liberation Serif" w:cs="Liberation Serif"/>
        </w:rPr>
      </w:r>
    </w:p>
    <w:p>
      <w:pPr>
        <w:pStyle w:val="953"/>
        <w:numPr>
          <w:ilvl w:val="0"/>
          <w:numId w:val="5"/>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How has the total freight value changed over the years from 2020 to 2024?</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709"/>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CRISP-DM Framework</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analysis followed the CRISP-DM methodology, which includes the following stages: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1. Business Understanding</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objectives were </w:t>
      </w:r>
      <w:r>
        <w:rPr>
          <w:rFonts w:ascii="Liberation Serif" w:hAnsi="Liberation Serif" w:eastAsia="Liberation Serif" w:cs="Liberation Serif"/>
        </w:rPr>
        <w:t xml:space="preserve">defined </w:t>
      </w:r>
      <w:r>
        <w:rPr>
          <w:rFonts w:ascii="Liberation Serif" w:hAnsi="Liberation Serif" w:eastAsia="Liberation Serif" w:cs="Liberation Serif"/>
        </w:rPr>
        <w:t xml:space="preserve">and the above analytical questions were formulated to guide the analysis process.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2. Data Understanding</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dataset consisted of 5,242,875 records and 14 variables. Key variables included:</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TRDTYPE</w:t>
      </w:r>
      <w:r>
        <w:rPr>
          <w:rFonts w:ascii="Liberation Serif" w:hAnsi="Liberation Serif" w:eastAsia="Liberation Serif" w:cs="Liberation Serif"/>
        </w:rPr>
        <w:t xml:space="preserve">: Trade type.</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USASTATE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CANPROV</w:t>
      </w:r>
      <w:r>
        <w:rPr>
          <w:rFonts w:ascii="Liberation Serif" w:hAnsi="Liberation Serif" w:eastAsia="Liberation Serif" w:cs="Liberation Serif"/>
        </w:rPr>
        <w:t xml:space="preserve">: Regions involved in freight movement.</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VALUE</w:t>
      </w:r>
      <w:r>
        <w:rPr>
          <w:rFonts w:ascii="Liberation Serif" w:hAnsi="Liberation Serif" w:eastAsia="Liberation Serif" w:cs="Liberation Serif"/>
        </w:rPr>
        <w:t xml:space="preserve">: Value of goods in USD.</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SHIPWT</w:t>
      </w:r>
      <w:r>
        <w:rPr>
          <w:rFonts w:ascii="Liberation Serif" w:hAnsi="Liberation Serif" w:eastAsia="Liberation Serif" w:cs="Liberation Serif"/>
        </w:rPr>
        <w:t xml:space="preserve">: Shipping weight.</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FREIGHT_CHARGES</w:t>
      </w:r>
      <w:r>
        <w:rPr>
          <w:rFonts w:ascii="Liberation Serif" w:hAnsi="Liberation Serif" w:eastAsia="Liberation Serif" w:cs="Liberation Serif"/>
        </w:rPr>
        <w:t xml:space="preserve">: Associated transportation costs.</w:t>
      </w:r>
      <w:r>
        <w:rPr>
          <w:rFonts w:ascii="Liberation Serif" w:hAnsi="Liberation Serif" w:eastAsia="Liberation Serif" w:cs="Liberation Serif"/>
        </w:rPr>
      </w:r>
      <w:r>
        <w:rPr>
          <w:rFonts w:ascii="Liberation Serif" w:hAnsi="Liberation Serif" w:cs="Liberation Serif"/>
        </w:rPr>
      </w:r>
    </w:p>
    <w:p>
      <w:pPr>
        <w:pStyle w:val="953"/>
        <w:numPr>
          <w:ilvl w:val="0"/>
          <w:numId w:val="3"/>
        </w:numPr>
        <w:pBdr/>
        <w:tabs>
          <w:tab w:val="left" w:leader="none" w:pos="709"/>
        </w:tabs>
        <w:spacing/>
        <w:ind/>
        <w:jc w:val="left"/>
        <w:rPr>
          <w:rFonts w:ascii="Liberation Serif" w:hAnsi="Liberation Serif" w:cs="Liberation Serif"/>
        </w:rPr>
      </w:pPr>
      <w:r>
        <w:rPr>
          <w:rFonts w:ascii="Liberation Serif" w:hAnsi="Liberation Serif" w:cs="Liberation Serif"/>
          <w:highlight w:val="none"/>
        </w:rPr>
        <w:t xml:space="preserve">DISAGMOT:</w:t>
      </w:r>
      <w:r>
        <w:rPr>
          <w:rFonts w:ascii="Liberation Serif" w:hAnsi="Liberation Serif" w:cs="Liberation Serif"/>
          <w:highlight w:val="none"/>
        </w:rPr>
        <w:t xml:space="preserve"> </w:t>
      </w:r>
      <w:r>
        <w:rPr>
          <w:rFonts w:ascii="Liberation Serif" w:hAnsi="Liberation Serif" w:cs="Liberation Serif"/>
          <w:highlight w:val="none"/>
        </w:rPr>
        <w:t xml:space="preserve">Mode of Transportation</w:t>
      </w:r>
      <w:r>
        <w:rPr>
          <w:rFonts w:ascii="Liberation Serif" w:hAnsi="Liberation Serif" w:cs="Liberation Serif"/>
          <w:highlight w:val="none"/>
        </w:rPr>
      </w:r>
      <w:r>
        <w:rPr>
          <w:rFonts w:ascii="Liberation Serif" w:hAnsi="Liberation Serif" w:cs="Liberation Serif"/>
          <w:highlight w:val="none"/>
        </w:rPr>
      </w:r>
    </w:p>
    <w:p>
      <w:pPr>
        <w:pStyle w:val="953"/>
        <w:numPr>
          <w:ilvl w:val="0"/>
          <w:numId w:val="3"/>
        </w:numPr>
        <w:pBdr/>
        <w:tabs>
          <w:tab w:val="left" w:leader="none" w:pos="709"/>
        </w:tabs>
        <w:spacing/>
        <w:ind/>
        <w:jc w:val="left"/>
        <w:rPr>
          <w:rFonts w:ascii="Liberation Serif" w:hAnsi="Liberation Serif" w:cs="Liberation Serif"/>
        </w:rPr>
      </w:pPr>
      <w:r>
        <w:rPr>
          <w:rFonts w:ascii="Liberation Serif" w:hAnsi="Liberation Serif" w:cs="Liberation Serif"/>
          <w:highlight w:val="none"/>
        </w:rPr>
        <w:t xml:space="preserve">COUNTRY</w:t>
      </w:r>
      <w:r>
        <w:rPr>
          <w:rFonts w:ascii="Liberation Serif" w:hAnsi="Liberation Serif" w:cs="Liberation Serif"/>
          <w:highlight w:val="none"/>
        </w:rPr>
      </w:r>
    </w:p>
    <w:p>
      <w:pPr>
        <w:pStyle w:val="953"/>
        <w:numPr>
          <w:ilvl w:val="0"/>
          <w:numId w:val="3"/>
        </w:numPr>
        <w:pBdr/>
        <w:tabs>
          <w:tab w:val="left" w:leader="none" w:pos="709"/>
        </w:tabs>
        <w:spacing/>
        <w:ind/>
        <w:jc w:val="left"/>
        <w:rPr>
          <w:rFonts w:ascii="Liberation Serif" w:hAnsi="Liberation Serif" w:cs="Liberation Serif"/>
        </w:rPr>
      </w:pPr>
      <w:r>
        <w:rPr>
          <w:rStyle w:val="950"/>
          <w:rFonts w:ascii="Liberation Serif" w:hAnsi="Liberation Serif" w:eastAsia="Liberation Serif" w:cs="Liberation Serif"/>
        </w:rPr>
        <w:t xml:space="preserve">MONTH</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YEAR</w:t>
      </w:r>
      <w:r>
        <w:rPr>
          <w:rFonts w:ascii="Liberation Serif" w:hAnsi="Liberation Serif" w:eastAsia="Liberation Serif" w:cs="Liberation Serif"/>
        </w:rPr>
        <w:t xml:space="preserve">: Temporal attributes.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dataset covered multiple years and regions, with data on road, rail, air sand water transport modes.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Summary statistics across the dataset (2020 – 2024) revealed: </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Value:</w:t>
      </w:r>
      <w:r>
        <w:rPr>
          <w:rFonts w:ascii="Liberation Serif" w:hAnsi="Liberation Serif" w:eastAsia="Liberation Serif" w:cs="Liberation Serif"/>
        </w:rPr>
        <w:t xml:space="preserve"> The cumulative value of all freight transactions across the </w:t>
      </w:r>
      <w:r>
        <w:rPr>
          <w:rFonts w:ascii="Liberation Serif" w:hAnsi="Liberation Serif" w:eastAsia="Liberation Serif" w:cs="Liberation Serif"/>
        </w:rPr>
        <w:t xml:space="preserve">data set</w:t>
      </w:r>
      <w:r>
        <w:rPr>
          <w:rFonts w:ascii="Liberation Serif" w:hAnsi="Liberation Serif" w:eastAsia="Liberation Serif" w:cs="Liberation Serif"/>
        </w:rPr>
        <w:t xml:space="preserve"> is </w:t>
      </w:r>
      <w:r>
        <w:rPr>
          <w:rStyle w:val="951"/>
          <w:rFonts w:ascii="Liberation Serif" w:hAnsi="Liberation Serif" w:eastAsia="Liberation Serif" w:cs="Liberation Serif"/>
        </w:rPr>
        <w:t xml:space="preserve">15.15 trillion USD</w:t>
      </w:r>
      <w:r>
        <w:rPr>
          <w:rFonts w:ascii="Liberation Serif" w:hAnsi="Liberation Serif" w:eastAsia="Liberation Serif" w:cs="Liberation Serif"/>
        </w:rPr>
        <w:t xml:space="preserve">. This metric highlights the enormous scale of transborder freight in terms of monetary value.</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Shipment Weight:</w:t>
      </w:r>
      <w:r>
        <w:rPr>
          <w:rFonts w:ascii="Liberation Serif" w:hAnsi="Liberation Serif" w:eastAsia="Liberation Serif" w:cs="Liberation Serif"/>
        </w:rPr>
        <w:t xml:space="preserve"> The total shipping weight of goods transported is </w:t>
      </w:r>
      <w:r>
        <w:rPr>
          <w:rStyle w:val="951"/>
          <w:rFonts w:ascii="Liberation Serif" w:hAnsi="Liberation Serif" w:eastAsia="Liberation Serif" w:cs="Liberation Serif"/>
        </w:rPr>
        <w:t xml:space="preserve">6.24 trillion units</w:t>
      </w:r>
      <w:r>
        <w:rPr>
          <w:rFonts w:ascii="Liberation Serif" w:hAnsi="Liberation Serif" w:eastAsia="Liberation Serif" w:cs="Liberation Serif"/>
        </w:rPr>
        <w:t xml:space="preserve">. This gave an idea of the physical scale of goods being moved.</w:t>
      </w:r>
      <w:r>
        <w:rPr>
          <w:rFonts w:ascii="Liberation Serif" w:hAnsi="Liberation Serif" w:eastAsia="Liberation Serif" w:cs="Liberation Serif"/>
        </w:rPr>
      </w:r>
      <w:r>
        <w:rPr>
          <w:rFonts w:ascii="Liberation Serif" w:hAnsi="Liberation Serif" w:cs="Liberation Serif"/>
        </w:rPr>
      </w:r>
    </w:p>
    <w:p>
      <w:pPr>
        <w:pStyle w:val="953"/>
        <w:numPr>
          <w:ilvl w:val="0"/>
          <w:numId w:val="6"/>
        </w:numPr>
        <w:pBdr/>
        <w:tabs>
          <w:tab w:val="left"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Total Freight Charges:</w:t>
      </w:r>
      <w:r>
        <w:rPr>
          <w:rFonts w:ascii="Liberation Serif" w:hAnsi="Liberation Serif" w:eastAsia="Liberation Serif" w:cs="Liberation Serif"/>
        </w:rPr>
        <w:t xml:space="preserve"> The total freight charges across all transactions amount to </w:t>
      </w:r>
      <w:r>
        <w:rPr>
          <w:rStyle w:val="951"/>
          <w:rFonts w:ascii="Liberation Serif" w:hAnsi="Liberation Serif" w:eastAsia="Liberation Serif" w:cs="Liberation Serif"/>
        </w:rPr>
        <w:t xml:space="preserve">200.4 billion USD</w:t>
      </w:r>
      <w:r>
        <w:rPr>
          <w:rFonts w:ascii="Liberation Serif" w:hAnsi="Liberation Serif" w:eastAsia="Liberation Serif" w:cs="Liberation Serif"/>
        </w:rPr>
        <w:t xml:space="preserve">, showing the financial cost of transportation.</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3. Data Preparation</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Empty values in columns such as </w:t>
      </w:r>
      <w:r>
        <w:rPr>
          <w:rStyle w:val="950"/>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0"/>
          <w:rFonts w:ascii="Liberation Serif" w:hAnsi="Liberation Serif" w:eastAsia="Liberation Serif" w:cs="Liberation Serif"/>
        </w:rPr>
        <w:t xml:space="preserve">CANPROV, DF</w:t>
      </w:r>
      <w:r>
        <w:rPr>
          <w:rFonts w:ascii="Liberation Serif" w:hAnsi="Liberation Serif" w:eastAsia="Liberation Serif" w:cs="Liberation Serif"/>
        </w:rPr>
        <w:t xml:space="preserve"> were identified and addressed.</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The data was cleaned and aggregated to provide meaningful insights </w:t>
      </w:r>
      <w:r>
        <w:rPr>
          <w:rFonts w:ascii="Liberation Serif" w:hAnsi="Liberation Serif" w:eastAsia="Liberation Serif" w:cs="Liberation Serif"/>
        </w:rPr>
        <w:t xml:space="preserve">into</w:t>
      </w:r>
      <w:r>
        <w:rPr>
          <w:rFonts w:ascii="Liberation Serif" w:hAnsi="Liberation Serif" w:eastAsia="Liberation Serif" w:cs="Liberation Serif"/>
        </w:rPr>
        <w:t xml:space="preserve"> state, country and mode-of-transport levels.</w:t>
      </w:r>
      <w:r>
        <w:rPr>
          <w:rFonts w:ascii="Liberation Serif" w:hAnsi="Liberation Serif" w:eastAsia="Liberation Serif" w:cs="Liberation Serif"/>
        </w:rPr>
      </w:r>
      <w:r>
        <w:rPr>
          <w:rFonts w:ascii="Liberation Serif" w:hAnsi="Liberation Serif" w:cs="Liberation Serif"/>
        </w:rPr>
      </w:r>
    </w:p>
    <w:p>
      <w:pPr>
        <w:pStyle w:val="953"/>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Converting categorical and numerical variables to appropriate data types.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t xml:space="preserve">4. Modelling and Evaluation</w: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b w:val="0"/>
          <w:bCs w:val="0"/>
        </w:rPr>
      </w:pPr>
      <w:r>
        <w:rPr>
          <w:rFonts w:ascii="Liberation Serif" w:hAnsi="Liberation Serif" w:eastAsia="Liberation Serif" w:cs="Liberation Serif"/>
          <w:b w:val="0"/>
          <w:bCs w:val="0"/>
        </w:rPr>
        <w:t xml:space="preserve">Key Findings from the analytical questions:</w:t>
      </w:r>
      <w:r>
        <w:rPr>
          <w:rFonts w:ascii="Liberation Serif" w:hAnsi="Liberation Serif" w:eastAsia="Liberation Serif" w:cs="Liberation Serif"/>
          <w:b w:val="0"/>
          <w:bCs w:val="0"/>
        </w:rPr>
      </w:r>
      <w:r>
        <w:rPr>
          <w:rFonts w:ascii="Liberation Serif" w:hAnsi="Liberation Serif" w:cs="Liberation Serif"/>
          <w:b w:val="0"/>
          <w:bCs w:val="0"/>
        </w:rPr>
      </w:r>
      <w:r>
        <w:rPr>
          <w:rFonts w:ascii="Liberation Serif" w:hAnsi="Liberation Serif" w:eastAsia="Liberation Serif" w:cs="Liberation Serif"/>
        </w:rPr>
      </w:r>
      <w:r>
        <w:rPr>
          <w:rStyle w:val="951"/>
          <w:rFonts w:ascii="Liberation Serif" w:hAnsi="Liberation Serif" w:eastAsia="Liberation Serif" w:cs="Liberation Serif"/>
        </w:rPr>
      </w:r>
      <w:r>
        <w:rPr>
          <w:rStyle w:val="951"/>
          <w:rFonts w:ascii="Liberation Serif" w:hAnsi="Liberation Serif" w:cs="Liberation Serif"/>
        </w:rPr>
      </w:r>
      <w:r>
        <w:rPr>
          <w:rFonts w:ascii="Liberation Serif" w:hAnsi="Liberation Serif" w:cs="Liberation Serif"/>
          <w:b w:val="0"/>
          <w:bCs w:val="0"/>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3152" behindDoc="0" locked="0" layoutInCell="0" allowOverlap="1">
                <wp:simplePos x="0" y="0"/>
                <wp:positionH relativeFrom="column">
                  <wp:posOffset>-47625</wp:posOffset>
                </wp:positionH>
                <wp:positionV relativeFrom="paragraph">
                  <wp:posOffset>1177925</wp:posOffset>
                </wp:positionV>
                <wp:extent cx="6120130" cy="225425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r/>
                      </pic:nvPicPr>
                      <pic:blipFill>
                        <a:blip r:embed="rId10"/>
                        <a:stretch/>
                      </pic:blipFill>
                      <pic:spPr bwMode="auto">
                        <a:xfrm>
                          <a:off x="0" y="0"/>
                          <a:ext cx="6120130" cy="2254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33152;o:allowoverlap:true;o:allowincell:false;mso-position-horizontal-relative:text;margin-left:-3.75pt;mso-position-horizontal:absolute;mso-position-vertical-relative:text;margin-top:92.75pt;mso-position-vertical:absolute;width:481.90pt;height:177.50pt;mso-wrap-distance-left:0.00pt;mso-wrap-distance-top:0.00pt;mso-wrap-distance-right:0.00pt;mso-wrap-distance-bottom:0.00pt;z-index:1;" stroked="false">
                <w10:wrap type="square"/>
                <v:imagedata r:id="rId10" o:title=""/>
                <o:lock v:ext="edit" rotation="t"/>
              </v:shape>
            </w:pict>
          </mc:Fallback>
        </mc:AlternateContent>
      </w:r>
      <w:r>
        <w:rPr>
          <w:rStyle w:val="951"/>
          <w:rFonts w:ascii="Liberation Serif" w:hAnsi="Liberation Serif" w:eastAsia="Liberation Serif" w:cs="Liberation Serif"/>
        </w:rPr>
        <w:t xml:space="preserve">What are the top modes of transportation by freight volume and value?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bar chart below shows the distribution of freight value (in millions of USD) by transportation mode for each year. Each mode is represented by a distinct </w:t>
      </w:r>
      <w:r>
        <w:rPr>
          <w:rFonts w:ascii="Liberation Serif" w:hAnsi="Liberation Serif" w:eastAsia="Liberation Serif" w:cs="Liberation Serif"/>
        </w:rPr>
        <w:t xml:space="preserve">colour</w:t>
      </w:r>
      <w:r>
        <w:rPr>
          <w:rFonts w:ascii="Liberation Serif" w:hAnsi="Liberation Serif" w:eastAsia="Liberation Serif" w:cs="Liberation Serif"/>
        </w:rPr>
        <w:t xml:space="preserve">:</w:t>
      </w:r>
      <w:r>
        <w:rPr>
          <w:rFonts w:ascii="Liberation Serif" w:hAnsi="Liberation Serif" w:eastAsia="Liberation Serif" w:cs="Liberation Serif"/>
        </w:rPr>
      </w:r>
      <w:r>
        <w:rPr>
          <w:rFonts w:ascii="Liberation Serif" w:hAnsi="Liberation Serif" w:cs="Liberation Serif"/>
        </w:rPr>
      </w:r>
      <w:r>
        <w:rPr>
          <w:rFonts w:ascii="Liberation Serif" w:hAnsi="Liberation Serif" w:eastAsia="Liberation Serif" w:cs="Liberation Serif"/>
        </w:rPr>
      </w:r>
      <w:r>
        <w:rPr>
          <w:rStyle w:val="951"/>
          <w:rFonts w:ascii="Liberation Serif" w:hAnsi="Liberation Serif" w:eastAsia="Liberation Serif" w:cs="Liberation Serif"/>
        </w:rPr>
      </w:r>
      <w:r>
        <w:rPr>
          <w:rStyle w:val="951"/>
          <w:rFonts w:ascii="Liberation Serif" w:hAnsi="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Trucks dominate the freight value across most years, indicating their importance in domestic and regional transportation.</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Air transportation, while less significant in terms of value, consistently contributes a notable portion of the freight value, highlighting its role in high-value shipments.</w:t>
      </w:r>
      <w:r>
        <w:rPr>
          <w:rFonts w:ascii="Liberation Serif" w:hAnsi="Liberation Serif" w:eastAsia="Liberation Serif" w:cs="Liberation Serif"/>
        </w:rPr>
      </w:r>
      <w:r>
        <w:rPr>
          <w:rFonts w:ascii="Liberation Serif" w:hAnsi="Liberation Serif" w:cs="Liberation Serif"/>
        </w:rPr>
      </w:r>
    </w:p>
    <w:p>
      <w:pPr>
        <w:pStyle w:val="953"/>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Pipelines and vessels also contribute significantly, particularly for specific years where bulk commodities like oil or goods with high shipping requirements were involved.</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rPr>
        <w:t xml:space="preserve">What is the trend of freight charges over time?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rPr>
      </w:pPr>
      <w:r>
        <w:rPr>
          <w:rFonts w:ascii="Liberation Serif" w:hAnsi="Liberation Serif" w:eastAsia="Liberation Serif" w:cs="Liberation Serif"/>
          <w:b/>
          <w:bCs/>
        </w:rPr>
      </w:r>
      <w:r>
        <w:rPr>
          <w:rFonts w:ascii="Liberation Serif" w:hAnsi="Liberation Serif" w:eastAsia="Liberation Serif" w:cs="Liberation Serif"/>
          <w:b/>
          <w:bCs/>
        </w:rPr>
      </w:r>
      <w:r>
        <w:rPr>
          <w:rFonts w:ascii="Liberation Serif" w:hAnsi="Liberation Serif" w:cs="Liberation Serif"/>
          <w:b/>
          <w:bCs/>
        </w:rPr>
      </w:r>
    </w:p>
    <w:p>
      <w:pPr>
        <w:pStyle w:val="953"/>
        <w:pBdr/>
        <w:spacing/>
        <w:ind/>
        <w:jc w:val="left"/>
        <w:rPr>
          <w:rFonts w:ascii="Liberation Serif" w:hAnsi="Liberation Serif" w:cs="Liberation Serif"/>
          <w:b/>
          <w:bCs/>
        </w:rPr>
      </w:pPr>
      <w:r>
        <w:rPr>
          <w:rFonts w:ascii="Liberation Serif" w:hAnsi="Liberation Serif" w:eastAsia="Liberation Serif" w:cs="Liberation Serif"/>
          <w:b/>
          <w:bCs/>
        </w:rPr>
        <mc:AlternateContent>
          <mc:Choice Requires="wpg">
            <w:drawing>
              <wp:anchor xmlns:wp="http://schemas.openxmlformats.org/drawingml/2006/wordprocessingDrawing" xmlns:wp14="http://schemas.microsoft.com/office/word/2010/wordprocessingDrawing" distT="0" distB="0" distL="0" distR="0" simplePos="0" relativeHeight="251639296" behindDoc="0" locked="0" layoutInCell="0" allowOverlap="1">
                <wp:simplePos x="0" y="0"/>
                <wp:positionH relativeFrom="column">
                  <wp:align>center</wp:align>
                </wp:positionH>
                <wp:positionV relativeFrom="paragraph">
                  <wp:posOffset>635</wp:posOffset>
                </wp:positionV>
                <wp:extent cx="6120130" cy="2570480"/>
                <wp:effectExtent l="0" t="0" r="0" b="0"/>
                <wp:wrapSquare wrapText="bothSides"/>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pic:cNvPicPr>
                        <pic:nvPr/>
                      </pic:nvPicPr>
                      <pic:blipFill>
                        <a:blip r:embed="rId11"/>
                        <a:stretch/>
                      </pic:blipFill>
                      <pic:spPr bwMode="auto">
                        <a:xfrm>
                          <a:off x="0" y="0"/>
                          <a:ext cx="6120130" cy="257048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39296;o:allowoverlap:true;o:allowincell:false;mso-position-horizontal-relative:text;mso-position-horizontal:center;mso-position-vertical-relative:text;margin-top:0.05pt;mso-position-vertical:absolute;width:481.90pt;height:202.40pt;mso-wrap-distance-left:0.00pt;mso-wrap-distance-top:0.00pt;mso-wrap-distance-right:0.00pt;mso-wrap-distance-bottom:0.00pt;z-index:1;" stroked="false">
                <w10:wrap type="square"/>
                <v:imagedata r:id="rId11" o:title=""/>
                <o:lock v:ext="edit" rotation="t"/>
              </v:shape>
            </w:pict>
          </mc:Fallback>
        </mc:AlternateContent>
      </w:r>
      <w:r>
        <w:rPr>
          <w:rFonts w:ascii="Liberation Serif" w:hAnsi="Liberation Serif" w:eastAsia="Liberation Serif" w:cs="Liberation Serif"/>
          <w:b/>
          <w:bCs/>
        </w:rPr>
      </w:r>
      <w:r>
        <w:rPr>
          <w:rFonts w:ascii="Liberation Serif" w:hAnsi="Liberation Serif" w:cs="Liberation Serif"/>
          <w:b/>
          <w:bCs/>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Analysis for  2020:</w:t>
      </w:r>
      <w:r>
        <w:rPr>
          <w:rFonts w:ascii="Liberation Serif" w:hAnsi="Liberation Serif" w:eastAsia="Liberation Serif" w:cs="Liberation Serif"/>
        </w:rPr>
      </w:r>
      <w:r>
        <w:rPr>
          <w:rFonts w:ascii="Liberation Serif" w:hAnsi="Liberation Serif" w:cs="Liberation Serif"/>
        </w:rPr>
      </w:r>
    </w:p>
    <w:p>
      <w:pPr>
        <w:pStyle w:val="953"/>
        <w:numPr>
          <w:ilvl w:val="0"/>
          <w:numId w:val="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High Point:</w:t>
      </w:r>
      <w:r>
        <w:rPr>
          <w:rFonts w:ascii="Liberation Serif" w:hAnsi="Liberation Serif" w:eastAsia="Liberation Serif" w:cs="Liberation Serif"/>
        </w:rPr>
        <w:t xml:space="preserve"> Freight value peaks in </w:t>
      </w:r>
      <w:r>
        <w:rPr>
          <w:rStyle w:val="951"/>
          <w:rFonts w:ascii="Liberation Serif" w:hAnsi="Liberation Serif" w:eastAsia="Liberation Serif" w:cs="Liberation Serif"/>
        </w:rPr>
        <w:t xml:space="preserve">January</w:t>
      </w:r>
      <w:r>
        <w:rPr>
          <w:rFonts w:ascii="Liberation Serif" w:hAnsi="Liberation Serif" w:eastAsia="Liberation Serif" w:cs="Liberation Serif"/>
        </w:rPr>
        <w:t xml:space="preserve">, likely due to increased shipment demand before global COVID-19 lock downs.</w:t>
      </w:r>
      <w:r>
        <w:rPr>
          <w:rFonts w:ascii="Liberation Serif" w:hAnsi="Liberation Serif" w:eastAsia="Liberation Serif" w:cs="Liberation Serif"/>
        </w:rPr>
      </w:r>
      <w:r>
        <w:rPr>
          <w:rFonts w:ascii="Liberation Serif" w:hAnsi="Liberation Serif" w:cs="Liberation Serif"/>
        </w:rPr>
      </w:r>
    </w:p>
    <w:p>
      <w:pPr>
        <w:pStyle w:val="953"/>
        <w:numPr>
          <w:ilvl w:val="0"/>
          <w:numId w:val="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Style w:val="951"/>
          <w:rFonts w:ascii="Liberation Serif" w:hAnsi="Liberation Serif" w:eastAsia="Liberation Serif" w:cs="Liberation Serif"/>
          <w:b w:val="0"/>
          <w:bCs w:val="0"/>
        </w:rPr>
        <w:t xml:space="preserve"> Freight value dips in </w:t>
      </w:r>
      <w:r>
        <w:rPr>
          <w:rStyle w:val="951"/>
          <w:rFonts w:ascii="Liberation Serif" w:hAnsi="Liberation Serif" w:eastAsia="Liberation Serif" w:cs="Liberation Serif"/>
        </w:rPr>
        <w:t xml:space="preserve">May</w:t>
      </w:r>
      <w:r>
        <w:rPr>
          <w:rStyle w:val="951"/>
          <w:rFonts w:ascii="Liberation Serif" w:hAnsi="Liberation Serif" w:eastAsia="Liberation Serif" w:cs="Liberation Serif"/>
          <w:b w:val="0"/>
          <w:bCs w:val="0"/>
        </w:rPr>
        <w:t xml:space="preserve">, corresponding to the start of significant international shipping restrictions.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1344" behindDoc="0" locked="0" layoutInCell="0" allowOverlap="1">
                <wp:simplePos x="0" y="0"/>
                <wp:positionH relativeFrom="column">
                  <wp:align>center</wp:align>
                </wp:positionH>
                <wp:positionV relativeFrom="paragraph">
                  <wp:posOffset>635</wp:posOffset>
                </wp:positionV>
                <wp:extent cx="5669915" cy="2381250"/>
                <wp:effectExtent l="0" t="0" r="0" b="0"/>
                <wp:wrapSquare wrapText="bothSides"/>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pic:cNvPicPr>
                        <pic:nvPr/>
                      </pic:nvPicPr>
                      <pic:blipFill>
                        <a:blip r:embed="rId12"/>
                        <a:stretch/>
                      </pic:blipFill>
                      <pic:spPr bwMode="auto">
                        <a:xfrm>
                          <a:off x="0" y="0"/>
                          <a:ext cx="5669915" cy="2381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41344;o:allowoverlap:true;o:allowincell:false;mso-position-horizontal-relative:text;mso-position-horizontal:center;mso-position-vertical-relative:text;margin-top:0.05pt;mso-position-vertical:absolute;width:446.45pt;height:187.50pt;mso-wrap-distance-left:0.00pt;mso-wrap-distance-top:0.00pt;mso-wrap-distance-right:0.00pt;mso-wrap-distance-bottom:0.00pt;z-index:1;" stroked="false">
                <w10:wrap type="square"/>
                <v:imagedata r:id="rId12"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Analysis for 2021:</w:t>
      </w:r>
      <w:r>
        <w:rPr>
          <w:rFonts w:ascii="Liberation Serif" w:hAnsi="Liberation Serif" w:eastAsia="Liberation Serif" w:cs="Liberation Serif"/>
        </w:rPr>
      </w:r>
      <w:r>
        <w:rPr>
          <w:rFonts w:ascii="Liberation Serif" w:hAnsi="Liberation Serif" w:cs="Liberation Serif"/>
        </w:rPr>
      </w:r>
    </w:p>
    <w:p>
      <w:pPr>
        <w:pStyle w:val="953"/>
        <w:numPr>
          <w:ilvl w:val="0"/>
          <w:numId w:val="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High Point: April</w:t>
      </w:r>
      <w:r>
        <w:rPr>
          <w:rFonts w:ascii="Liberation Serif" w:hAnsi="Liberation Serif" w:eastAsia="Liberation Serif" w:cs="Liberation Serif"/>
        </w:rPr>
        <w:t xml:space="preserve"> has an unusually high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Style w:val="951"/>
          <w:rFonts w:ascii="Liberation Serif" w:hAnsi="Liberation Serif" w:eastAsia="Liberation Serif" w:cs="Liberation Serif"/>
          <w:b w:val="0"/>
          <w:bCs w:val="0"/>
        </w:rPr>
        <w:t xml:space="preserve"> </w:t>
      </w:r>
      <w:r>
        <w:rPr>
          <w:rStyle w:val="951"/>
          <w:rFonts w:ascii="Liberation Serif" w:hAnsi="Liberation Serif" w:eastAsia="Liberation Serif" w:cs="Liberation Serif"/>
        </w:rPr>
        <w:t xml:space="preserve">May, June</w:t>
      </w:r>
      <w:r>
        <w:rPr>
          <w:rStyle w:val="951"/>
          <w:rFonts w:ascii="Liberation Serif" w:hAnsi="Liberation Serif" w:eastAsia="Liberation Serif" w:cs="Liberation Serif"/>
        </w:rPr>
        <w:t xml:space="preserve"> and July</w:t>
      </w:r>
      <w:r>
        <w:rPr>
          <w:rStyle w:val="951"/>
          <w:rFonts w:ascii="Liberation Serif" w:hAnsi="Liberation Serif" w:eastAsia="Liberation Serif" w:cs="Liberation Serif"/>
          <w:b w:val="0"/>
          <w:bCs w:val="0"/>
        </w:rPr>
        <w:t xml:space="preserve"> recorded low freight values.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3392" behindDoc="0" locked="0" layoutInCell="0" allowOverlap="1">
                <wp:simplePos x="0" y="0"/>
                <wp:positionH relativeFrom="column">
                  <wp:posOffset>135255</wp:posOffset>
                </wp:positionH>
                <wp:positionV relativeFrom="paragraph">
                  <wp:posOffset>458470</wp:posOffset>
                </wp:positionV>
                <wp:extent cx="5849620" cy="2456815"/>
                <wp:effectExtent l="0" t="0" r="0" b="0"/>
                <wp:wrapSquare wrapText="bothSides"/>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pic:cNvPicPr>
                        <pic:nvPr/>
                      </pic:nvPicPr>
                      <pic:blipFill>
                        <a:blip r:embed="rId13"/>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43392;o:allowoverlap:true;o:allowincell:false;mso-position-horizontal-relative:text;margin-left:10.65pt;mso-position-horizontal:absolute;mso-position-vertical-relative:text;margin-top:36.10pt;mso-position-vertical:absolute;width:460.60pt;height:193.45pt;mso-wrap-distance-left:0.00pt;mso-wrap-distance-top:0.00pt;mso-wrap-distance-right:0.00pt;mso-wrap-distance-bottom:0.00pt;z-index:1;" stroked="false">
                <w10:wrap type="square"/>
                <v:imagedata r:id="rId13"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2022:</w:t>
      </w:r>
      <w:r>
        <w:rPr>
          <w:rFonts w:ascii="Liberation Serif" w:hAnsi="Liberation Serif" w:eastAsia="Liberation Serif" w:cs="Liberation Serif"/>
        </w:rPr>
      </w:r>
      <w:r>
        <w:rPr>
          <w:rFonts w:ascii="Liberation Serif" w:hAnsi="Liberation Serif" w:cs="Liberation Serif"/>
        </w:rPr>
      </w:r>
    </w:p>
    <w:p>
      <w:pPr>
        <w:pStyle w:val="953"/>
        <w:numPr>
          <w:ilvl w:val="0"/>
          <w:numId w:val="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April</w:t>
      </w:r>
      <w:r>
        <w:rPr>
          <w:rFonts w:ascii="Liberation Serif" w:hAnsi="Liberation Serif" w:eastAsia="Liberation Serif" w:cs="Liberation Serif"/>
        </w:rPr>
        <w:t xml:space="preserve"> exhibits a significant rise in freight value, possibly due to easing pandemic restrictions and a rebound in global trade.</w:t>
      </w:r>
      <w:r>
        <w:rPr>
          <w:rFonts w:ascii="Liberation Serif" w:hAnsi="Liberation Serif" w:eastAsia="Liberation Serif" w:cs="Liberation Serif"/>
        </w:rPr>
      </w:r>
      <w:r>
        <w:rPr>
          <w:rFonts w:ascii="Liberation Serif" w:hAnsi="Liberation Serif" w:cs="Liberation Serif"/>
        </w:rPr>
      </w:r>
    </w:p>
    <w:p>
      <w:pPr>
        <w:pStyle w:val="953"/>
        <w:numPr>
          <w:ilvl w:val="0"/>
          <w:numId w:val="9"/>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 June, July</w:t>
      </w:r>
      <w:r>
        <w:rPr>
          <w:rStyle w:val="951"/>
          <w:rFonts w:ascii="Liberation Serif" w:hAnsi="Liberation Serif" w:eastAsia="Liberation Serif" w:cs="Liberation Serif"/>
          <w:b w:val="0"/>
          <w:bCs w:val="0"/>
        </w:rPr>
        <w:t xml:space="preserve"> recorded low freight values, </w:t>
      </w:r>
      <w:r>
        <w:rPr>
          <w:rFonts w:ascii="Liberation Serif" w:hAnsi="Liberation Serif" w:eastAsia="Liberation Serif" w:cs="Liberation Serif"/>
        </w:rPr>
        <w:t xml:space="preserve">which might reflect the continuation of supply chain disruptions from 2021.</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5440" behindDoc="0" locked="0" layoutInCell="0" allowOverlap="1">
                <wp:simplePos x="0" y="0"/>
                <wp:positionH relativeFrom="column">
                  <wp:align>center</wp:align>
                </wp:positionH>
                <wp:positionV relativeFrom="paragraph">
                  <wp:posOffset>635</wp:posOffset>
                </wp:positionV>
                <wp:extent cx="5849620" cy="2456815"/>
                <wp:effectExtent l="0" t="0" r="0" b="0"/>
                <wp:wrapSquare wrapText="bothSides"/>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pic:cNvPicPr>
                        <pic:nvPr/>
                      </pic:nvPicPr>
                      <pic:blipFill>
                        <a:blip r:embed="rId14"/>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45440;o:allowoverlap:true;o:allowincell:false;mso-position-horizontal-relative:text;mso-position-horizontal:center;mso-position-vertical-relative:text;margin-top:0.05pt;mso-position-vertical:absolute;width:460.60pt;height:193.45pt;mso-wrap-distance-left:0.00pt;mso-wrap-distance-top:0.00pt;mso-wrap-distance-right:0.00pt;mso-wrap-distance-bottom:0.00pt;z-index:1;" stroked="false">
                <w10:wrap type="square"/>
                <v:imagedata r:id="rId14"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2023:</w:t>
      </w:r>
      <w:r>
        <w:rPr>
          <w:rFonts w:ascii="Liberation Serif" w:hAnsi="Liberation Serif" w:eastAsia="Liberation Serif" w:cs="Liberation Serif"/>
        </w:rPr>
      </w:r>
      <w:r>
        <w:rPr>
          <w:rFonts w:ascii="Liberation Serif" w:hAnsi="Liberation Serif" w:cs="Liberation Serif"/>
        </w:rPr>
      </w:r>
    </w:p>
    <w:p>
      <w:pPr>
        <w:pStyle w:val="953"/>
        <w:numPr>
          <w:ilvl w:val="0"/>
          <w:numId w:val="1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April</w:t>
      </w:r>
      <w:r>
        <w:rPr>
          <w:rFonts w:ascii="Liberation Serif" w:hAnsi="Liberation Serif" w:eastAsia="Liberation Serif" w:cs="Liberation Serif"/>
        </w:rPr>
        <w:t xml:space="preserve"> continues to have a high freight value, possibly indicating strong summer trade activity.</w:t>
      </w:r>
      <w:r>
        <w:rPr>
          <w:rFonts w:ascii="Liberation Serif" w:hAnsi="Liberation Serif" w:eastAsia="Liberation Serif" w:cs="Liberation Serif"/>
        </w:rPr>
      </w:r>
      <w:r>
        <w:rPr>
          <w:rFonts w:ascii="Liberation Serif" w:hAnsi="Liberation Serif" w:cs="Liberation Serif"/>
        </w:rPr>
      </w:r>
    </w:p>
    <w:p>
      <w:pPr>
        <w:pStyle w:val="953"/>
        <w:numPr>
          <w:ilvl w:val="0"/>
          <w:numId w:val="10"/>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 June, July</w:t>
      </w:r>
      <w:r>
        <w:rPr>
          <w:rStyle w:val="951"/>
          <w:rFonts w:ascii="Liberation Serif" w:hAnsi="Liberation Serif" w:eastAsia="Liberation Serif" w:cs="Liberation Serif"/>
          <w:b w:val="0"/>
          <w:bCs w:val="0"/>
        </w:rPr>
        <w:t xml:space="preserve"> recorded low freight values.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7488" behindDoc="0" locked="0" layoutInCell="0" allowOverlap="1">
                <wp:simplePos x="0" y="0"/>
                <wp:positionH relativeFrom="column">
                  <wp:posOffset>135255</wp:posOffset>
                </wp:positionH>
                <wp:positionV relativeFrom="paragraph">
                  <wp:posOffset>120650</wp:posOffset>
                </wp:positionV>
                <wp:extent cx="5849620" cy="2456815"/>
                <wp:effectExtent l="0" t="0" r="0" b="0"/>
                <wp:wrapSquare wrapText="bothSides"/>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pic:cNvPicPr>
                        <pic:nvPr/>
                      </pic:nvPicPr>
                      <pic:blipFill>
                        <a:blip r:embed="rId15"/>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47488;o:allowoverlap:true;o:allowincell:false;mso-position-horizontal-relative:text;margin-left:10.65pt;mso-position-horizontal:absolute;mso-position-vertical-relative:text;margin-top:9.50pt;mso-position-vertical:absolute;width:460.60pt;height:193.45pt;mso-wrap-distance-left:0.00pt;mso-wrap-distance-top:0.00pt;mso-wrap-distance-right:0.00pt;mso-wrap-distance-bottom:0.00pt;z-index:1;" stroked="false">
                <w10:wrap type="square"/>
                <v:imagedata r:id="rId15"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for 2024:</w:t>
      </w:r>
      <w:r>
        <w:rPr>
          <w:rFonts w:ascii="Liberation Serif" w:hAnsi="Liberation Serif" w:eastAsia="Liberation Serif" w:cs="Liberation Serif"/>
        </w:rPr>
      </w:r>
      <w:r>
        <w:rPr>
          <w:rFonts w:ascii="Liberation Serif" w:hAnsi="Liberation Serif" w:cs="Liberation Serif"/>
        </w:rPr>
      </w:r>
    </w:p>
    <w:p>
      <w:pPr>
        <w:pStyle w:val="953"/>
        <w:numPr>
          <w:ilvl w:val="0"/>
          <w:numId w:val="11"/>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Observation</w:t>
      </w:r>
      <w:r>
        <w:rPr>
          <w:rStyle w:val="951"/>
          <w:rFonts w:ascii="Liberation Serif" w:hAnsi="Liberation Serif" w:eastAsia="Liberation Serif" w:cs="Liberation Serif"/>
        </w:rPr>
        <w:t xml:space="preserve">:</w:t>
      </w:r>
      <w:r>
        <w:rPr>
          <w:rFonts w:ascii="Liberation Serif" w:hAnsi="Liberation Serif" w:eastAsia="Liberation Serif" w:cs="Liberation Serif"/>
        </w:rPr>
        <w:t xml:space="preserve"> </w:t>
      </w:r>
      <w:r>
        <w:rPr>
          <w:rStyle w:val="951"/>
          <w:rFonts w:ascii="Liberation Serif" w:hAnsi="Liberation Serif" w:eastAsia="Liberation Serif" w:cs="Liberation Serif"/>
        </w:rPr>
        <w:t xml:space="preserve">May</w:t>
      </w:r>
      <w:r>
        <w:rPr>
          <w:rStyle w:val="951"/>
          <w:rFonts w:ascii="Liberation Serif" w:hAnsi="Liberation Serif" w:eastAsia="Liberation Serif" w:cs="Liberation Serif"/>
        </w:rPr>
        <w:t xml:space="preserve">, June, July, August </w:t>
      </w:r>
      <w:r>
        <w:rPr>
          <w:rFonts w:ascii="Liberation Serif" w:hAnsi="Liberation Serif" w:eastAsia="Liberation Serif" w:cs="Liberation Serif"/>
        </w:rPr>
        <w:t xml:space="preserve">sees a notable increase.</w:t>
      </w:r>
      <w:r>
        <w:rPr>
          <w:rFonts w:ascii="Liberation Serif" w:hAnsi="Liberation Serif" w:eastAsia="Liberation Serif" w:cs="Liberation Serif"/>
        </w:rPr>
      </w:r>
      <w:r>
        <w:rPr>
          <w:rFonts w:ascii="Liberation Serif" w:hAnsi="Liberation Serif" w:cs="Liberation Serif"/>
        </w:rPr>
      </w:r>
    </w:p>
    <w:p>
      <w:pPr>
        <w:pStyle w:val="953"/>
        <w:numPr>
          <w:ilvl w:val="0"/>
          <w:numId w:val="1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Low Point:</w:t>
      </w:r>
      <w:r>
        <w:rPr>
          <w:rFonts w:ascii="Liberation Serif" w:hAnsi="Liberation Serif" w:eastAsia="Liberation Serif" w:cs="Liberation Serif"/>
        </w:rPr>
        <w:t xml:space="preserve"> Freight values are relatively low in </w:t>
      </w:r>
      <w:r>
        <w:rPr>
          <w:rStyle w:val="951"/>
          <w:rFonts w:ascii="Liberation Serif" w:hAnsi="Liberation Serif" w:eastAsia="Liberation Serif" w:cs="Liberation Serif"/>
        </w:rPr>
        <w:t xml:space="preserve">September.</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rPr>
        <w:t xml:space="preserve">The data reveals that freight values are influenced by seasonal patterns, economic events and unexpected global disruptions (e.g., COVID-19).</w:t>
      </w:r>
      <w:r>
        <w:rPr>
          <w:rFonts w:ascii="Liberation Serif" w:hAnsi="Liberation Serif" w:eastAsia="Liberation Serif" w:cs="Liberation Serif"/>
        </w:rPr>
      </w:r>
      <w:r>
        <w:rPr>
          <w:rFonts w:ascii="Liberation Serif" w:hAnsi="Liberation Serif" w:cs="Liberation Serif"/>
        </w:rPr>
      </w:r>
    </w:p>
    <w:p>
      <w:pPr>
        <w:pStyle w:val="953"/>
        <w:numPr>
          <w:ilvl w:val="0"/>
          <w:numId w:val="12"/>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2020 and 2021</w:t>
      </w:r>
      <w:r>
        <w:rPr>
          <w:rFonts w:ascii="Liberation Serif" w:hAnsi="Liberation Serif" w:eastAsia="Liberation Serif" w:cs="Liberation Serif"/>
        </w:rPr>
        <w:t xml:space="preserve"> exhibit clear impacts from the pandemic, while </w:t>
      </w:r>
      <w:r>
        <w:rPr>
          <w:rStyle w:val="951"/>
          <w:rFonts w:ascii="Liberation Serif" w:hAnsi="Liberation Serif" w:eastAsia="Liberation Serif" w:cs="Liberation Serif"/>
        </w:rPr>
        <w:t xml:space="preserve">2022 onward</w:t>
      </w:r>
      <w:r>
        <w:rPr>
          <w:rFonts w:ascii="Liberation Serif" w:hAnsi="Liberation Serif" w:eastAsia="Liberation Serif" w:cs="Liberation Serif"/>
        </w:rPr>
        <w:t xml:space="preserve"> shows recovery trends with occasional fluctuations tied to trade cycles.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709"/>
        </w:tabs>
        <w:spacing/>
        <w:ind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Which </w:t>
      </w:r>
      <w:r>
        <w:rPr>
          <w:rStyle w:val="951"/>
          <w:rFonts w:ascii="Liberation Serif" w:hAnsi="Liberation Serif" w:eastAsia="Liberation Serif" w:cs="Liberation Serif"/>
          <w:b/>
          <w:bCs/>
          <w:sz w:val="24"/>
        </w:rPr>
        <w:t xml:space="preserve">state contributes</w:t>
      </w:r>
      <w:r>
        <w:rPr>
          <w:rStyle w:val="951"/>
          <w:rFonts w:ascii="Liberation Serif" w:hAnsi="Liberation Serif" w:eastAsia="Liberation Serif" w:cs="Liberation Serif"/>
          <w:b/>
          <w:bCs/>
          <w:sz w:val="24"/>
        </w:rPr>
        <w:t xml:space="preserve"> the most to freight weight?</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inline xmlns:wp="http://schemas.openxmlformats.org/drawingml/2006/wordprocessingDrawing" distT="0" distB="0" distL="0" distR="0">
                <wp:extent cx="6120130" cy="261080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4432" name=""/>
                        <pic:cNvPicPr>
                          <a:picLocks noChangeAspect="1"/>
                        </pic:cNvPicPr>
                        <pic:nvPr/>
                      </pic:nvPicPr>
                      <pic:blipFill>
                        <a:blip r:embed="rId16"/>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81.90pt;height:205.58pt;mso-wrap-distance-left:0.00pt;mso-wrap-distance-top:0.00pt;mso-wrap-distance-right:0.00pt;mso-wrap-distance-bottom:0.00pt;z-index:1;" stroked="false">
                <v:imagedata r:id="rId16"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szCs w:val="28"/>
        </w:rPr>
        <w:t xml:space="preserve">Analysis for 2020</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The following bar chart illustrates the top 10 states contributing to freight weight in 2020:</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States like Los Angeles and California also feature prominently, likely due to their large populations and economic activity.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6643" name=""/>
                        <pic:cNvPicPr>
                          <a:picLocks noChangeAspect="1"/>
                        </pic:cNvPicPr>
                        <pic:nvPr/>
                      </pic:nvPicPr>
                      <pic:blipFill>
                        <a:blip r:embed="rId17"/>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81.90pt;height:205.58pt;mso-wrap-distance-left:0.00pt;mso-wrap-distance-top:0.00pt;mso-wrap-distance-right:0.00pt;mso-wrap-distance-bottom:0.00pt;z-index:1;" stroked="false">
                <v:imagedata r:id="rId17"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2021</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States like Los Angeles and California also feature prominently, likely due to their large populations and economic activity.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12830" name=""/>
                        <pic:cNvPicPr>
                          <a:picLocks noChangeAspect="1"/>
                        </pic:cNvPicPr>
                        <pic:nvPr/>
                      </pic:nvPicPr>
                      <pic:blipFill>
                        <a:blip r:embed="rId18"/>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81.90pt;height:205.58pt;mso-wrap-distance-left:0.00pt;mso-wrap-distance-top:0.00pt;mso-wrap-distance-right:0.00pt;mso-wrap-distance-bottom:0.00pt;z-index:1;" stroked="false">
                <v:imagedata r:id="rId18"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2022</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7656" name=""/>
                        <pic:cNvPicPr>
                          <a:picLocks noChangeAspect="1"/>
                        </pic:cNvPicPr>
                        <pic:nvPr/>
                      </pic:nvPicPr>
                      <pic:blipFill>
                        <a:blip r:embed="rId19"/>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81.90pt;height:205.58pt;mso-wrap-distance-left:0.00pt;mso-wrap-distance-top:0.00pt;mso-wrap-distance-right:0.00pt;mso-wrap-distance-bottom:0.00pt;z-index:1;" stroked="false">
                <v:imagedata r:id="rId19"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2023</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Texas leads by a significant margin, reflecting its central role in freight logistics, possibly due to its major ports and highways.</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4591" name=""/>
                        <pic:cNvPicPr>
                          <a:picLocks noChangeAspect="1"/>
                        </pic:cNvPicPr>
                        <pic:nvPr/>
                      </pic:nvPicPr>
                      <pic:blipFill>
                        <a:blip r:embed="rId20"/>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81.90pt;height:205.58pt;mso-wrap-distance-left:0.00pt;mso-wrap-distance-top:0.00pt;mso-wrap-distance-right:0.00pt;mso-wrap-distance-bottom:0.00pt;z-index:1;" stroked="false">
                <v:imagedata r:id="rId20"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tabs>
          <w:tab w:val="left" w:leader="none" w:pos="0"/>
        </w:tabs>
        <w:spacing/>
        <w:ind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Analysis for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szCs w:val="28"/>
        </w:rPr>
        <w:t xml:space="preserve">Key Observations:</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Illinois, Texas and Miami.</w:t>
      </w:r>
      <w:r>
        <w:rPr>
          <w:rFonts w:ascii="Liberation Serif" w:hAnsi="Liberation Serif" w:eastAsia="Liberation Serif" w:cs="Liberation Serif"/>
        </w:rPr>
      </w:r>
      <w:r>
        <w:rPr>
          <w:rFonts w:ascii="Liberation Serif" w:hAnsi="Liberation Serif" w:cs="Liberation Serif"/>
        </w:rPr>
      </w:r>
    </w:p>
    <w:p>
      <w:pPr>
        <w:pStyle w:val="953"/>
        <w:numPr>
          <w:ilvl w:val="0"/>
          <w:numId w:val="15"/>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b w:val="0"/>
          <w:bCs w:val="0"/>
          <w:szCs w:val="28"/>
        </w:rPr>
        <w:t xml:space="preserve">Illinois leads Texas not by a significant margin.</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3"/>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highlight w:val="none"/>
        </w:rPr>
      </w:r>
      <w:r>
        <w:rPr>
          <w:rFonts w:ascii="Liberation Serif" w:hAnsi="Liberation Serif" w:cs="Liberation Serif"/>
          <w:highlight w:val="none"/>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Which country </w:t>
      </w:r>
      <w:r>
        <w:rPr>
          <w:rStyle w:val="951"/>
          <w:rFonts w:ascii="Liberation Serif" w:hAnsi="Liberation Serif" w:eastAsia="Liberation Serif" w:cs="Liberation Serif"/>
          <w:b/>
          <w:bCs/>
          <w:sz w:val="24"/>
        </w:rPr>
        <w:t xml:space="preserve">contributes</w:t>
      </w:r>
      <w:r>
        <w:rPr>
          <w:rStyle w:val="951"/>
          <w:rFonts w:ascii="Liberation Serif" w:hAnsi="Liberation Serif" w:eastAsia="Liberation Serif" w:cs="Liberation Serif"/>
          <w:b/>
          <w:bCs/>
          <w:sz w:val="24"/>
        </w:rPr>
        <w:t xml:space="preserve"> the most to freight value?</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0" allowOverlap="1">
                <wp:simplePos x="0" y="0"/>
                <wp:positionH relativeFrom="column">
                  <wp:posOffset>0</wp:posOffset>
                </wp:positionH>
                <wp:positionV relativeFrom="paragraph">
                  <wp:posOffset>104775</wp:posOffset>
                </wp:positionV>
                <wp:extent cx="6120130" cy="2712720"/>
                <wp:effectExtent l="0" t="0" r="0" b="0"/>
                <wp:wrapSquare wrapText="bothSides"/>
                <wp:docPr id="1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pic:cNvPicPr>
                          <a:picLocks noChangeAspect="1"/>
                        </pic:cNvPicPr>
                        <pic:nvPr/>
                      </pic:nvPicPr>
                      <pic:blipFill>
                        <a:blip r:embed="rId21"/>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776;o:allowoverlap:true;o:allowincell:false;mso-position-horizontal-relative:text;margin-left:0.00pt;mso-position-horizontal:absolute;mso-position-vertical-relative:text;margin-top:8.25pt;mso-position-vertical:absolute;width:481.90pt;height:213.60pt;mso-wrap-distance-left:0.00pt;mso-wrap-distance-top:0.00pt;mso-wrap-distance-right:0.00pt;mso-wrap-distance-bottom:0.00pt;z-index:1;" stroked="false">
                <w10:wrap type="square"/>
                <v:imagedata r:id="rId21"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1824" behindDoc="0" locked="0" layoutInCell="0" allowOverlap="1">
                <wp:simplePos x="0" y="0"/>
                <wp:positionH relativeFrom="column">
                  <wp:posOffset>0</wp:posOffset>
                </wp:positionH>
                <wp:positionV relativeFrom="paragraph">
                  <wp:posOffset>267335</wp:posOffset>
                </wp:positionV>
                <wp:extent cx="6120130" cy="2712720"/>
                <wp:effectExtent l="0" t="0" r="0" b="0"/>
                <wp:wrapSquare wrapText="bothSides"/>
                <wp:docPr id="1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pic:cNvPicPr>
                          <a:picLocks noChangeAspect="1"/>
                        </pic:cNvPicPr>
                        <pic:nvPr/>
                      </pic:nvPicPr>
                      <pic:blipFill>
                        <a:blip r:embed="rId22"/>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51661824;o:allowoverlap:true;o:allowincell:false;mso-position-horizontal-relative:text;margin-left:0.00pt;mso-position-horizontal:absolute;mso-position-vertical-relative:text;margin-top:21.05pt;mso-position-vertical:absolute;width:481.90pt;height:213.60pt;mso-wrap-distance-left:0.00pt;mso-wrap-distance-top:0.00pt;mso-wrap-distance-right:0.00pt;mso-wrap-distance-bottom:0.00pt;z-index:1;" stroked="false">
                <w10:wrap type="square"/>
                <v:imagedata r:id="rId22" o:title=""/>
                <o:lock v:ext="edit" rotation="t"/>
              </v:shape>
            </w:pict>
          </mc:Fallback>
        </mc:AlternateContent>
      </w:r>
      <w:r>
        <w:rPr>
          <w:rFonts w:ascii="Liberation Serif" w:hAnsi="Liberation Serif" w:eastAsia="Liberation Serif" w:cs="Liberation Serif"/>
          <w:szCs w:val="28"/>
        </w:rPr>
      </w:r>
      <w:r>
        <w:rPr>
          <w:rFonts w:ascii="Liberation Serif" w:hAnsi="Liberation Serif" w:cs="Liberation Serif"/>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0" allowOverlap="1">
                <wp:simplePos x="0" y="0"/>
                <wp:positionH relativeFrom="column">
                  <wp:posOffset>57150</wp:posOffset>
                </wp:positionH>
                <wp:positionV relativeFrom="paragraph">
                  <wp:posOffset>3298190</wp:posOffset>
                </wp:positionV>
                <wp:extent cx="6120130" cy="2712720"/>
                <wp:effectExtent l="0" t="0" r="0" b="0"/>
                <wp:wrapSquare wrapText="bothSides"/>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pic:cNvPicPr>
                        <pic:nvPr/>
                      </pic:nvPicPr>
                      <pic:blipFill>
                        <a:blip r:embed="rId23"/>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65920;o:allowoverlap:true;o:allowincell:false;mso-position-horizontal-relative:text;margin-left:4.50pt;mso-position-horizontal:absolute;mso-position-vertical-relative:text;margin-top:259.70pt;mso-position-vertical:absolute;width:481.90pt;height:213.60pt;mso-wrap-distance-left:0.00pt;mso-wrap-distance-top:0.00pt;mso-wrap-distance-right:0.00pt;mso-wrap-distance-bottom:0.00pt;z-index:1;" stroked="false">
                <w10:wrap type="square"/>
                <v:imagedata r:id="rId23"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3872"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pic:cNvPicPr>
                        <pic:nvPr/>
                      </pic:nvPicPr>
                      <pic:blipFill>
                        <a:blip r:embed="rId24"/>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63872;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4"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anchor xmlns:wp="http://schemas.openxmlformats.org/drawingml/2006/wordprocessingDrawing" xmlns:wp14="http://schemas.microsoft.com/office/word/2010/wordprocessingDrawing" distT="0" distB="0" distL="0" distR="0" simplePos="0" relativeHeight="251667968"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pic:cNvPicPr>
                        <pic:nvPr/>
                      </pic:nvPicPr>
                      <pic:blipFill>
                        <a:blip r:embed="rId25"/>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67968;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5" o:title=""/>
                <o:lock v:ext="edit" rotation="t"/>
              </v:shape>
            </w:pict>
          </mc:Fallback>
        </mc:AlternateConten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Style w:val="951"/>
          <w:rFonts w:ascii="Liberation Serif" w:hAnsi="Liberation Serif" w:eastAsia="Liberation Serif" w:cs="Liberation Serif"/>
          <w:szCs w:val="28"/>
        </w:rPr>
        <w:t xml:space="preserve">Analysis:</w:t>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rPr>
      </w:pPr>
      <w:r>
        <w:rPr>
          <w:rStyle w:val="951"/>
          <w:rFonts w:ascii="Liberation Serif" w:hAnsi="Liberation Serif" w:eastAsia="Liberation Serif" w:cs="Liberation Serif"/>
          <w:b w:val="0"/>
          <w:bCs w:val="0"/>
        </w:rPr>
        <w:t xml:space="preserve">In 2020, Canada and Mexico had nearly the same total freight value. However, in 2021, Mexico surpassed Canada in freight value.</w:t>
      </w:r>
      <w:r>
        <w:rPr>
          <w:rStyle w:val="951"/>
          <w:rFonts w:ascii="Liberation Serif" w:hAnsi="Liberation Serif" w:eastAsia="Liberation Serif" w:cs="Liberation Serif"/>
          <w:b w:val="0"/>
          <w:bCs w:val="0"/>
        </w:rPr>
        <w:br/>
        <w:t xml:space="preserve">In 2022, Canada dominated the total freight value by country, while Mexico experienced some growth, suggesting challenges that Mexico might have been facing.</w:t>
      </w:r>
      <w:r>
        <w:rPr>
          <w:rStyle w:val="951"/>
          <w:rFonts w:ascii="Liberation Serif" w:hAnsi="Liberation Serif" w:eastAsia="Liberation Serif" w:cs="Liberation Serif"/>
          <w:b w:val="0"/>
          <w:bCs w:val="0"/>
        </w:rPr>
        <w:br/>
        <w:t xml:space="preserve">In 2023, Mexico regained dominance in total freight value by country, with Canada closing the gap as it experienced some growth.</w:t>
      </w:r>
      <w:r>
        <w:rPr>
          <w:rStyle w:val="951"/>
          <w:rFonts w:ascii="Liberation Serif" w:hAnsi="Liberation Serif" w:eastAsia="Liberation Serif" w:cs="Liberation Serif"/>
          <w:b w:val="0"/>
          <w:bCs w:val="0"/>
        </w:rPr>
        <w:br/>
        <w:t xml:space="preserve">In 2024, Mexico solidified its dominance in total freight value by widening the gap over Canada. While Canada continued to experience growth, its rate of increase lagged behind Mexico’s, highlighting potential opportunities or challenges for Canada.</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42"/>
        <w:pBdr/>
        <w:spacing/>
        <w:ind/>
        <w:jc w:val="left"/>
        <w:rPr>
          <w:rFonts w:ascii="Liberation Serif" w:hAnsi="Liberation Serif" w:cs="Liberation Serif"/>
          <w:sz w:val="24"/>
          <w:szCs w:val="24"/>
        </w:rPr>
      </w:pPr>
      <w:r>
        <w:rPr>
          <w:rStyle w:val="951"/>
          <w:rFonts w:ascii="Liberation Serif" w:hAnsi="Liberation Serif" w:eastAsia="Liberation Serif" w:cs="Liberation Serif"/>
          <w:b/>
          <w:bCs/>
          <w:sz w:val="22"/>
          <w:szCs w:val="24"/>
          <w:highlight w:val="none"/>
        </w:rPr>
      </w:r>
      <w:r>
        <w:rPr>
          <w:sz w:val="24"/>
          <w:szCs w:val="24"/>
        </w:rPr>
        <w:t xml:space="preserve">How does the trade volume differ between US states and Canadian provinces over the past 4 years?</w:t>
      </w:r>
      <w:r>
        <w:rPr>
          <w:rStyle w:val="951"/>
          <w:rFonts w:ascii="Liberation Serif" w:hAnsi="Liberation Serif" w:eastAsia="Liberation Serif" w:cs="Liberation Serif"/>
          <w:b/>
          <w:bCs/>
          <w:sz w:val="22"/>
          <w:szCs w:val="24"/>
          <w:highlight w:val="none"/>
        </w:rPr>
      </w:r>
      <w:r>
        <w:rPr>
          <w:rStyle w:val="951"/>
          <w:rFonts w:ascii="Liberation Serif" w:hAnsi="Liberation Serif" w:eastAsia="Liberation Serif" w:cs="Liberation Serif"/>
          <w:b/>
          <w:bCs/>
          <w:sz w:val="22"/>
          <w:szCs w:val="24"/>
          <w:highlight w:val="none"/>
        </w:rPr>
      </w:r>
    </w:p>
    <w:p>
      <w:pPr>
        <w:pStyle w:val="953"/>
        <w:pBdr/>
        <w:spacing/>
        <w:ind/>
        <w:rPr/>
      </w:pPr>
      <w:r/>
      <w:r/>
      <w:r>
        <mc:AlternateContent>
          <mc:Choice Requires="wpg">
            <w:drawing>
              <wp:inline xmlns:wp="http://schemas.openxmlformats.org/drawingml/2006/wordprocessingDrawing" distT="0" distB="0" distL="0" distR="0">
                <wp:extent cx="6120130" cy="2376650"/>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11792" name=""/>
                        <pic:cNvPicPr>
                          <a:picLocks noChangeAspect="1"/>
                        </pic:cNvPicPr>
                        <pic:nvPr/>
                      </pic:nvPicPr>
                      <pic:blipFill>
                        <a:blip r:embed="rId26"/>
                        <a:stretch/>
                      </pic:blipFill>
                      <pic:spPr bwMode="auto">
                        <a:xfrm>
                          <a:off x="0" y="0"/>
                          <a:ext cx="6120129" cy="23766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81.90pt;height:187.14pt;mso-wrap-distance-left:0.00pt;mso-wrap-distance-top:0.00pt;mso-wrap-distance-right:0.00pt;mso-wrap-distance-bottom:0.00pt;z-index:1;" stroked="false">
                <v:imagedata r:id="rId26" o:title=""/>
                <o:lock v:ext="edit" rotation="t"/>
              </v:shape>
            </w:pict>
          </mc:Fallback>
        </mc:AlternateContent>
      </w:r>
      <w:r/>
      <w:r/>
      <w:r/>
      <w:r/>
      <w:r/>
    </w:p>
    <w:p>
      <w:pPr>
        <w:pStyle w:val="953"/>
        <w:pBdr/>
        <w:spacing/>
        <w:ind/>
        <w:rPr/>
      </w:pPr>
      <w:r/>
      <w:r/>
    </w:p>
    <w:p>
      <w:pPr>
        <w:pStyle w:val="953"/>
        <w:pBdr/>
        <w:spacing/>
        <w:ind/>
        <w:rPr>
          <w:highlight w:val="none"/>
        </w:rPr>
      </w:pPr>
      <w:r/>
      <w:r>
        <w:t xml:space="preserve">The bar chart illustrates the trade values for Mexican states (MEXSTATE) and Canadian provinces (CANPROV) between 2020 and 2024. </w:t>
      </w:r>
      <w:r/>
      <w:r/>
    </w:p>
    <w:p>
      <w:pPr>
        <w:pStyle w:val="953"/>
        <w:pBdr/>
        <w:spacing/>
        <w:ind/>
        <w:rPr>
          <w:highlight w:val="none"/>
        </w:rPr>
      </w:pPr>
      <w:r>
        <w:rPr>
          <w:highlight w:val="none"/>
        </w:rPr>
        <w:t xml:space="preserve">Key insights from the chart include: </w:t>
      </w:r>
      <w:r>
        <w:rPr>
          <w:highlight w:val="none"/>
        </w:rPr>
      </w:r>
    </w:p>
    <w:p>
      <w:pPr>
        <w:pStyle w:val="909"/>
        <w:numPr>
          <w:ilvl w:val="0"/>
          <w:numId w:val="33"/>
        </w:numPr>
        <w:pBdr>
          <w:top w:val="none" w:color="000000" w:sz="4" w:space="0"/>
          <w:left w:val="none" w:color="000000" w:sz="4" w:space="0"/>
          <w:bottom w:val="none" w:color="000000" w:sz="4" w:space="0"/>
          <w:right w:val="none" w:color="000000" w:sz="4" w:space="0"/>
        </w:pBdr>
        <w:spacing/>
        <w:ind w:right="0"/>
        <w:rPr/>
      </w:pPr>
      <w:r>
        <w:t xml:space="preserve">Ontario recorded the highest trade values, with over 1.5 trillion USD in exports and over 1 trillion USD in imports during the period. This highlights Ontario's critical role in cross-border trade.</w:t>
      </w:r>
      <w:r/>
    </w:p>
    <w:p>
      <w:pPr>
        <w:pStyle w:val="953"/>
        <w:numPr>
          <w:ilvl w:val="0"/>
          <w:numId w:val="33"/>
        </w:numPr>
        <w:pBdr/>
        <w:spacing/>
        <w:ind/>
        <w:rPr/>
      </w:pPr>
      <w:r>
        <w:rPr>
          <w:highlight w:val="none"/>
        </w:rPr>
      </w:r>
      <w:r>
        <w:t xml:space="preserve">Alberta followed as a key trading province, with close to 1 trillion USD in import trade value, demonstrating its importance in the transportation and trade network.</w:t>
      </w:r>
      <w:r>
        <w:rPr>
          <w:highlight w:val="none"/>
        </w:rPr>
      </w:r>
      <w:r>
        <w:rPr>
          <w:highlight w:val="none"/>
        </w:rPr>
      </w:r>
    </w:p>
    <w:p>
      <w:pPr>
        <w:pStyle w:val="953"/>
        <w:numPr>
          <w:ilvl w:val="0"/>
          <w:numId w:val="33"/>
        </w:numPr>
        <w:pBdr/>
        <w:spacing/>
        <w:ind/>
        <w:rPr/>
      </w:pPr>
      <w:r>
        <w:rPr>
          <w:highlight w:val="none"/>
        </w:rPr>
      </w:r>
      <w:r>
        <w:t xml:space="preserve">Trade values for the remaining Canadian provinces were significantly lower, with less than 500 billion USD in total trade value.</w:t>
      </w:r>
      <w:r>
        <w:rPr>
          <w:highlight w:val="none"/>
        </w:rPr>
      </w:r>
      <w:r>
        <w:rPr>
          <w:highlight w:val="none"/>
        </w:rPr>
      </w:r>
    </w:p>
    <w:p>
      <w:pPr>
        <w:pStyle w:val="953"/>
        <w:numPr>
          <w:ilvl w:val="0"/>
          <w:numId w:val="33"/>
        </w:numPr>
        <w:pBdr/>
        <w:spacing/>
        <w:ind/>
        <w:rPr/>
      </w:pPr>
      <w:r>
        <w:rPr>
          <w:highlight w:val="none"/>
        </w:rPr>
      </w:r>
      <w:r>
        <w:t xml:space="preserve">Mexican states (MEXSTATE) recorded no import trade value, indicating that all trade types from MEXSTATE were categorized as exports during this time-frame.</w:t>
      </w:r>
      <w:r>
        <w:rPr>
          <w:highlight w:val="none"/>
        </w:rPr>
      </w:r>
      <w:r>
        <w:rPr>
          <w:highlight w:val="none"/>
        </w:rPr>
      </w:r>
    </w:p>
    <w:p>
      <w:pPr>
        <w:pStyle w:val="953"/>
        <w:pBdr/>
        <w:spacing/>
        <w:ind/>
        <w:jc w:val="left"/>
        <w:rPr/>
      </w:pPr>
      <w:r/>
      <w:r>
        <w:t xml:space="preserve">The dataset contained missing values (NAs), particularly in the MEXSTATE columns, which could have impacted the completeness of the analysis.</w:t>
      </w:r>
      <w:r/>
    </w:p>
    <w:p>
      <w:pPr>
        <w:pStyle w:val="953"/>
        <w:pBdr/>
        <w:spacing/>
        <w:ind/>
        <w:jc w:val="left"/>
        <w:rPr>
          <w:highlight w:val="none"/>
        </w:rPr>
      </w:pPr>
      <w:r>
        <w:t xml:space="preserve"> Handling these missing values during preprocessing helped ensure the visualisations remained meaningfu</w:t>
      </w:r>
      <w:r>
        <w:t xml:space="preserve">l and accurate.</w:t>
      </w:r>
      <w:r/>
      <w:r/>
      <w:r>
        <w:rPr>
          <w:rStyle w:val="951"/>
          <w:rFonts w:ascii="Liberation Serif" w:hAnsi="Liberation Serif" w:eastAsia="Liberation Serif" w:cs="Liberation Serif"/>
          <w:b/>
          <w:bCs/>
          <w:sz w:val="24"/>
          <w:highlight w:val="none"/>
        </w:rPr>
      </w:r>
      <w:r>
        <w:rPr>
          <w:rStyle w:val="951"/>
          <w:rFonts w:ascii="Liberation Serif" w:hAnsi="Liberation Serif" w:eastAsia="Liberation Serif" w:cs="Liberation Serif"/>
          <w:b/>
          <w:bCs/>
          <w:sz w:val="24"/>
          <w:highlight w:val="none"/>
        </w:rPr>
      </w:r>
      <w:r/>
    </w:p>
    <w:p>
      <w:pPr>
        <w:pStyle w:val="953"/>
        <w:pBdr/>
        <w:spacing/>
        <w:ind/>
        <w:jc w:val="left"/>
        <w:rPr/>
      </w:pPr>
      <w:r/>
      <w:r/>
    </w:p>
    <w:p>
      <w:pPr>
        <w:pStyle w:val="953"/>
        <w:pBdr/>
        <w:spacing/>
        <w:ind/>
        <w:jc w:val="left"/>
        <w:rPr/>
      </w:pPr>
      <w:r/>
      <w:r/>
    </w:p>
    <w:p>
      <w:pPr>
        <w:pStyle w:val="953"/>
        <w:pBdr/>
        <w:spacing/>
        <w:ind/>
        <w:jc w:val="left"/>
        <w:rPr/>
      </w:pPr>
      <w:r/>
      <w:r/>
    </w:p>
    <w:p>
      <w:pPr>
        <w:pStyle w:val="953"/>
        <w:pBdr/>
        <w:spacing/>
        <w:ind/>
        <w:jc w:val="left"/>
        <w:rPr/>
      </w:pPr>
      <w:r/>
      <w:r/>
    </w:p>
    <w:p>
      <w:pPr>
        <w:pStyle w:val="953"/>
        <w:pBdr/>
        <w:spacing/>
        <w:ind/>
        <w:jc w:val="left"/>
        <w:rPr/>
      </w:pPr>
      <w:r/>
      <w:r/>
    </w:p>
    <w:p>
      <w:pPr>
        <w:pStyle w:val="953"/>
        <w:pBdr/>
        <w:spacing/>
        <w:ind/>
        <w:jc w:val="left"/>
        <w:rPr/>
      </w:pPr>
      <w:r>
        <w:rPr>
          <w:highlight w:val="none"/>
        </w:rPr>
      </w:r>
      <w:r>
        <w:rPr>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highlight w:val="none"/>
        </w:rPr>
      </w:r>
      <w:r>
        <w:rPr>
          <w:rStyle w:val="951"/>
          <w:rFonts w:ascii="Liberation Serif" w:hAnsi="Liberation Serif" w:eastAsia="Liberation Serif" w:cs="Liberation Serif"/>
          <w:b/>
          <w:bCs/>
          <w:sz w:val="24"/>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highlight w:val="none"/>
        </w:rPr>
      </w:r>
      <w:r>
        <w:rPr>
          <w:rStyle w:val="951"/>
          <w:rFonts w:ascii="Liberation Serif" w:hAnsi="Liberation Serif" w:eastAsia="Liberation Serif" w:cs="Liberation Serif"/>
          <w:b/>
          <w:bCs/>
          <w:sz w:val="24"/>
          <w:highlight w:val="none"/>
        </w:rPr>
      </w:r>
    </w:p>
    <w:p>
      <w:pPr>
        <w:pStyle w:val="942"/>
        <w:pBdr/>
        <w:spacing/>
        <w:ind/>
        <w:jc w:val="left"/>
        <w:rPr>
          <w:rStyle w:val="951"/>
          <w:rFonts w:ascii="Liberation Serif" w:hAnsi="Liberation Serif" w:eastAsia="Liberation Serif" w:cs="Liberation Serif"/>
          <w:b/>
          <w:bCs/>
          <w:sz w:val="24"/>
          <w:szCs w:val="24"/>
          <w:highlight w:val="none"/>
        </w:rPr>
      </w:pPr>
      <w:r>
        <w:rPr>
          <w:rStyle w:val="951"/>
          <w:rFonts w:ascii="Liberation Serif" w:hAnsi="Liberation Serif" w:eastAsia="Liberation Serif" w:cs="Liberation Serif"/>
          <w:b/>
          <w:bCs/>
          <w:sz w:val="24"/>
        </w:rPr>
        <w:t xml:space="preserve">What is the correlation between Freight Value, Shipment Weight and Freight Charges for each year from 2020 to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color w:val="000000"/>
          <w:sz w:val="20"/>
        </w:rPr>
      </w:pPr>
      <w:r>
        <w:rPr>
          <w:rFonts w:ascii="Liberation Serif" w:hAnsi="Liberation Serif" w:eastAsia="Liberation Serif" w:cs="Liberation Serif"/>
          <w:color w:val="000000"/>
          <w:sz w:val="20"/>
        </w:rPr>
      </w:r>
      <w:r>
        <w:rPr>
          <w:rFonts w:ascii="Liberation Serif" w:hAnsi="Liberation Serif" w:eastAsia="Liberation Serif" w:cs="Liberation Serif"/>
          <w:color w:val="000000"/>
          <w:sz w:val="20"/>
        </w:rPr>
      </w:r>
      <w:r>
        <w:rPr>
          <w:rFonts w:ascii="Liberation Serif" w:hAnsi="Liberation Serif" w:cs="Liberation Serif"/>
          <w:color w:val="000000"/>
          <w:sz w:val="20"/>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mc:AlternateContent>
          <mc:Choice Requires="wpg">
            <w:drawing>
              <wp:anchor xmlns:wp="http://schemas.openxmlformats.org/drawingml/2006/wordprocessingDrawing" xmlns:wp14="http://schemas.microsoft.com/office/word/2010/wordprocessingDrawing" distT="0" distB="0" distL="0" distR="0" simplePos="0" relativeHeight="251635200" behindDoc="0" locked="0" layoutInCell="0" allowOverlap="1">
                <wp:simplePos x="0" y="0"/>
                <wp:positionH relativeFrom="column">
                  <wp:posOffset>-254000</wp:posOffset>
                </wp:positionH>
                <wp:positionV relativeFrom="paragraph">
                  <wp:posOffset>97790</wp:posOffset>
                </wp:positionV>
                <wp:extent cx="6564630" cy="2587625"/>
                <wp:effectExtent l="0" t="0" r="0" b="0"/>
                <wp:wrapSquare wrapText="bothSides"/>
                <wp:docPr id="1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pic:cNvPicPr>
                        <pic:nvPr/>
                      </pic:nvPicPr>
                      <pic:blipFill>
                        <a:blip r:embed="rId27"/>
                        <a:stretch/>
                      </pic:blipFill>
                      <pic:spPr bwMode="auto">
                        <a:xfrm>
                          <a:off x="0" y="0"/>
                          <a:ext cx="6564630" cy="25876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position:absolute;z-index:251635200;o:allowoverlap:true;o:allowincell:false;mso-position-horizontal-relative:text;margin-left:-20.00pt;mso-position-horizontal:absolute;mso-position-vertical-relative:text;margin-top:7.70pt;mso-position-vertical:absolute;width:516.90pt;height:203.75pt;mso-wrap-distance-left:0.00pt;mso-wrap-distance-top:0.00pt;mso-wrap-distance-right:0.00pt;mso-wrap-distance-bottom:0.00pt;z-index:1;" stroked="false">
                <w10:wrap type="square"/>
                <v:imagedata r:id="rId27" o:title=""/>
                <o:lock v:ext="edit" rotation="t"/>
              </v:shape>
            </w:pict>
          </mc:Fallback>
        </mc:AlternateContent>
      </w:r>
      <w:r>
        <w:rPr>
          <w:rFonts w:ascii="Liberation Serif" w:hAnsi="Liberation Serif" w:eastAsia="Liberation Serif" w:cs="Liberation Serif"/>
          <w:color w:val="000000"/>
        </w:rPr>
      </w:r>
      <w:r>
        <w:rPr>
          <w:rFonts w:ascii="Liberation Serif" w:hAnsi="Liberation Serif" w:cs="Liberation Serif"/>
          <w:color w:val="000000"/>
        </w:rPr>
      </w:r>
    </w:p>
    <w:p>
      <w:pPr>
        <w:pStyle w:val="959"/>
        <w:pBdr/>
        <w:spacing w:line="300" w:lineRule="auto"/>
        <w:ind/>
        <w:jc w:val="left"/>
        <w:rPr>
          <w:rFonts w:ascii="Liberation Serif" w:hAnsi="Liberation Serif" w:cs="Liberation Serif"/>
          <w:b/>
          <w:bCs/>
          <w:sz w:val="24"/>
        </w:rPr>
      </w:pPr>
      <w:r>
        <w:rPr>
          <w:rFonts w:ascii="Liberation Serif" w:hAnsi="Liberation Serif" w:eastAsia="Liberation Serif" w:cs="Liberation Serif"/>
          <w:b/>
          <w:bCs/>
          <w:color w:val="000000"/>
          <w:sz w:val="24"/>
        </w:rPr>
        <w:t xml:space="preserve">Analysis</w:t>
      </w:r>
      <w:r>
        <w:rPr>
          <w:rFonts w:ascii="Liberation Serif" w:hAnsi="Liberation Serif" w:eastAsia="Liberation Serif" w:cs="Liberation Serif"/>
          <w:b/>
          <w:bCs/>
          <w:sz w:val="24"/>
        </w:rPr>
      </w:r>
      <w:r>
        <w:rPr>
          <w:rFonts w:ascii="Liberation Serif" w:hAnsi="Liberation Serif" w:cs="Liberation Serif"/>
          <w:b/>
          <w:bCs/>
          <w:sz w:val="24"/>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2020:</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(0.44):</w:t>
      </w:r>
      <w:r>
        <w:rPr>
          <w:rFonts w:ascii="Liberation Serif" w:hAnsi="Liberation Serif" w:eastAsia="Liberation Serif" w:cs="Liberation Serif"/>
        </w:rPr>
        <w:t xml:space="preserve"> A moderate positive correlation indicates that higher shipment weight is associated with an increase in freight value, though the relationship is not strong.</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(0.48):</w:t>
      </w:r>
      <w:r>
        <w:rPr>
          <w:rFonts w:ascii="Liberation Serif" w:hAnsi="Liberation Serif" w:eastAsia="Liberation Serif" w:cs="Liberation Serif"/>
        </w:rPr>
        <w:t xml:space="preserve"> A moderate positive correlation suggests that higher freight value</w:t>
      </w:r>
      <w:r>
        <w:rPr>
          <w:rStyle w:val="951"/>
          <w:rFonts w:ascii="Liberation Serif" w:hAnsi="Liberation Serif" w:eastAsia="Liberation Serif" w:cs="Liberation Serif"/>
          <w:color w:val="000000"/>
        </w:rPr>
        <w:t xml:space="preserve">2021:</w:t>
      </w:r>
      <w:r>
        <w:rPr>
          <w:rFonts w:ascii="Liberation Serif" w:hAnsi="Liberation Serif" w:eastAsia="Liberation Serif" w:cs="Liberation Serif"/>
        </w:rPr>
        <w:t xml:space="preserve"> is moderately associated with higher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16"/>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A strong positive correlation implies that heavier shipments tend to incur higher freight charges.</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2021:</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(0.49):</w:t>
      </w:r>
      <w:r>
        <w:rPr>
          <w:rFonts w:ascii="Liberation Serif" w:hAnsi="Liberation Serif" w:eastAsia="Liberation Serif" w:cs="Liberation Serif"/>
        </w:rPr>
        <w:t xml:space="preserve"> A moderate positive correlation, slightly stronger than in 2020, shows an increasing association between shipment weight and freight value.</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(0.53):</w:t>
      </w:r>
      <w:r>
        <w:rPr>
          <w:rFonts w:ascii="Liberation Serif" w:hAnsi="Liberation Serif" w:eastAsia="Liberation Serif" w:cs="Liberation Serif"/>
        </w:rPr>
        <w:t xml:space="preserve"> A moderate positive correlation, also stronger than in 2020, highlights a growing relationship between freight value and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17"/>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The strong positive correlation remains consistent, indicating a continued link between shipment weight and charges.</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2022:</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(0.65):</w:t>
      </w:r>
      <w:r>
        <w:rPr>
          <w:rFonts w:ascii="Liberation Serif" w:hAnsi="Liberation Serif" w:eastAsia="Liberation Serif" w:cs="Liberation Serif"/>
        </w:rPr>
        <w:t xml:space="preserve"> A stronger positive correlation reflects a significant relationship between the value of goods and their shipment </w:t>
      </w:r>
      <w:r>
        <w:rPr>
          <w:rFonts w:ascii="Liberation Serif" w:hAnsi="Liberation Serif" w:eastAsia="Liberation Serif" w:cs="Liberation Serif"/>
        </w:rPr>
        <w:t xml:space="preserve">weight</w:t>
      </w:r>
      <w:r>
        <w:rPr>
          <w:rFonts w:ascii="Liberation Serif" w:hAnsi="Liberation Serif" w:eastAsia="Liberation Serif" w:cs="Liberation Serif"/>
        </w:rPr>
        <w:t xml:space="preserve"> this year.</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(0.63):</w:t>
      </w:r>
      <w:r>
        <w:rPr>
          <w:rFonts w:ascii="Liberation Serif" w:hAnsi="Liberation Serif" w:eastAsia="Liberation Serif" w:cs="Liberation Serif"/>
        </w:rPr>
        <w:t xml:space="preserve"> The correlation strengthens, showing a notable association between freight value and charges.</w:t>
      </w:r>
      <w:r>
        <w:rPr>
          <w:rFonts w:ascii="Liberation Serif" w:hAnsi="Liberation Serif" w:eastAsia="Liberation Serif" w:cs="Liberation Serif"/>
        </w:rPr>
      </w:r>
      <w:r>
        <w:rPr>
          <w:rFonts w:ascii="Liberation Serif" w:hAnsi="Liberation Serif" w:cs="Liberation Serif"/>
        </w:rPr>
      </w:r>
    </w:p>
    <w:p>
      <w:pPr>
        <w:pStyle w:val="953"/>
        <w:numPr>
          <w:ilvl w:val="0"/>
          <w:numId w:val="18"/>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(0.83):</w:t>
      </w:r>
      <w:r>
        <w:rPr>
          <w:rFonts w:ascii="Liberation Serif" w:hAnsi="Liberation Serif" w:eastAsia="Liberation Serif" w:cs="Liberation Serif"/>
        </w:rPr>
        <w:t xml:space="preserve"> The strong positive correlation decreases slightly but remains substantial.</w:t>
      </w:r>
      <w:r>
        <w:rPr>
          <w:rFonts w:ascii="Liberation Serif" w:hAnsi="Liberation Serif" w:eastAsia="Liberation Serif" w:cs="Liberation Serif"/>
        </w:rPr>
      </w:r>
      <w:r>
        <w:rPr>
          <w:rFonts w:ascii="Liberation Serif" w:hAnsi="Liberation Serif" w:cs="Liberation Serif"/>
        </w:rPr>
      </w:r>
    </w:p>
    <w:p>
      <w:pPr>
        <w:pStyle w:val="959"/>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eastAsia="Liberation Serif" w:cs="Liberation Serif"/>
          <w:color w:val="000000"/>
        </w:rPr>
      </w:r>
      <w:r>
        <w:rPr>
          <w:rFonts w:ascii="Liberation Serif" w:hAnsi="Liberation Serif" w:cs="Liberation Serif"/>
          <w:color w:val="000000"/>
        </w:rPr>
      </w:r>
    </w:p>
    <w:p>
      <w:pPr>
        <w:pStyle w:val="943"/>
        <w:pBdr/>
        <w:spacing w:after="0" w:before="0" w:line="300" w:lineRule="auto"/>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2023:</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(0.56):</w:t>
      </w:r>
      <w:r>
        <w:rPr>
          <w:rFonts w:ascii="Liberation Serif" w:hAnsi="Liberation Serif" w:eastAsia="Liberation Serif" w:cs="Liberation Serif"/>
        </w:rPr>
        <w:t xml:space="preserve"> A moderate positive correlation, lower than 2022, indicates the relationship between value and shipment weight weakened slightly.</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A consistent moderate positive correlation reflects a stable association between freight value and charges.</w:t>
      </w:r>
      <w:r>
        <w:rPr>
          <w:rFonts w:ascii="Liberation Serif" w:hAnsi="Liberation Serif" w:eastAsia="Liberation Serif" w:cs="Liberation Serif"/>
        </w:rPr>
      </w:r>
      <w:r>
        <w:rPr>
          <w:rFonts w:ascii="Liberation Serif" w:hAnsi="Liberation Serif" w:cs="Liberation Serif"/>
        </w:rPr>
      </w:r>
    </w:p>
    <w:p>
      <w:pPr>
        <w:pStyle w:val="953"/>
        <w:numPr>
          <w:ilvl w:val="0"/>
          <w:numId w:val="19"/>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(0.86):</w:t>
      </w:r>
      <w:r>
        <w:rPr>
          <w:rFonts w:ascii="Liberation Serif" w:hAnsi="Liberation Serif" w:eastAsia="Liberation Serif" w:cs="Liberation Serif"/>
        </w:rPr>
        <w:t xml:space="preserve"> The strong positive correlation indicates the relationship remains solid between shipment weight and charges</w:t>
      </w:r>
      <w:r>
        <w:rPr>
          <w:rFonts w:ascii="Liberation Serif" w:hAnsi="Liberation Serif" w:eastAsia="Liberation Serif" w:cs="Liberation Serif"/>
        </w:rPr>
      </w:r>
      <w:r>
        <w:rPr>
          <w:rFonts w:ascii="Liberation Serif" w:hAnsi="Liberation Serif" w:cs="Liberation Serif"/>
        </w:rPr>
      </w:r>
    </w:p>
    <w:p>
      <w:pPr>
        <w:pStyle w:val="943"/>
        <w:pBdr/>
        <w:spacing/>
        <w:ind/>
        <w:jc w:val="left"/>
        <w:rPr>
          <w:rFonts w:ascii="Liberation Serif" w:hAnsi="Liberation Serif" w:cs="Liberation Serif"/>
        </w:rPr>
      </w:pPr>
      <w:r>
        <w:rPr>
          <w:rStyle w:val="951"/>
          <w:rFonts w:ascii="Liberation Serif" w:hAnsi="Liberation Serif" w:eastAsia="Liberation Serif" w:cs="Liberation Serif"/>
          <w:b/>
          <w:bCs/>
          <w:color w:val="000000"/>
        </w:rPr>
        <w:t xml:space="preserve">2024:</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Shipment Weight (0.53):</w:t>
      </w:r>
      <w:r>
        <w:rPr>
          <w:rFonts w:ascii="Liberation Serif" w:hAnsi="Liberation Serif" w:eastAsia="Liberation Serif" w:cs="Liberation Serif"/>
        </w:rPr>
        <w:t xml:space="preserve"> A moderate positive correlation, slightly lower than in 2023, suggests a declining association.</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after="0"/>
        <w:ind/>
        <w:jc w:val="left"/>
        <w:rPr>
          <w:rFonts w:ascii="Liberation Serif" w:hAnsi="Liberation Serif" w:cs="Liberation Serif"/>
        </w:rPr>
      </w:pPr>
      <w:r>
        <w:rPr>
          <w:rStyle w:val="951"/>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The consistent correlation indicates that freight value and charges remain moderately linked.</w:t>
      </w:r>
      <w:r>
        <w:rPr>
          <w:rFonts w:ascii="Liberation Serif" w:hAnsi="Liberation Serif" w:eastAsia="Liberation Serif" w:cs="Liberation Serif"/>
        </w:rPr>
      </w:r>
      <w:r>
        <w:rPr>
          <w:rFonts w:ascii="Liberation Serif" w:hAnsi="Liberation Serif" w:cs="Liberation Serif"/>
        </w:rPr>
      </w:r>
    </w:p>
    <w:p>
      <w:pPr>
        <w:pStyle w:val="953"/>
        <w:numPr>
          <w:ilvl w:val="0"/>
          <w:numId w:val="20"/>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vs. Freight Charges (0.91):</w:t>
      </w:r>
      <w:r>
        <w:rPr>
          <w:rFonts w:ascii="Liberation Serif" w:hAnsi="Liberation Serif" w:eastAsia="Liberation Serif" w:cs="Liberation Serif"/>
        </w:rPr>
        <w:t xml:space="preserve"> A very strong positive correlation indicates an almost linear relationship, suggesting that heavier shipments are nearly directly proportional to higher freight charges.</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Overall Interpretation:</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Shipment Weight and Freight Charges:</w:t>
      </w:r>
      <w:r>
        <w:rPr>
          <w:rFonts w:ascii="Liberation Serif" w:hAnsi="Liberation Serif" w:eastAsia="Liberation Serif" w:cs="Liberation Serif"/>
        </w:rPr>
        <w:t xml:space="preserve"> Across all years, there is a consistently </w:t>
      </w:r>
      <w:r>
        <w:rPr>
          <w:rStyle w:val="951"/>
          <w:rFonts w:ascii="Liberation Serif" w:hAnsi="Liberation Serif" w:eastAsia="Liberation Serif" w:cs="Liberation Serif"/>
        </w:rPr>
        <w:t xml:space="preserve">strong positive correlation (above 0.83)</w:t>
      </w:r>
      <w:r>
        <w:rPr>
          <w:rFonts w:ascii="Liberation Serif" w:hAnsi="Liberation Serif" w:eastAsia="Liberation Serif" w:cs="Liberation Serif"/>
        </w:rPr>
        <w:t xml:space="preserve">, with the strongest in 2024 (0.91). This indicates that shipment weight is a critical determinant of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Freight Value and Shipment Weight:</w:t>
      </w:r>
      <w:r>
        <w:rPr>
          <w:rFonts w:ascii="Liberation Serif" w:hAnsi="Liberation Serif" w:eastAsia="Liberation Serif" w:cs="Liberation Serif"/>
        </w:rPr>
        <w:t xml:space="preserve"> The correlation </w:t>
      </w:r>
      <w:r>
        <w:rPr>
          <w:rFonts w:ascii="Liberation Serif" w:hAnsi="Liberation Serif" w:eastAsia="Liberation Serif" w:cs="Liberation Serif"/>
        </w:rPr>
        <w:t xml:space="preserve">is generally moderate, ranging from 0.44 in 2020 to a peak of 0.65 in 2022, and then slightly declining afterward. This suggests that heavier shipments tend to have higher values, but the relationship is not as strong or consistent as with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1"/>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Freight Value and Freight Charges:</w:t>
      </w:r>
      <w:r>
        <w:rPr>
          <w:rFonts w:ascii="Liberation Serif" w:hAnsi="Liberation Serif" w:eastAsia="Liberation Serif" w:cs="Liberation Serif"/>
        </w:rPr>
        <w:t xml:space="preserve"> The correlation is moderate across all years, ranging from 0.48 to 0.63, indicating that while higher-value shipments often result in higher charges, other factors also contribute.</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Insights:</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after="0"/>
        <w:ind/>
        <w:jc w:val="left"/>
        <w:rPr>
          <w:rFonts w:ascii="Liberation Serif" w:hAnsi="Liberation Serif" w:cs="Liberation Serif"/>
        </w:rPr>
      </w:pPr>
      <w:r>
        <w:rPr>
          <w:rFonts w:ascii="Liberation Serif" w:hAnsi="Liberation Serif" w:eastAsia="Liberation Serif" w:cs="Liberation Serif"/>
        </w:rPr>
        <w:t xml:space="preserve">Shipment weight is the dominant factor influencing freight charges.</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after="0"/>
        <w:ind/>
        <w:jc w:val="left"/>
        <w:rPr>
          <w:rFonts w:ascii="Liberation Serif" w:hAnsi="Liberation Serif" w:cs="Liberation Serif"/>
        </w:rPr>
      </w:pPr>
      <w:r>
        <w:rPr>
          <w:rFonts w:ascii="Liberation Serif" w:hAnsi="Liberation Serif" w:eastAsia="Liberation Serif" w:cs="Liberation Serif"/>
        </w:rPr>
        <w:t xml:space="preserve">While freight value contributes to determining charges, its impact is moderate compared to shipment weight.</w:t>
      </w:r>
      <w:r>
        <w:rPr>
          <w:rFonts w:ascii="Liberation Serif" w:hAnsi="Liberation Serif" w:eastAsia="Liberation Serif" w:cs="Liberation Serif"/>
        </w:rPr>
      </w:r>
      <w:r>
        <w:rPr>
          <w:rFonts w:ascii="Liberation Serif" w:hAnsi="Liberation Serif" w:cs="Liberation Serif"/>
        </w:rPr>
      </w:r>
    </w:p>
    <w:p>
      <w:pPr>
        <w:pStyle w:val="953"/>
        <w:numPr>
          <w:ilvl w:val="0"/>
          <w:numId w:val="22"/>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year 2022 shows the strongest correlations across all variables, possibly indicating unusual or specific market conditions.</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sz w:val="24"/>
        </w:rPr>
        <w:t xml:space="preserve">How has the total freight value changed over the years from 2020 to 2024?</w:t>
      </w:r>
      <w:r>
        <w:rPr>
          <w:rFonts w:ascii="Liberation Serif" w:hAnsi="Liberation Serif" w:eastAsia="Liberation Serif" w:cs="Liberation Serif"/>
        </w:rPr>
      </w:r>
      <w:r>
        <w:rPr>
          <w:rFonts w:ascii="Liberation Serif" w:hAnsi="Liberation Serif" w:cs="Liberation Serif"/>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53"/>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eastAsia="Liberation Serif" w:cs="Liberation Serif"/>
          <w:b/>
          <w:bCs/>
          <w:szCs w:val="28"/>
        </w:rPr>
      </w:r>
      <w:r>
        <w:rPr>
          <w:rFonts w:ascii="Liberation Serif" w:hAnsi="Liberation Serif" w:cs="Liberation Serif"/>
          <w:b/>
          <w:bCs/>
          <w:szCs w:val="28"/>
        </w:rPr>
      </w:r>
    </w:p>
    <w:p>
      <w:pPr>
        <w:pStyle w:val="942"/>
        <w:pBdr/>
        <w:spacing/>
        <w:ind/>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7248" behindDoc="0" locked="0" layoutInCell="0" allowOverlap="1">
                <wp:simplePos x="0" y="0"/>
                <wp:positionH relativeFrom="column">
                  <wp:posOffset>52070</wp:posOffset>
                </wp:positionH>
                <wp:positionV relativeFrom="paragraph">
                  <wp:posOffset>-90170</wp:posOffset>
                </wp:positionV>
                <wp:extent cx="5461635" cy="2420620"/>
                <wp:effectExtent l="0" t="0" r="0" b="0"/>
                <wp:wrapSquare wrapText="bothSides"/>
                <wp:docPr id="19"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pic:cNvPicPr>
                        <pic:nvPr/>
                      </pic:nvPicPr>
                      <pic:blipFill>
                        <a:blip r:embed="rId28"/>
                        <a:stretch/>
                      </pic:blipFill>
                      <pic:spPr bwMode="auto">
                        <a:xfrm>
                          <a:off x="0" y="0"/>
                          <a:ext cx="5461635" cy="24206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251637248;o:allowoverlap:true;o:allowincell:false;mso-position-horizontal-relative:text;margin-left:4.10pt;mso-position-horizontal:absolute;mso-position-vertical-relative:text;margin-top:-7.10pt;mso-position-vertical:absolute;width:430.05pt;height:190.60pt;mso-wrap-distance-left:0.00pt;mso-wrap-distance-top:0.00pt;mso-wrap-distance-right:0.00pt;mso-wrap-distance-bottom:0.00pt;z-index:1;" stroked="false">
                <w10:wrap type="square"/>
                <v:imagedata r:id="rId28" o:title=""/>
                <o:lock v:ext="edit" rotation="t"/>
              </v:shape>
            </w:pict>
          </mc:Fallback>
        </mc:AlternateConten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Analysis of Freight Value Trends (2020-2024):</w:t>
      </w:r>
      <w:r>
        <w:rPr>
          <w:rFonts w:ascii="Liberation Serif" w:hAnsi="Liberation Serif" w:eastAsia="Liberation Serif" w:cs="Liberation Serif"/>
        </w:rPr>
      </w:r>
      <w:r>
        <w:rPr>
          <w:rFonts w:ascii="Liberation Serif" w:hAnsi="Liberation Serif" w:cs="Liberation Serif"/>
        </w:rPr>
      </w:r>
    </w:p>
    <w:p>
      <w:pPr>
        <w:pStyle w:val="942"/>
        <w:pBdr/>
        <w:spacing/>
        <w:ind/>
        <w:jc w:val="left"/>
        <w:rPr>
          <w:rFonts w:ascii="Liberation Serif" w:hAnsi="Liberation Serif" w:cs="Liberation Serif"/>
        </w:rPr>
      </w:pPr>
      <w:r>
        <w:rPr>
          <w:rFonts w:ascii="Liberation Serif" w:hAnsi="Liberation Serif" w:eastAsia="Liberation Serif" w:cs="Liberation Serif"/>
          <w:b w:val="0"/>
          <w:bCs w:val="0"/>
          <w:sz w:val="24"/>
        </w:rPr>
        <w:t xml:space="preserve">From the data:</w:t>
      </w:r>
      <w:r>
        <w:rPr>
          <w:rFonts w:ascii="Liberation Serif" w:hAnsi="Liberation Serif" w:eastAsia="Liberation Serif" w:cs="Liberation Serif"/>
        </w:rPr>
      </w:r>
      <w:r>
        <w:rPr>
          <w:rFonts w:ascii="Liberation Serif" w:hAnsi="Liberation Serif" w:cs="Liberation Serif"/>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 freight value increased steadily from 2020 to 202</w:t>
      </w:r>
      <w:r>
        <w:rPr>
          <w:rFonts w:ascii="Liberation Serif" w:hAnsi="Liberation Serif" w:eastAsia="Liberation Serif" w:cs="Liberation Serif"/>
          <w:b w:val="0"/>
          <w:bCs w:val="0"/>
          <w:sz w:val="24"/>
        </w:rPr>
        <w:t xml:space="preserve">2</w:t>
      </w:r>
      <w:r>
        <w:rPr>
          <w:rFonts w:ascii="Liberation Serif" w:hAnsi="Liberation Serif" w:eastAsia="Liberation Serif" w:cs="Liberation Serif"/>
          <w:b w:val="0"/>
          <w:bCs w:val="0"/>
          <w:sz w:val="24"/>
        </w:rPr>
        <w:t xml:space="preserve">.</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There was a notable jump in 2021 and 2022, with 2022 to 2023 having the highest freight value.</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Slight decline in 2024.</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This suggests consistent growth in freight activities or higher-value shipments over the years.</w:t>
      </w:r>
      <w:r>
        <w:rPr>
          <w:rFonts w:ascii="Liberation Serif" w:hAnsi="Liberation Serif" w:eastAsia="Liberation Serif" w:cs="Liberation Serif"/>
          <w:b w:val="0"/>
          <w:bCs w:val="0"/>
          <w:sz w:val="24"/>
        </w:rPr>
      </w:r>
      <w:r>
        <w:rPr>
          <w:rFonts w:ascii="Liberation Serif" w:hAnsi="Liberation Serif" w:cs="Liberation Serif"/>
          <w:b w:val="0"/>
          <w:bCs w:val="0"/>
          <w:sz w:val="24"/>
        </w:rPr>
      </w:r>
    </w:p>
    <w:p>
      <w:pPr>
        <w:pStyle w:val="942"/>
        <w:pBdr/>
        <w:spacing/>
        <w:ind/>
        <w:jc w:val="left"/>
        <w:rPr>
          <w:rFonts w:ascii="Liberation Serif" w:hAnsi="Liberation Serif" w:cs="Liberation Serif"/>
        </w:rPr>
      </w:pPr>
      <w:r>
        <w:rPr>
          <w:rStyle w:val="951"/>
          <w:rFonts w:ascii="Liberation Serif" w:hAnsi="Liberation Serif" w:eastAsia="Liberation Serif" w:cs="Liberation Serif"/>
          <w:b/>
          <w:bCs/>
        </w:rPr>
        <w:t xml:space="preserve">Insights:</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The significant year-on-year increase from 2020 to 2024 could indicate:</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Increased global trade.</w:t>
      </w:r>
      <w:r>
        <w:rPr>
          <w:rFonts w:ascii="Liberation Serif" w:hAnsi="Liberation Serif" w:eastAsia="Liberation Serif" w:cs="Liberation Serif"/>
        </w:rPr>
      </w:r>
      <w:r>
        <w:rPr>
          <w:rFonts w:ascii="Liberation Serif" w:hAnsi="Liberation Serif" w:cs="Liberation Serif"/>
        </w:rPr>
      </w:r>
    </w:p>
    <w:p>
      <w:pPr>
        <w:pStyle w:val="953"/>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An expansion in freight services, especially after 2020 (potentially post-pandemic recovery)</w:t>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eastAsia="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5. Deployment</w:t>
      </w:r>
      <w:r>
        <w:rPr>
          <w:rFonts w:ascii="Liberation Serif" w:hAnsi="Liberation Serif" w:eastAsia="Liberation Serif" w:cs="Liberation Serif"/>
          <w:b/>
          <w:bCs/>
          <w:sz w:val="28"/>
          <w:szCs w:val="28"/>
        </w:rPr>
        <w:t xml:space="preserve">:</w:t>
      </w: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Actionable Strategies and Recommendations</w:t>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09"/>
        <w:numPr>
          <w:ilvl w:val="0"/>
          <w:numId w:val="27"/>
        </w:numPr>
        <w:pBdr>
          <w:top w:val="none" w:color="000000" w:sz="4" w:space="0"/>
          <w:left w:val="none" w:color="000000" w:sz="4" w:space="0"/>
          <w:bottom w:val="none" w:color="000000" w:sz="4" w:space="0"/>
          <w:right w:val="none" w:color="000000" w:sz="4" w:space="0"/>
        </w:pBdr>
        <w:spacing/>
        <w:ind w:right="0"/>
        <w:jc w:val="left"/>
        <w:rPr>
          <w:rFonts w:ascii="Liberation Serif" w:hAnsi="Liberation Serif" w:cs="Liberation Serif"/>
        </w:rPr>
      </w:pPr>
      <w:r>
        <w:rPr>
          <w:rFonts w:ascii="Liberation Serif" w:hAnsi="Liberation Serif" w:eastAsia="Liberation Serif" w:cs="Liberation Serif"/>
        </w:rPr>
        <w:t xml:space="preserve">Increase investment in under-performing transportation modes or routes</w:t>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rPr>
        <w:t xml:space="preserve">Certain transportation modes or routes may be underutilised, leading to inefficiencies and missed economic opportunities. By allocating resources to improve infrastructure, logistics, and operations in these areas, overall freight performance can be enhanc</w:t>
      </w:r>
      <w:r>
        <w:rPr>
          <w:rFonts w:ascii="Liberation Serif" w:hAnsi="Liberation Serif" w:eastAsia="Liberation Serif" w:cs="Liberation Serif"/>
        </w:rPr>
        <w:t xml:space="preserve">ed. </w:t>
      </w:r>
      <w:r>
        <w:rPr>
          <w:rFonts w:ascii="Liberation Serif" w:hAnsi="Liberation Serif" w:eastAsia="Liberation Serif" w:cs="Liberation Serif"/>
          <w:highlight w:val="none"/>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rPr>
        <w:t xml:space="preserve">An example</w:t>
      </w:r>
      <w:r>
        <w:rPr>
          <w:rFonts w:ascii="Liberation Serif" w:hAnsi="Liberation Serif" w:eastAsia="Liberation Serif" w:cs="Liberation Serif"/>
        </w:rPr>
        <w:t xml:space="preserve"> is investing in better rail infrastructure can reduce costs for bulk freight, such as heavy materials or agricultural products.</w:t>
      </w:r>
      <w:r>
        <w:rPr>
          <w:rFonts w:ascii="Liberation Serif" w:hAnsi="Liberation Serif" w:eastAsia="Liberation Serif" w:cs="Liberation Serif"/>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The benefit will be reducing</w:t>
      </w:r>
      <w:r>
        <w:rPr>
          <w:rFonts w:ascii="Liberation Serif" w:hAnsi="Liberation Serif" w:eastAsia="Liberation Serif" w:cs="Liberation Serif"/>
        </w:rPr>
        <w:t xml:space="preserve"> congestion in other modes (example road) and provides alternative transport options for businesses.</w:t>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eastAsia="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rPr>
      </w:r>
    </w:p>
    <w:p>
      <w:pPr>
        <w:pStyle w:val="953"/>
        <w:numPr>
          <w:ilvl w:val="0"/>
          <w:numId w:val="26"/>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rPr>
        <w:t xml:space="preserve">Monitor freight charges and operational costs more closely to identify inefficiencies</w:t>
      </w:r>
      <w:r>
        <w:rPr>
          <w:rFonts w:ascii="Liberation Serif" w:hAnsi="Liberation Serif" w:eastAsia="Liberation Serif" w:cs="Liberation Serif"/>
          <w:b/>
          <w:bCs/>
          <w:sz w:val="28"/>
          <w:szCs w:val="28"/>
          <w:highlight w:val="none"/>
        </w:rPr>
      </w:r>
      <w:r>
        <w:rPr>
          <w:rFonts w:ascii="Liberation Serif" w:hAnsi="Liberation Serif" w:cs="Liberation Serif"/>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rPr>
      </w:r>
      <w:r>
        <w:rPr>
          <w:rFonts w:ascii="Liberation Serif" w:hAnsi="Liberation Serif" w:eastAsia="Liberation Serif" w:cs="Liberation Serif"/>
        </w:rPr>
        <w:t xml:space="preserve">L</w:t>
      </w:r>
      <w:r>
        <w:rPr>
          <w:rFonts w:ascii="Liberation Serif" w:hAnsi="Liberation Serif" w:eastAsia="Liberation Serif" w:cs="Liberation Serif"/>
        </w:rPr>
        <w:t xml:space="preserve">arge variations in freight charges across modes or regions can indicate inefficiencies, such as unnecessary delays, sub-optimal routing, or excessive charges by service providers. Establishing a robust monitoring framework can identify these issues and ena</w:t>
      </w:r>
      <w:r>
        <w:rPr>
          <w:rFonts w:ascii="Liberation Serif" w:hAnsi="Liberation Serif" w:eastAsia="Liberation Serif" w:cs="Liberation Serif"/>
        </w:rPr>
        <w:t xml:space="preserve">ble targeted interventions.</w:t>
      </w:r>
      <w:r>
        <w:rPr>
          <w:rFonts w:ascii="Liberation Serif" w:hAnsi="Liberation Serif" w:eastAsia="Liberation Serif" w:cs="Liberation Serif"/>
        </w:rPr>
      </w:r>
      <w:r>
        <w:rPr>
          <w:rFonts w:ascii="Liberation Serif" w:hAnsi="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53"/>
        <w:pBdr/>
        <w:tabs>
          <w:tab w:val="left" w:leader="none" w:pos="0"/>
        </w:tabs>
        <w:spacing w:after="0"/>
        <w:ind w:firstLine="0" w:left="0"/>
        <w:jc w:val="left"/>
        <w:rPr>
          <w:rFonts w:ascii="Liberation Serif" w:hAnsi="Liberation Serif" w:cs="Liberation Serif"/>
          <w:highlight w:val="none"/>
        </w:rPr>
      </w:pPr>
      <w:r>
        <w:rPr>
          <w:rFonts w:ascii="Liberation Serif" w:hAnsi="Liberation Serif" w:eastAsia="Liberation Serif" w:cs="Liberation Serif"/>
          <w:highlight w:val="none"/>
        </w:rPr>
        <w:t xml:space="preserve">An example is using </w:t>
      </w:r>
      <w:r>
        <w:rPr>
          <w:rFonts w:ascii="Liberation Serif" w:hAnsi="Liberation Serif" w:eastAsia="Liberation Serif" w:cs="Liberation Serif"/>
        </w:rPr>
        <w:t xml:space="preserve">an automated system for analysing freight charges against industry benchmarks can flag areas for optimisation.</w:t>
      </w:r>
      <w:r>
        <w:rPr>
          <w:rFonts w:ascii="Liberation Serif" w:hAnsi="Liberation Serif" w:eastAsia="Liberation Serif" w:cs="Liberation Serif"/>
          <w:highlight w:val="none"/>
        </w:rPr>
        <w:t xml:space="preserve"> This will reduce operational costs for businesses.</w:t>
      </w:r>
      <w:r>
        <w:rPr>
          <w:rFonts w:ascii="Liberation Serif" w:hAnsi="Liberation Serif" w:eastAsia="Liberation Serif" w:cs="Liberation Serif"/>
          <w:highlight w:val="none"/>
        </w:rPr>
      </w:r>
      <w:r>
        <w:rPr>
          <w:rFonts w:ascii="Liberation Serif" w:hAnsi="Liberation Serif" w:cs="Liberation Serif"/>
          <w:highlight w:val="none"/>
        </w:rPr>
      </w:r>
    </w:p>
    <w:p>
      <w:pPr>
        <w:pStyle w:val="953"/>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p>
    <w:p>
      <w:pPr>
        <w:pStyle w:val="909"/>
        <w:numPr>
          <w:ilvl w:val="0"/>
          <w:numId w:val="29"/>
        </w:numPr>
        <w:pBdr>
          <w:top w:val="none" w:color="000000" w:sz="4" w:space="0"/>
          <w:left w:val="none" w:color="000000" w:sz="4" w:space="0"/>
          <w:bottom w:val="none" w:color="000000" w:sz="4" w:space="0"/>
          <w:right w:val="none" w:color="000000" w:sz="4" w:space="0"/>
        </w:pBdr>
        <w:spacing/>
        <w:ind w:right="0"/>
        <w:jc w:val="left"/>
        <w:rPr>
          <w:rFonts w:ascii="Liberation Serif" w:hAnsi="Liberation Serif" w:cs="Liberation Serif"/>
        </w:rPr>
      </w:pPr>
      <w:r>
        <w:rPr>
          <w:rFonts w:ascii="Liberation Serif" w:hAnsi="Liberation Serif" w:eastAsia="Liberation Serif" w:cs="Liberation Serif"/>
        </w:rPr>
        <w:t xml:space="preserve">Implement Policies to Reduce Environmental Impact</w:t>
      </w:r>
      <w:r>
        <w:rPr>
          <w:rFonts w:ascii="Liberation Serif" w:hAnsi="Liberation Serif" w:eastAsia="Liberation Serif" w:cs="Liberation Serif"/>
          <w:sz w:val="24"/>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sz w:val="24"/>
          <w:highlight w:val="none"/>
        </w:rPr>
      </w:r>
      <w:r>
        <w:rPr>
          <w:rFonts w:ascii="Liberation Serif" w:hAnsi="Liberation Serif" w:eastAsia="Liberation Serif" w:cs="Liberation Serif"/>
        </w:rPr>
        <w:t xml:space="preserve">Freight transport contributes significantly to emissions and environmental degradation.</w:t>
      </w:r>
      <w:r>
        <w:rPr>
          <w:rFonts w:ascii="Liberation Serif" w:hAnsi="Liberation Serif" w:eastAsia="Liberation Serif" w:cs="Liberation Serif"/>
          <w:sz w:val="24"/>
          <w:highlight w:val="none"/>
        </w:rPr>
        <w:t xml:space="preserve"> </w:t>
      </w:r>
      <w:r>
        <w:rPr>
          <w:rFonts w:ascii="Liberation Serif" w:hAnsi="Liberation Serif" w:eastAsia="Liberation Serif" w:cs="Liberation Serif"/>
        </w:rPr>
        <w:t xml:space="preserve">Policies promoting sustainable practice such as using low-emission vehicles, shifting freight to less polluting modes (example rail or water).</w:t>
      </w:r>
      <w:r>
        <w:rPr>
          <w:rFonts w:ascii="Liberation Serif" w:hAnsi="Liberation Serif" w:eastAsia="Liberation Serif" w:cs="Liberation Serif"/>
        </w:rPr>
        <w:t xml:space="preserve"> </w:t>
      </w:r>
      <w:r>
        <w:rPr>
          <w:rFonts w:ascii="Liberation Serif" w:hAnsi="Liberation Serif" w:eastAsia="Liberation Serif" w:cs="Liberation Serif"/>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t xml:space="preserve">This will improve sustainability and alignment with environmental regulations.</w:t>
      </w:r>
      <w:r>
        <w:rPr>
          <w:rFonts w:ascii="Liberation Serif" w:hAnsi="Liberation Serif" w:eastAsia="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r>
      <w:r>
        <w:rPr>
          <w:rFonts w:ascii="Liberation Serif" w:hAnsi="Liberation Serif" w:cs="Liberation Serif"/>
          <w:highlight w:val="none"/>
        </w:rPr>
      </w:r>
    </w:p>
    <w:p>
      <w:pPr>
        <w:pStyle w:val="909"/>
        <w:numPr>
          <w:ilvl w:val="0"/>
          <w:numId w:val="31"/>
        </w:numPr>
        <w:pBdr>
          <w:top w:val="none" w:color="000000" w:sz="4" w:space="0"/>
          <w:left w:val="none" w:color="000000" w:sz="4" w:space="0"/>
          <w:bottom w:val="none" w:color="000000" w:sz="4" w:space="0"/>
          <w:right w:val="none" w:color="000000" w:sz="4" w:space="0"/>
        </w:pBdr>
        <w:spacing/>
        <w:ind w:right="120"/>
        <w:jc w:val="left"/>
        <w:rPr>
          <w:rFonts w:ascii="Liberation Serif" w:hAnsi="Liberation Serif" w:eastAsia="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Develop Data-Driven Logistics Solutions</w:t>
      </w:r>
      <w:r>
        <w:rPr>
          <w:rFonts w:ascii="Liberation Serif" w:hAnsi="Liberation Serif" w:eastAsia="Liberation Serif" w:cs="Liberation Serif"/>
          <w:highlight w:val="none"/>
        </w:rPr>
      </w:r>
      <w:r>
        <w:rPr>
          <w:rFonts w:ascii="Liberation Serif" w:hAnsi="Liberation Serif" w:eastAsia="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t xml:space="preserve">Introducing advanced data analytics can optimise logistics operations by identifying bottlenecks, predicting demand and improving resource allocation. This includes real-time tracking and machine learning-based forecasting models.</w:t>
      </w:r>
      <w:r>
        <w:rPr>
          <w:highlight w:val="none"/>
        </w:rPr>
      </w:r>
    </w:p>
    <w:p>
      <w:pPr>
        <w:pBdr>
          <w:top w:val="none" w:color="000000" w:sz="4" w:space="0"/>
          <w:left w:val="none" w:color="000000" w:sz="4" w:space="0"/>
          <w:bottom w:val="none" w:color="000000" w:sz="4" w:space="0"/>
          <w:right w:val="none" w:color="000000" w:sz="4" w:space="0"/>
        </w:pBdr>
        <w:spacing/>
        <w:ind w:right="120" w:firstLine="0" w:left="12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rPr>
          <w:highlight w:val="none"/>
        </w:rPr>
        <w:t xml:space="preserve">An example is the using predictive analytics to anticipate peak freight periods and allocate resources proactively. This will reduce</w:t>
      </w:r>
      <w:r>
        <w:rPr>
          <w:highlight w:val="none"/>
        </w:rPr>
        <w:t xml:space="preserve"> delays, customer satisfaction and minismise operational cost</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rPr>
          <w:highlight w:val="none"/>
        </w:rPr>
      </w:r>
      <w:r>
        <w:rPr>
          <w:highlight w:val="none"/>
        </w:rPr>
      </w:r>
      <w:r>
        <w:rPr>
          <w:highlight w:val="none"/>
        </w:rPr>
      </w:r>
    </w:p>
    <w:p>
      <w:pPr>
        <w:pStyle w:val="909"/>
        <w:numPr>
          <w:ilvl w:val="0"/>
          <w:numId w:val="32"/>
        </w:numPr>
        <w:pBdr>
          <w:top w:val="none" w:color="000000" w:sz="4" w:space="0"/>
          <w:left w:val="none" w:color="000000" w:sz="4" w:space="0"/>
          <w:bottom w:val="none" w:color="000000" w:sz="4" w:space="0"/>
          <w:right w:val="none" w:color="000000" w:sz="4" w:space="0"/>
        </w:pBdr>
        <w:spacing/>
        <w:ind w:right="120"/>
        <w:rPr>
          <w:highlight w:val="none"/>
        </w:rPr>
      </w:pPr>
      <w:r>
        <w:rPr>
          <w:highlight w:val="none"/>
        </w:rPr>
        <w:t xml:space="preserve">Encouraging and introducing the use of technology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rPr>
          <w:highlight w:val="none"/>
        </w:rPr>
      </w:pPr>
      <w:r>
        <w:rPr>
          <w:highlight w:val="none"/>
        </w:rPr>
        <w:t xml:space="preserve">Adopting emerging technologies can help streamline freight operations  and boost transparency. A typical example is the use of IoT sensors to monitor cargo conditions. This will reduce</w:t>
      </w:r>
      <w:r>
        <w:rPr>
          <w:highlight w:val="none"/>
        </w:rPr>
        <w:t xml:space="preserve"> losses, improve accountability and enhance operational efficiency.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rPr>
          <w:highlight w:val="none"/>
        </w:rPr>
      </w:pPr>
      <w:r>
        <w:rPr>
          <w:highlight w:val="none"/>
        </w:rPr>
      </w:r>
      <w:r>
        <w:rPr>
          <w:highlight w:val="none"/>
        </w:rPr>
      </w:r>
      <w:r>
        <w:rPr>
          <w:highlight w:val="none"/>
        </w:rPr>
      </w:r>
    </w:p>
    <w:p>
      <w:pPr>
        <w:pStyle w:val="953"/>
        <w:pBdr/>
        <w:spacing/>
        <w:ind/>
        <w:jc w:val="left"/>
        <w:rPr>
          <w:rFonts w:ascii="Liberation Serif" w:hAnsi="Liberation Serif" w:cs="Liberation Serif"/>
        </w:rPr>
      </w:pPr>
      <w:r>
        <w:rPr>
          <w:rFonts w:ascii="Liberation Serif" w:hAnsi="Liberation Serif" w:eastAsia="Liberation Serif" w:cs="Liberation Serif"/>
        </w:rPr>
        <w:t xml:space="preserve">Insights and visualizations were shared via:</w:t>
      </w:r>
      <w:r>
        <w:rPr>
          <w:rFonts w:ascii="Liberation Serif" w:hAnsi="Liberation Serif" w:eastAsia="Liberation Serif" w:cs="Liberation Serif"/>
        </w:rPr>
      </w:r>
      <w:r>
        <w:rPr>
          <w:rFonts w:ascii="Liberation Serif" w:hAnsi="Liberation Serif" w:cs="Liberation Serif"/>
        </w:rPr>
      </w:r>
    </w:p>
    <w:p>
      <w:pPr>
        <w:pStyle w:val="953"/>
        <w:numPr>
          <w:ilvl w:val="0"/>
          <w:numId w:val="13"/>
        </w:numPr>
        <w:pBdr/>
        <w:tabs>
          <w:tab w:val="left" w:leader="none" w:pos="0"/>
          <w:tab w:val="clear" w:leader="none" w:pos="709"/>
        </w:tabs>
        <w:spacing/>
        <w:ind/>
        <w:jc w:val="left"/>
        <w:rPr>
          <w:rFonts w:ascii="Liberation Serif" w:hAnsi="Liberation Serif" w:cs="Liberation Serif"/>
        </w:rPr>
      </w:pPr>
      <w:r>
        <w:rPr>
          <w:rStyle w:val="951"/>
          <w:rFonts w:ascii="Liberation Serif" w:hAnsi="Liberation Serif" w:eastAsia="Liberation Serif" w:cs="Liberation Serif"/>
        </w:rPr>
        <w:t xml:space="preserve">GitHub Repository: Includes documentation, R script and data files.</w:t>
      </w:r>
      <w:r>
        <w:rPr>
          <w:rFonts w:ascii="Liberation Serif" w:hAnsi="Liberation Serif" w:eastAsia="Liberation Serif" w:cs="Liberation Serif"/>
        </w:rPr>
      </w:r>
      <w:r>
        <w:rPr>
          <w:rFonts w:ascii="Liberation Serif" w:hAnsi="Liberation Serif" w:cs="Liberation Serif"/>
        </w:rPr>
      </w:r>
    </w:p>
    <w:sectPr>
      <w:footnotePr/>
      <w:endnotePr/>
      <w:type w:val="nextPage"/>
      <w:pgSz w:h="16838" w:orient="portrait" w:w="11906"/>
      <w:pgMar w:top="1134" w:right="1134" w:bottom="1134" w:left="1134" w:header="0" w:footer="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Noto Sans Mono CJK SC">
    <w:panose1 w:val="020B0500000000000000"/>
  </w:font>
  <w:font w:name="Liberation Mono">
    <w:panose1 w:val="02070409020205020404"/>
  </w:font>
  <w:font w:name="Courier New">
    <w:panose1 w:val="02070409020205020404"/>
  </w:font>
  <w:font w:name="OpenSymbol">
    <w:panose1 w:val="05010000000000000000"/>
  </w:font>
  <w:font w:name="Arial">
    <w:panose1 w:val="020B0604020202020204"/>
  </w:font>
  <w:font w:name="Wingdings">
    <w:panose1 w:val="05010000000000000000"/>
  </w:font>
  <w:font w:name="Liberation Sans">
    <w:panose1 w:val="020B0604020202020204"/>
  </w:font>
  <w:font w:name="Noto Serif CJK SC">
    <w:panose1 w:val="02020400000000000000"/>
  </w:font>
  <w:font w:name="Noto Sans Devanagari">
    <w:panose1 w:val="020B0502040504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3">
    <w:lvl w:ilvl="0">
      <w:isLgl w:val="false"/>
      <w:lvlJc w:val="left"/>
      <w:lvlText w:val=""/>
      <w:numFmt w:val="bullet"/>
      <w:pPr>
        <w:pBdr/>
        <w:tabs>
          <w:tab w:val="num" w:leader="none" w:pos="1146"/>
        </w:tabs>
        <w:spacing/>
        <w:ind w:hanging="360" w:left="1146"/>
      </w:pPr>
      <w:rPr>
        <w:rFonts w:hint="default" w:ascii="Symbol" w:hAnsi="Symbol" w:cs="Symbol"/>
      </w:rPr>
      <w:start w:val="1"/>
      <w:suff w:val="tab"/>
    </w:lvl>
    <w:lvl w:ilvl="1">
      <w:isLgl w:val="false"/>
      <w:lvlJc w:val="left"/>
      <w:lvlText w:val="◦"/>
      <w:numFmt w:val="bullet"/>
      <w:pPr>
        <w:pBdr/>
        <w:tabs>
          <w:tab w:val="num" w:leader="none" w:pos="1506"/>
        </w:tabs>
        <w:spacing/>
        <w:ind w:hanging="360" w:left="1506"/>
      </w:pPr>
      <w:rPr>
        <w:rFonts w:hint="default" w:ascii="OpenSymbol" w:hAnsi="OpenSymbol" w:cs="OpenSymbol"/>
      </w:rPr>
      <w:start w:val="1"/>
      <w:suff w:val="tab"/>
    </w:lvl>
    <w:lvl w:ilvl="2">
      <w:isLgl w:val="false"/>
      <w:lvlJc w:val="left"/>
      <w:lvlText w:val="▪"/>
      <w:numFmt w:val="bullet"/>
      <w:pPr>
        <w:pBdr/>
        <w:tabs>
          <w:tab w:val="num" w:leader="none" w:pos="1866"/>
        </w:tabs>
        <w:spacing/>
        <w:ind w:hanging="360" w:left="1866"/>
      </w:pPr>
      <w:rPr>
        <w:rFonts w:hint="default" w:ascii="OpenSymbol" w:hAnsi="OpenSymbol" w:cs="OpenSymbol"/>
      </w:rPr>
      <w:start w:val="1"/>
      <w:suff w:val="tab"/>
    </w:lvl>
    <w:lvl w:ilvl="3">
      <w:isLgl w:val="false"/>
      <w:lvlJc w:val="left"/>
      <w:lvlText w:val=""/>
      <w:numFmt w:val="bullet"/>
      <w:pPr>
        <w:pBdr/>
        <w:tabs>
          <w:tab w:val="num" w:leader="none" w:pos="2226"/>
        </w:tabs>
        <w:spacing/>
        <w:ind w:hanging="360" w:left="2226"/>
      </w:pPr>
      <w:rPr>
        <w:rFonts w:hint="default" w:ascii="Symbol" w:hAnsi="Symbol" w:cs="Symbol"/>
      </w:rPr>
      <w:start w:val="1"/>
      <w:suff w:val="tab"/>
    </w:lvl>
    <w:lvl w:ilvl="4">
      <w:isLgl w:val="false"/>
      <w:lvlJc w:val="left"/>
      <w:lvlText w:val="◦"/>
      <w:numFmt w:val="bullet"/>
      <w:pPr>
        <w:pBdr/>
        <w:tabs>
          <w:tab w:val="num" w:leader="none" w:pos="2586"/>
        </w:tabs>
        <w:spacing/>
        <w:ind w:hanging="360" w:left="2586"/>
      </w:pPr>
      <w:rPr>
        <w:rFonts w:hint="default" w:ascii="OpenSymbol" w:hAnsi="OpenSymbol" w:cs="OpenSymbol"/>
      </w:rPr>
      <w:start w:val="1"/>
      <w:suff w:val="tab"/>
    </w:lvl>
    <w:lvl w:ilvl="5">
      <w:isLgl w:val="false"/>
      <w:lvlJc w:val="left"/>
      <w:lvlText w:val="▪"/>
      <w:numFmt w:val="bullet"/>
      <w:pPr>
        <w:pBdr/>
        <w:tabs>
          <w:tab w:val="num" w:leader="none" w:pos="2946"/>
        </w:tabs>
        <w:spacing/>
        <w:ind w:hanging="360" w:left="2946"/>
      </w:pPr>
      <w:rPr>
        <w:rFonts w:hint="default" w:ascii="OpenSymbol" w:hAnsi="OpenSymbol" w:cs="OpenSymbol"/>
      </w:rPr>
      <w:start w:val="1"/>
      <w:suff w:val="tab"/>
    </w:lvl>
    <w:lvl w:ilvl="6">
      <w:isLgl w:val="false"/>
      <w:lvlJc w:val="left"/>
      <w:lvlText w:val=""/>
      <w:numFmt w:val="bullet"/>
      <w:pPr>
        <w:pBdr/>
        <w:tabs>
          <w:tab w:val="num" w:leader="none" w:pos="3306"/>
        </w:tabs>
        <w:spacing/>
        <w:ind w:hanging="360" w:left="3306"/>
      </w:pPr>
      <w:rPr>
        <w:rFonts w:hint="default" w:ascii="Symbol" w:hAnsi="Symbol" w:cs="Symbol"/>
      </w:rPr>
      <w:start w:val="1"/>
      <w:suff w:val="tab"/>
    </w:lvl>
    <w:lvl w:ilvl="7">
      <w:isLgl w:val="false"/>
      <w:lvlJc w:val="left"/>
      <w:lvlText w:val="◦"/>
      <w:numFmt w:val="bullet"/>
      <w:pPr>
        <w:pBdr/>
        <w:tabs>
          <w:tab w:val="num" w:leader="none" w:pos="3666"/>
        </w:tabs>
        <w:spacing/>
        <w:ind w:hanging="360" w:left="3666"/>
      </w:pPr>
      <w:rPr>
        <w:rFonts w:hint="default" w:ascii="OpenSymbol" w:hAnsi="OpenSymbol" w:cs="OpenSymbol"/>
      </w:rPr>
      <w:start w:val="1"/>
      <w:suff w:val="tab"/>
    </w:lvl>
    <w:lvl w:ilvl="8">
      <w:isLgl w:val="false"/>
      <w:lvlJc w:val="left"/>
      <w:lvlText w:val="▪"/>
      <w:numFmt w:val="bullet"/>
      <w:pPr>
        <w:pBdr/>
        <w:tabs>
          <w:tab w:val="num" w:leader="none" w:pos="4026"/>
        </w:tabs>
        <w:spacing/>
        <w:ind w:hanging="360" w:left="4026"/>
      </w:pPr>
      <w:rPr>
        <w:rFonts w:hint="default" w:ascii="OpenSymbol" w:hAnsi="OpenSymbol" w:cs="OpenSymbol"/>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num w:numId="1">
    <w:abstractNumId w:val="2"/>
  </w:num>
  <w:num w:numId="2">
    <w:abstractNumId w:val="0"/>
  </w:num>
  <w:num w:numId="3">
    <w:abstractNumId w:val="8"/>
  </w:num>
  <w:num w:numId="4">
    <w:abstractNumId w:val="20"/>
  </w:num>
  <w:num w:numId="5">
    <w:abstractNumId w:val="15"/>
  </w:num>
  <w:num w:numId="6">
    <w:abstractNumId w:val="6"/>
  </w:num>
  <w:num w:numId="7">
    <w:abstractNumId w:val="3"/>
  </w:num>
  <w:num w:numId="8">
    <w:abstractNumId w:val="23"/>
  </w:num>
  <w:num w:numId="9">
    <w:abstractNumId w:val="17"/>
  </w:num>
  <w:num w:numId="10">
    <w:abstractNumId w:val="14"/>
  </w:num>
  <w:num w:numId="11">
    <w:abstractNumId w:val="7"/>
  </w:num>
  <w:num w:numId="12">
    <w:abstractNumId w:val="21"/>
  </w:num>
  <w:num w:numId="13">
    <w:abstractNumId w:val="10"/>
  </w:num>
  <w:num w:numId="14">
    <w:abstractNumId w:val="11"/>
  </w:num>
  <w:num w:numId="15">
    <w:abstractNumId w:val="1"/>
  </w:num>
  <w:num w:numId="16">
    <w:abstractNumId w:val="18"/>
  </w:num>
  <w:num w:numId="17">
    <w:abstractNumId w:val="16"/>
  </w:num>
  <w:num w:numId="18">
    <w:abstractNumId w:val="9"/>
  </w:num>
  <w:num w:numId="19">
    <w:abstractNumId w:val="22"/>
  </w:num>
  <w:num w:numId="20">
    <w:abstractNumId w:val="19"/>
  </w:num>
  <w:num w:numId="21">
    <w:abstractNumId w:val="12"/>
  </w:num>
  <w:num w:numId="22">
    <w:abstractNumId w:val="5"/>
  </w:num>
  <w:num w:numId="23">
    <w:abstractNumId w:val="4"/>
  </w:num>
  <w:num w:numId="24">
    <w:abstractNumId w:val="1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Devanagari"/>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1">
    <w:name w:val="Table Grid"/>
    <w:basedOn w:val="94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Table Grid Light"/>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1"/>
    <w:basedOn w:val="94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2"/>
    <w:basedOn w:val="94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3"/>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4"/>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5"/>
    <w:basedOn w:val="94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w:basedOn w:val="94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w:basedOn w:val="94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1"/>
    <w:basedOn w:val="94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5"/>
    <w:basedOn w:val="94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6"/>
    <w:basedOn w:val="94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w:basedOn w:val="94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1"/>
    <w:basedOn w:val="94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2"/>
    <w:basedOn w:val="94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3"/>
    <w:basedOn w:val="94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4"/>
    <w:basedOn w:val="94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5"/>
    <w:basedOn w:val="94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6"/>
    <w:basedOn w:val="94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Accent 1"/>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 Accent 2"/>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3"/>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Accent 4"/>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5"/>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 Accent 6"/>
    <w:basedOn w:val="94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4">
    <w:name w:val="Grid Table 6 Colorful - Accent 1"/>
    <w:basedOn w:val="94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5">
    <w:name w:val="Grid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6">
    <w:name w:val="Grid Table 6 Colorful - Accent 3"/>
    <w:basedOn w:val="94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7">
    <w:name w:val="Grid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8">
    <w:name w:val="Grid Table 6 Colorful - Accent 5"/>
    <w:basedOn w:val="94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9">
    <w:name w:val="Grid Table 6 Colorful - Accent 6"/>
    <w:basedOn w:val="94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0">
    <w:name w:val="Grid Table 7 Colorful"/>
    <w:basedOn w:val="94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1"/>
    <w:basedOn w:val="94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2"/>
    <w:basedOn w:val="94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3"/>
    <w:basedOn w:val="94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4"/>
    <w:basedOn w:val="94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5"/>
    <w:basedOn w:val="94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6"/>
    <w:basedOn w:val="94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1"/>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2"/>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3"/>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4"/>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5"/>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6"/>
    <w:basedOn w:val="94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w:basedOn w:val="94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1"/>
    <w:basedOn w:val="94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2"/>
    <w:basedOn w:val="94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3"/>
    <w:basedOn w:val="94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4"/>
    <w:basedOn w:val="94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5"/>
    <w:basedOn w:val="94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6"/>
    <w:basedOn w:val="94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1"/>
    <w:basedOn w:val="94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2"/>
    <w:basedOn w:val="94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3"/>
    <w:basedOn w:val="94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4"/>
    <w:basedOn w:val="94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5"/>
    <w:basedOn w:val="94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6"/>
    <w:basedOn w:val="94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w:basedOn w:val="94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1"/>
    <w:basedOn w:val="94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2"/>
    <w:basedOn w:val="94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3"/>
    <w:basedOn w:val="94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4"/>
    <w:basedOn w:val="94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5"/>
    <w:basedOn w:val="94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6"/>
    <w:basedOn w:val="94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5 Dark"/>
    <w:basedOn w:val="94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1"/>
    <w:basedOn w:val="94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2"/>
    <w:basedOn w:val="94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3"/>
    <w:basedOn w:val="94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4"/>
    <w:basedOn w:val="94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5"/>
    <w:basedOn w:val="94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6"/>
    <w:basedOn w:val="94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6 Colorful"/>
    <w:basedOn w:val="94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1"/>
    <w:basedOn w:val="94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2"/>
    <w:basedOn w:val="94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3"/>
    <w:basedOn w:val="94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4"/>
    <w:basedOn w:val="94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5"/>
    <w:basedOn w:val="94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6"/>
    <w:basedOn w:val="94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7 Colorful"/>
    <w:basedOn w:val="94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0">
    <w:name w:val="List Table 7 Colorful - Accent 1"/>
    <w:basedOn w:val="94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861">
    <w:name w:val="List Table 7 Colorful - Accent 2"/>
    <w:basedOn w:val="94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862">
    <w:name w:val="List Table 7 Colorful - Accent 3"/>
    <w:basedOn w:val="94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863">
    <w:name w:val="List Table 7 Colorful - Accent 4"/>
    <w:basedOn w:val="94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864">
    <w:name w:val="List Table 7 Colorful - Accent 5"/>
    <w:basedOn w:val="94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865">
    <w:name w:val="List Table 7 Colorful - Accent 6"/>
    <w:basedOn w:val="94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866">
    <w:name w:val="Lined - Accent"/>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1"/>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2"/>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3"/>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4"/>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5"/>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6"/>
    <w:basedOn w:val="94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w:basedOn w:val="94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1"/>
    <w:basedOn w:val="94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2"/>
    <w:basedOn w:val="94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3"/>
    <w:basedOn w:val="94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4"/>
    <w:basedOn w:val="94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5"/>
    <w:basedOn w:val="94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6"/>
    <w:basedOn w:val="94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w:basedOn w:val="94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1"/>
    <w:basedOn w:val="94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2"/>
    <w:basedOn w:val="94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3"/>
    <w:basedOn w:val="94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4"/>
    <w:basedOn w:val="94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5"/>
    <w:basedOn w:val="94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6"/>
    <w:basedOn w:val="94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7">
    <w:name w:val="Heading 1"/>
    <w:basedOn w:val="941"/>
    <w:next w:val="941"/>
    <w:link w:val="89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88">
    <w:name w:val="Heading 2"/>
    <w:basedOn w:val="941"/>
    <w:next w:val="941"/>
    <w:link w:val="89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89">
    <w:name w:val="Heading 5"/>
    <w:basedOn w:val="941"/>
    <w:next w:val="941"/>
    <w:link w:val="89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0">
    <w:name w:val="Heading 6"/>
    <w:basedOn w:val="941"/>
    <w:next w:val="941"/>
    <w:link w:val="89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1">
    <w:name w:val="Heading 7"/>
    <w:basedOn w:val="941"/>
    <w:next w:val="941"/>
    <w:link w:val="90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2">
    <w:name w:val="Heading 8"/>
    <w:basedOn w:val="941"/>
    <w:next w:val="941"/>
    <w:link w:val="90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3">
    <w:name w:val="Heading 9"/>
    <w:basedOn w:val="941"/>
    <w:next w:val="941"/>
    <w:link w:val="90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4">
    <w:name w:val="Heading 1 Char"/>
    <w:basedOn w:val="944"/>
    <w:link w:val="887"/>
    <w:uiPriority w:val="9"/>
    <w:pPr>
      <w:pBdr/>
      <w:spacing/>
      <w:ind/>
    </w:pPr>
    <w:rPr>
      <w:rFonts w:ascii="Arial" w:hAnsi="Arial" w:eastAsia="Arial" w:cs="Arial"/>
      <w:color w:val="0f4761" w:themeColor="accent1" w:themeShade="BF"/>
      <w:sz w:val="40"/>
      <w:szCs w:val="40"/>
    </w:rPr>
  </w:style>
  <w:style w:type="character" w:styleId="895">
    <w:name w:val="Heading 2 Char"/>
    <w:basedOn w:val="944"/>
    <w:link w:val="888"/>
    <w:uiPriority w:val="9"/>
    <w:pPr>
      <w:pBdr/>
      <w:spacing/>
      <w:ind/>
    </w:pPr>
    <w:rPr>
      <w:rFonts w:ascii="Arial" w:hAnsi="Arial" w:eastAsia="Arial" w:cs="Arial"/>
      <w:color w:val="0f4761" w:themeColor="accent1" w:themeShade="BF"/>
      <w:sz w:val="32"/>
      <w:szCs w:val="32"/>
    </w:rPr>
  </w:style>
  <w:style w:type="character" w:styleId="896">
    <w:name w:val="Heading 3 Char"/>
    <w:basedOn w:val="944"/>
    <w:link w:val="942"/>
    <w:uiPriority w:val="9"/>
    <w:pPr>
      <w:pBdr/>
      <w:spacing/>
      <w:ind/>
    </w:pPr>
    <w:rPr>
      <w:rFonts w:ascii="Arial" w:hAnsi="Arial" w:eastAsia="Arial" w:cs="Arial"/>
      <w:color w:val="0f4761" w:themeColor="accent1" w:themeShade="BF"/>
      <w:sz w:val="28"/>
      <w:szCs w:val="28"/>
    </w:rPr>
  </w:style>
  <w:style w:type="character" w:styleId="897">
    <w:name w:val="Heading 4 Char"/>
    <w:basedOn w:val="944"/>
    <w:link w:val="943"/>
    <w:uiPriority w:val="9"/>
    <w:pPr>
      <w:pBdr/>
      <w:spacing/>
      <w:ind/>
    </w:pPr>
    <w:rPr>
      <w:rFonts w:ascii="Arial" w:hAnsi="Arial" w:eastAsia="Arial" w:cs="Arial"/>
      <w:i/>
      <w:iCs/>
      <w:color w:val="0f4761" w:themeColor="accent1" w:themeShade="BF"/>
    </w:rPr>
  </w:style>
  <w:style w:type="character" w:styleId="898">
    <w:name w:val="Heading 5 Char"/>
    <w:basedOn w:val="944"/>
    <w:link w:val="889"/>
    <w:uiPriority w:val="9"/>
    <w:pPr>
      <w:pBdr/>
      <w:spacing/>
      <w:ind/>
    </w:pPr>
    <w:rPr>
      <w:rFonts w:ascii="Arial" w:hAnsi="Arial" w:eastAsia="Arial" w:cs="Arial"/>
      <w:color w:val="0f4761" w:themeColor="accent1" w:themeShade="BF"/>
    </w:rPr>
  </w:style>
  <w:style w:type="character" w:styleId="899">
    <w:name w:val="Heading 6 Char"/>
    <w:basedOn w:val="944"/>
    <w:link w:val="890"/>
    <w:uiPriority w:val="9"/>
    <w:pPr>
      <w:pBdr/>
      <w:spacing/>
      <w:ind/>
    </w:pPr>
    <w:rPr>
      <w:rFonts w:ascii="Arial" w:hAnsi="Arial" w:eastAsia="Arial" w:cs="Arial"/>
      <w:i/>
      <w:iCs/>
      <w:color w:val="595959" w:themeColor="text1" w:themeTint="A6"/>
    </w:rPr>
  </w:style>
  <w:style w:type="character" w:styleId="900">
    <w:name w:val="Heading 7 Char"/>
    <w:basedOn w:val="944"/>
    <w:link w:val="891"/>
    <w:uiPriority w:val="9"/>
    <w:pPr>
      <w:pBdr/>
      <w:spacing/>
      <w:ind/>
    </w:pPr>
    <w:rPr>
      <w:rFonts w:ascii="Arial" w:hAnsi="Arial" w:eastAsia="Arial" w:cs="Arial"/>
      <w:color w:val="595959" w:themeColor="text1" w:themeTint="A6"/>
    </w:rPr>
  </w:style>
  <w:style w:type="character" w:styleId="901">
    <w:name w:val="Heading 8 Char"/>
    <w:basedOn w:val="944"/>
    <w:link w:val="892"/>
    <w:uiPriority w:val="9"/>
    <w:pPr>
      <w:pBdr/>
      <w:spacing/>
      <w:ind/>
    </w:pPr>
    <w:rPr>
      <w:rFonts w:ascii="Arial" w:hAnsi="Arial" w:eastAsia="Arial" w:cs="Arial"/>
      <w:i/>
      <w:iCs/>
      <w:color w:val="272727" w:themeColor="text1" w:themeTint="D8"/>
    </w:rPr>
  </w:style>
  <w:style w:type="character" w:styleId="902">
    <w:name w:val="Heading 9 Char"/>
    <w:basedOn w:val="944"/>
    <w:link w:val="893"/>
    <w:uiPriority w:val="9"/>
    <w:pPr>
      <w:pBdr/>
      <w:spacing/>
      <w:ind/>
    </w:pPr>
    <w:rPr>
      <w:rFonts w:ascii="Arial" w:hAnsi="Arial" w:eastAsia="Arial" w:cs="Arial"/>
      <w:i/>
      <w:iCs/>
      <w:color w:val="272727" w:themeColor="text1" w:themeTint="D8"/>
    </w:rPr>
  </w:style>
  <w:style w:type="paragraph" w:styleId="903">
    <w:name w:val="Title"/>
    <w:basedOn w:val="941"/>
    <w:next w:val="941"/>
    <w:link w:val="904"/>
    <w:uiPriority w:val="10"/>
    <w:qFormat/>
    <w:pPr>
      <w:pBdr/>
      <w:spacing w:after="80" w:line="240" w:lineRule="auto"/>
      <w:ind/>
      <w:contextualSpacing w:val="true"/>
    </w:pPr>
    <w:rPr>
      <w:rFonts w:ascii="Arial" w:hAnsi="Arial" w:eastAsia="Arial" w:cs="Arial"/>
      <w:spacing w:val="-10"/>
      <w:sz w:val="56"/>
      <w:szCs w:val="56"/>
    </w:rPr>
  </w:style>
  <w:style w:type="character" w:styleId="904">
    <w:name w:val="Title Char"/>
    <w:basedOn w:val="944"/>
    <w:link w:val="903"/>
    <w:uiPriority w:val="10"/>
    <w:pPr>
      <w:pBdr/>
      <w:spacing/>
      <w:ind/>
    </w:pPr>
    <w:rPr>
      <w:rFonts w:ascii="Arial" w:hAnsi="Arial" w:eastAsia="Arial" w:cs="Arial"/>
      <w:spacing w:val="-10"/>
      <w:sz w:val="56"/>
      <w:szCs w:val="56"/>
    </w:rPr>
  </w:style>
  <w:style w:type="paragraph" w:styleId="905">
    <w:name w:val="Subtitle"/>
    <w:basedOn w:val="941"/>
    <w:next w:val="941"/>
    <w:link w:val="906"/>
    <w:uiPriority w:val="11"/>
    <w:qFormat/>
    <w:pPr>
      <w:numPr>
        <w:ilvl w:val="1"/>
      </w:numPr>
      <w:pBdr/>
      <w:spacing/>
      <w:ind/>
    </w:pPr>
    <w:rPr>
      <w:color w:val="595959" w:themeColor="text1" w:themeTint="A6"/>
      <w:spacing w:val="15"/>
      <w:sz w:val="28"/>
      <w:szCs w:val="28"/>
    </w:rPr>
  </w:style>
  <w:style w:type="character" w:styleId="906">
    <w:name w:val="Subtitle Char"/>
    <w:basedOn w:val="944"/>
    <w:link w:val="905"/>
    <w:uiPriority w:val="11"/>
    <w:pPr>
      <w:pBdr/>
      <w:spacing/>
      <w:ind/>
    </w:pPr>
    <w:rPr>
      <w:color w:val="595959" w:themeColor="text1" w:themeTint="A6"/>
      <w:spacing w:val="15"/>
      <w:sz w:val="28"/>
      <w:szCs w:val="28"/>
    </w:rPr>
  </w:style>
  <w:style w:type="paragraph" w:styleId="907">
    <w:name w:val="Quote"/>
    <w:basedOn w:val="941"/>
    <w:next w:val="941"/>
    <w:link w:val="908"/>
    <w:uiPriority w:val="29"/>
    <w:qFormat/>
    <w:pPr>
      <w:pBdr/>
      <w:spacing w:before="160"/>
      <w:ind/>
      <w:jc w:val="center"/>
    </w:pPr>
    <w:rPr>
      <w:i/>
      <w:iCs/>
      <w:color w:val="404040" w:themeColor="text1" w:themeTint="BF"/>
    </w:rPr>
  </w:style>
  <w:style w:type="character" w:styleId="908">
    <w:name w:val="Quote Char"/>
    <w:basedOn w:val="944"/>
    <w:link w:val="907"/>
    <w:uiPriority w:val="29"/>
    <w:pPr>
      <w:pBdr/>
      <w:spacing/>
      <w:ind/>
    </w:pPr>
    <w:rPr>
      <w:i/>
      <w:iCs/>
      <w:color w:val="404040" w:themeColor="text1" w:themeTint="BF"/>
    </w:rPr>
  </w:style>
  <w:style w:type="paragraph" w:styleId="909">
    <w:name w:val="List Paragraph"/>
    <w:basedOn w:val="941"/>
    <w:uiPriority w:val="34"/>
    <w:qFormat/>
    <w:pPr>
      <w:pBdr/>
      <w:spacing/>
      <w:ind w:left="720"/>
      <w:contextualSpacing w:val="true"/>
    </w:pPr>
  </w:style>
  <w:style w:type="character" w:styleId="910">
    <w:name w:val="Intense Emphasis"/>
    <w:basedOn w:val="944"/>
    <w:uiPriority w:val="21"/>
    <w:qFormat/>
    <w:pPr>
      <w:pBdr/>
      <w:spacing/>
      <w:ind/>
    </w:pPr>
    <w:rPr>
      <w:i/>
      <w:iCs/>
      <w:color w:val="0f4761" w:themeColor="accent1" w:themeShade="BF"/>
    </w:rPr>
  </w:style>
  <w:style w:type="paragraph" w:styleId="911">
    <w:name w:val="Intense Quote"/>
    <w:basedOn w:val="941"/>
    <w:next w:val="941"/>
    <w:link w:val="912"/>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2">
    <w:name w:val="Intense Quote Char"/>
    <w:basedOn w:val="944"/>
    <w:link w:val="911"/>
    <w:uiPriority w:val="30"/>
    <w:pPr>
      <w:pBdr/>
      <w:spacing/>
      <w:ind/>
    </w:pPr>
    <w:rPr>
      <w:i/>
      <w:iCs/>
      <w:color w:val="0f4761" w:themeColor="accent1" w:themeShade="BF"/>
    </w:rPr>
  </w:style>
  <w:style w:type="character" w:styleId="913">
    <w:name w:val="Intense Reference"/>
    <w:basedOn w:val="944"/>
    <w:uiPriority w:val="32"/>
    <w:qFormat/>
    <w:pPr>
      <w:pBdr/>
      <w:spacing/>
      <w:ind/>
    </w:pPr>
    <w:rPr>
      <w:b/>
      <w:bCs/>
      <w:smallCaps/>
      <w:color w:val="0f4761" w:themeColor="accent1" w:themeShade="BF"/>
      <w:spacing w:val="5"/>
    </w:rPr>
  </w:style>
  <w:style w:type="paragraph" w:styleId="914">
    <w:name w:val="No Spacing"/>
    <w:basedOn w:val="941"/>
    <w:uiPriority w:val="1"/>
    <w:qFormat/>
    <w:pPr>
      <w:pBdr/>
      <w:spacing w:after="0" w:line="240" w:lineRule="auto"/>
      <w:ind/>
    </w:pPr>
  </w:style>
  <w:style w:type="character" w:styleId="915">
    <w:name w:val="Subtle Emphasis"/>
    <w:basedOn w:val="944"/>
    <w:uiPriority w:val="19"/>
    <w:qFormat/>
    <w:pPr>
      <w:pBdr/>
      <w:spacing/>
      <w:ind/>
    </w:pPr>
    <w:rPr>
      <w:i/>
      <w:iCs/>
      <w:color w:val="404040" w:themeColor="text1" w:themeTint="BF"/>
    </w:rPr>
  </w:style>
  <w:style w:type="character" w:styleId="916">
    <w:name w:val="Emphasis"/>
    <w:basedOn w:val="944"/>
    <w:uiPriority w:val="20"/>
    <w:qFormat/>
    <w:pPr>
      <w:pBdr/>
      <w:spacing/>
      <w:ind/>
    </w:pPr>
    <w:rPr>
      <w:i/>
      <w:iCs/>
    </w:rPr>
  </w:style>
  <w:style w:type="character" w:styleId="917">
    <w:name w:val="Subtle Reference"/>
    <w:basedOn w:val="944"/>
    <w:uiPriority w:val="31"/>
    <w:qFormat/>
    <w:pPr>
      <w:pBdr/>
      <w:spacing/>
      <w:ind/>
    </w:pPr>
    <w:rPr>
      <w:smallCaps/>
      <w:color w:val="5a5a5a" w:themeColor="text1" w:themeTint="A5"/>
    </w:rPr>
  </w:style>
  <w:style w:type="character" w:styleId="918">
    <w:name w:val="Book Title"/>
    <w:basedOn w:val="944"/>
    <w:uiPriority w:val="33"/>
    <w:qFormat/>
    <w:pPr>
      <w:pBdr/>
      <w:spacing/>
      <w:ind/>
    </w:pPr>
    <w:rPr>
      <w:b/>
      <w:bCs/>
      <w:i/>
      <w:iCs/>
      <w:spacing w:val="5"/>
    </w:rPr>
  </w:style>
  <w:style w:type="paragraph" w:styleId="919">
    <w:name w:val="Header"/>
    <w:basedOn w:val="941"/>
    <w:link w:val="920"/>
    <w:uiPriority w:val="99"/>
    <w:unhideWhenUsed/>
    <w:pPr>
      <w:pBdr/>
      <w:tabs>
        <w:tab w:val="center" w:leader="none" w:pos="4844"/>
        <w:tab w:val="right" w:leader="none" w:pos="9689"/>
      </w:tabs>
      <w:spacing w:after="0" w:line="240" w:lineRule="auto"/>
      <w:ind/>
    </w:pPr>
  </w:style>
  <w:style w:type="character" w:styleId="920">
    <w:name w:val="Header Char"/>
    <w:basedOn w:val="944"/>
    <w:link w:val="919"/>
    <w:uiPriority w:val="99"/>
    <w:pPr>
      <w:pBdr/>
      <w:spacing/>
      <w:ind/>
    </w:pPr>
  </w:style>
  <w:style w:type="paragraph" w:styleId="921">
    <w:name w:val="Footer"/>
    <w:basedOn w:val="941"/>
    <w:link w:val="922"/>
    <w:uiPriority w:val="99"/>
    <w:unhideWhenUsed/>
    <w:pPr>
      <w:pBdr/>
      <w:tabs>
        <w:tab w:val="center" w:leader="none" w:pos="4844"/>
        <w:tab w:val="right" w:leader="none" w:pos="9689"/>
      </w:tabs>
      <w:spacing w:after="0" w:line="240" w:lineRule="auto"/>
      <w:ind/>
    </w:pPr>
  </w:style>
  <w:style w:type="character" w:styleId="922">
    <w:name w:val="Footer Char"/>
    <w:basedOn w:val="944"/>
    <w:link w:val="921"/>
    <w:uiPriority w:val="99"/>
    <w:pPr>
      <w:pBdr/>
      <w:spacing/>
      <w:ind/>
    </w:pPr>
  </w:style>
  <w:style w:type="paragraph" w:styleId="923">
    <w:name w:val="footnote text"/>
    <w:basedOn w:val="941"/>
    <w:link w:val="924"/>
    <w:uiPriority w:val="99"/>
    <w:semiHidden/>
    <w:unhideWhenUsed/>
    <w:pPr>
      <w:pBdr/>
      <w:spacing w:after="0" w:line="240" w:lineRule="auto"/>
      <w:ind/>
    </w:pPr>
    <w:rPr>
      <w:sz w:val="20"/>
      <w:szCs w:val="20"/>
    </w:rPr>
  </w:style>
  <w:style w:type="character" w:styleId="924">
    <w:name w:val="Footnote Text Char"/>
    <w:basedOn w:val="944"/>
    <w:link w:val="923"/>
    <w:uiPriority w:val="99"/>
    <w:semiHidden/>
    <w:pPr>
      <w:pBdr/>
      <w:spacing/>
      <w:ind/>
    </w:pPr>
    <w:rPr>
      <w:sz w:val="20"/>
      <w:szCs w:val="20"/>
    </w:rPr>
  </w:style>
  <w:style w:type="character" w:styleId="925">
    <w:name w:val="footnote reference"/>
    <w:basedOn w:val="944"/>
    <w:uiPriority w:val="99"/>
    <w:semiHidden/>
    <w:unhideWhenUsed/>
    <w:pPr>
      <w:pBdr/>
      <w:spacing/>
      <w:ind/>
    </w:pPr>
    <w:rPr>
      <w:vertAlign w:val="superscript"/>
    </w:rPr>
  </w:style>
  <w:style w:type="paragraph" w:styleId="926">
    <w:name w:val="endnote text"/>
    <w:basedOn w:val="941"/>
    <w:link w:val="927"/>
    <w:uiPriority w:val="99"/>
    <w:semiHidden/>
    <w:unhideWhenUsed/>
    <w:pPr>
      <w:pBdr/>
      <w:spacing w:after="0" w:line="240" w:lineRule="auto"/>
      <w:ind/>
    </w:pPr>
    <w:rPr>
      <w:sz w:val="20"/>
      <w:szCs w:val="20"/>
    </w:rPr>
  </w:style>
  <w:style w:type="character" w:styleId="927">
    <w:name w:val="Endnote Text Char"/>
    <w:basedOn w:val="944"/>
    <w:link w:val="926"/>
    <w:uiPriority w:val="99"/>
    <w:semiHidden/>
    <w:pPr>
      <w:pBdr/>
      <w:spacing/>
      <w:ind/>
    </w:pPr>
    <w:rPr>
      <w:sz w:val="20"/>
      <w:szCs w:val="20"/>
    </w:rPr>
  </w:style>
  <w:style w:type="character" w:styleId="928">
    <w:name w:val="endnote reference"/>
    <w:basedOn w:val="944"/>
    <w:uiPriority w:val="99"/>
    <w:semiHidden/>
    <w:unhideWhenUsed/>
    <w:pPr>
      <w:pBdr/>
      <w:spacing/>
      <w:ind/>
    </w:pPr>
    <w:rPr>
      <w:vertAlign w:val="superscript"/>
    </w:rPr>
  </w:style>
  <w:style w:type="character" w:styleId="929">
    <w:name w:val="FollowedHyperlink"/>
    <w:basedOn w:val="944"/>
    <w:uiPriority w:val="99"/>
    <w:semiHidden/>
    <w:unhideWhenUsed/>
    <w:pPr>
      <w:pBdr/>
      <w:spacing/>
      <w:ind/>
    </w:pPr>
    <w:rPr>
      <w:color w:val="954f72" w:themeColor="followedHyperlink"/>
      <w:u w:val="single"/>
    </w:rPr>
  </w:style>
  <w:style w:type="paragraph" w:styleId="930">
    <w:name w:val="toc 1"/>
    <w:basedOn w:val="941"/>
    <w:next w:val="941"/>
    <w:uiPriority w:val="39"/>
    <w:unhideWhenUsed/>
    <w:pPr>
      <w:pBdr/>
      <w:spacing w:after="100"/>
      <w:ind/>
    </w:pPr>
  </w:style>
  <w:style w:type="paragraph" w:styleId="931">
    <w:name w:val="toc 2"/>
    <w:basedOn w:val="941"/>
    <w:next w:val="941"/>
    <w:uiPriority w:val="39"/>
    <w:unhideWhenUsed/>
    <w:pPr>
      <w:pBdr/>
      <w:spacing w:after="100"/>
      <w:ind w:left="220"/>
    </w:pPr>
  </w:style>
  <w:style w:type="paragraph" w:styleId="932">
    <w:name w:val="toc 3"/>
    <w:basedOn w:val="941"/>
    <w:next w:val="941"/>
    <w:uiPriority w:val="39"/>
    <w:unhideWhenUsed/>
    <w:pPr>
      <w:pBdr/>
      <w:spacing w:after="100"/>
      <w:ind w:left="440"/>
    </w:pPr>
  </w:style>
  <w:style w:type="paragraph" w:styleId="933">
    <w:name w:val="toc 4"/>
    <w:basedOn w:val="941"/>
    <w:next w:val="941"/>
    <w:uiPriority w:val="39"/>
    <w:unhideWhenUsed/>
    <w:pPr>
      <w:pBdr/>
      <w:spacing w:after="100"/>
      <w:ind w:left="660"/>
    </w:pPr>
  </w:style>
  <w:style w:type="paragraph" w:styleId="934">
    <w:name w:val="toc 5"/>
    <w:basedOn w:val="941"/>
    <w:next w:val="941"/>
    <w:uiPriority w:val="39"/>
    <w:unhideWhenUsed/>
    <w:pPr>
      <w:pBdr/>
      <w:spacing w:after="100"/>
      <w:ind w:left="880"/>
    </w:pPr>
  </w:style>
  <w:style w:type="paragraph" w:styleId="935">
    <w:name w:val="toc 6"/>
    <w:basedOn w:val="941"/>
    <w:next w:val="941"/>
    <w:uiPriority w:val="39"/>
    <w:unhideWhenUsed/>
    <w:pPr>
      <w:pBdr/>
      <w:spacing w:after="100"/>
      <w:ind w:left="1100"/>
    </w:pPr>
  </w:style>
  <w:style w:type="paragraph" w:styleId="936">
    <w:name w:val="toc 7"/>
    <w:basedOn w:val="941"/>
    <w:next w:val="941"/>
    <w:uiPriority w:val="39"/>
    <w:unhideWhenUsed/>
    <w:pPr>
      <w:pBdr/>
      <w:spacing w:after="100"/>
      <w:ind w:left="1320"/>
    </w:pPr>
  </w:style>
  <w:style w:type="paragraph" w:styleId="937">
    <w:name w:val="toc 8"/>
    <w:basedOn w:val="941"/>
    <w:next w:val="941"/>
    <w:uiPriority w:val="39"/>
    <w:unhideWhenUsed/>
    <w:pPr>
      <w:pBdr/>
      <w:spacing w:after="100"/>
      <w:ind w:left="1540"/>
    </w:pPr>
  </w:style>
  <w:style w:type="paragraph" w:styleId="938">
    <w:name w:val="toc 9"/>
    <w:basedOn w:val="941"/>
    <w:next w:val="941"/>
    <w:uiPriority w:val="39"/>
    <w:unhideWhenUsed/>
    <w:pPr>
      <w:pBdr/>
      <w:spacing w:after="100"/>
      <w:ind w:left="1760"/>
    </w:pPr>
  </w:style>
  <w:style w:type="paragraph" w:styleId="939">
    <w:name w:val="TOC Heading"/>
    <w:uiPriority w:val="39"/>
    <w:unhideWhenUsed/>
    <w:pPr>
      <w:pBdr/>
      <w:spacing/>
      <w:ind/>
    </w:pPr>
  </w:style>
  <w:style w:type="paragraph" w:styleId="940">
    <w:name w:val="table of figures"/>
    <w:basedOn w:val="941"/>
    <w:next w:val="941"/>
    <w:uiPriority w:val="99"/>
    <w:unhideWhenUsed/>
    <w:pPr>
      <w:pBdr/>
      <w:spacing w:after="0" w:afterAutospacing="0"/>
      <w:ind/>
    </w:pPr>
  </w:style>
  <w:style w:type="paragraph" w:styleId="941" w:default="1">
    <w:name w:val="Normal"/>
    <w:qFormat/>
    <w:pPr>
      <w:pBdr/>
      <w:spacing/>
      <w:ind/>
    </w:pPr>
  </w:style>
  <w:style w:type="paragraph" w:styleId="942">
    <w:name w:val="Heading 3"/>
    <w:basedOn w:val="952"/>
    <w:next w:val="953"/>
    <w:uiPriority w:val="9"/>
    <w:unhideWhenUsed/>
    <w:qFormat/>
    <w:pPr>
      <w:pBdr/>
      <w:spacing w:before="140"/>
      <w:ind/>
      <w:outlineLvl w:val="2"/>
    </w:pPr>
    <w:rPr>
      <w:rFonts w:ascii="Liberation Serif" w:hAnsi="Liberation Serif" w:eastAsia="Noto Serif CJK SC"/>
      <w:b/>
      <w:bCs/>
    </w:rPr>
  </w:style>
  <w:style w:type="paragraph" w:styleId="943">
    <w:name w:val="Heading 4"/>
    <w:basedOn w:val="952"/>
    <w:next w:val="953"/>
    <w:uiPriority w:val="9"/>
    <w:unhideWhenUsed/>
    <w:qFormat/>
    <w:pPr>
      <w:pBdr/>
      <w:spacing w:before="120"/>
      <w:ind/>
      <w:outlineLvl w:val="3"/>
    </w:pPr>
    <w:rPr>
      <w:rFonts w:ascii="Liberation Serif" w:hAnsi="Liberation Serif" w:eastAsia="Noto Serif CJK SC"/>
      <w:b/>
      <w:bCs/>
      <w:sz w:val="24"/>
      <w:szCs w:val="24"/>
    </w:rPr>
  </w:style>
  <w:style w:type="character" w:styleId="944" w:default="1">
    <w:name w:val="Default Paragraph Font"/>
    <w:uiPriority w:val="1"/>
    <w:semiHidden/>
    <w:unhideWhenUsed/>
    <w:pPr>
      <w:pBdr/>
      <w:spacing/>
      <w:ind/>
    </w:pPr>
  </w:style>
  <w:style w:type="table" w:styleId="94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6" w:default="1">
    <w:name w:val="No List"/>
    <w:uiPriority w:val="99"/>
    <w:semiHidden/>
    <w:unhideWhenUsed/>
    <w:pPr>
      <w:pBdr/>
      <w:spacing/>
      <w:ind/>
    </w:pPr>
  </w:style>
  <w:style w:type="character" w:styleId="947">
    <w:name w:val="Hyperlink"/>
    <w:pPr>
      <w:pBdr/>
      <w:spacing/>
      <w:ind/>
    </w:pPr>
    <w:rPr>
      <w:color w:val="000080"/>
      <w:u w:val="single"/>
    </w:rPr>
  </w:style>
  <w:style w:type="character" w:styleId="948" w:customStyle="1">
    <w:name w:val="Bullets"/>
    <w:qFormat/>
    <w:pPr>
      <w:pBdr/>
      <w:spacing/>
      <w:ind/>
    </w:pPr>
    <w:rPr>
      <w:rFonts w:ascii="OpenSymbol" w:hAnsi="OpenSymbol" w:eastAsia="OpenSymbol" w:cs="OpenSymbol"/>
    </w:rPr>
  </w:style>
  <w:style w:type="character" w:styleId="949" w:customStyle="1">
    <w:name w:val="Numbering Symbols"/>
    <w:qFormat/>
    <w:pPr>
      <w:pBdr/>
      <w:spacing/>
      <w:ind/>
    </w:pPr>
  </w:style>
  <w:style w:type="character" w:styleId="950" w:customStyle="1">
    <w:name w:val="Source Text"/>
    <w:qFormat/>
    <w:pPr>
      <w:pBdr/>
      <w:spacing/>
      <w:ind/>
    </w:pPr>
    <w:rPr>
      <w:rFonts w:ascii="Liberation Mono" w:hAnsi="Liberation Mono" w:eastAsia="Noto Sans Mono CJK SC" w:cs="Liberation Mono"/>
    </w:rPr>
  </w:style>
  <w:style w:type="character" w:styleId="951">
    <w:name w:val="Strong"/>
    <w:qFormat/>
    <w:pPr>
      <w:pBdr/>
      <w:spacing/>
      <w:ind/>
    </w:pPr>
    <w:rPr>
      <w:b/>
      <w:bCs/>
    </w:rPr>
  </w:style>
  <w:style w:type="paragraph" w:styleId="952" w:customStyle="1">
    <w:name w:val="Heading"/>
    <w:basedOn w:val="941"/>
    <w:next w:val="953"/>
    <w:qFormat/>
    <w:pPr>
      <w:keepNext w:val="true"/>
      <w:pBdr/>
      <w:spacing w:after="120" w:before="240"/>
      <w:ind/>
    </w:pPr>
    <w:rPr>
      <w:rFonts w:ascii="Liberation Sans" w:hAnsi="Liberation Sans" w:eastAsia="Noto Sans CJK SC"/>
      <w:sz w:val="28"/>
      <w:szCs w:val="28"/>
    </w:rPr>
  </w:style>
  <w:style w:type="paragraph" w:styleId="953">
    <w:name w:val="Body Text"/>
    <w:basedOn w:val="941"/>
    <w:pPr>
      <w:pBdr/>
      <w:spacing w:after="140" w:line="276" w:lineRule="auto"/>
      <w:ind/>
    </w:pPr>
  </w:style>
  <w:style w:type="paragraph" w:styleId="954">
    <w:name w:val="List"/>
    <w:basedOn w:val="953"/>
    <w:pPr>
      <w:pBdr/>
      <w:spacing/>
      <w:ind/>
    </w:pPr>
  </w:style>
  <w:style w:type="paragraph" w:styleId="955">
    <w:name w:val="Caption"/>
    <w:basedOn w:val="941"/>
    <w:qFormat/>
    <w:pPr>
      <w:suppressLineNumbers w:val="true"/>
      <w:pBdr/>
      <w:spacing w:after="120" w:before="120"/>
      <w:ind/>
    </w:pPr>
    <w:rPr>
      <w:i/>
      <w:iCs/>
    </w:rPr>
  </w:style>
  <w:style w:type="paragraph" w:styleId="956" w:customStyle="1">
    <w:name w:val="Index"/>
    <w:basedOn w:val="941"/>
    <w:qFormat/>
    <w:pPr>
      <w:suppressLineNumbers w:val="true"/>
      <w:pBdr/>
      <w:spacing/>
      <w:ind/>
    </w:pPr>
  </w:style>
  <w:style w:type="paragraph" w:styleId="957" w:customStyle="1">
    <w:name w:val="Table Contents"/>
    <w:basedOn w:val="941"/>
    <w:qFormat/>
    <w:pPr>
      <w:widowControl w:val="false"/>
      <w:suppressLineNumbers w:val="true"/>
      <w:pBdr/>
      <w:spacing/>
      <w:ind/>
    </w:pPr>
  </w:style>
  <w:style w:type="paragraph" w:styleId="958" w:customStyle="1">
    <w:name w:val="Table Heading"/>
    <w:basedOn w:val="957"/>
    <w:qFormat/>
    <w:pPr>
      <w:pBdr/>
      <w:spacing/>
      <w:ind/>
      <w:jc w:val="center"/>
    </w:pPr>
    <w:rPr>
      <w:b/>
      <w:bCs/>
    </w:rPr>
  </w:style>
  <w:style w:type="paragraph" w:styleId="959" w:customStyle="1">
    <w:name w:val="Preformatted Text"/>
    <w:basedOn w:val="941"/>
    <w:qFormat/>
    <w:pPr>
      <w:pBdr/>
      <w:spacing/>
      <w:ind/>
    </w:pPr>
    <w:rPr>
      <w:rFonts w:ascii="Liberation Mono" w:hAnsi="Liberation Mono" w:eastAsia="Noto Sans Mono CJK SC" w:cs="Liberation Mono"/>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omarieben7@gmail.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43</cp:revision>
  <dcterms:created xsi:type="dcterms:W3CDTF">2025-01-24T12:42:00Z</dcterms:created>
  <dcterms:modified xsi:type="dcterms:W3CDTF">2025-01-28T13:05:17Z</dcterms:modified>
</cp:coreProperties>
</file>