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highlight w:val="white"/>
          <w:rtl w:val="0"/>
        </w:rPr>
        <w:t xml:space="preserve">Игра: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 Sweet Crunch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highlight w:val="white"/>
          <w:rtl w:val="0"/>
        </w:rPr>
        <w:t xml:space="preserve">Модули: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Заставка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Профиль игрока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Пополнение жизней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Магазин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Настройки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Регистрация/Авторизация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Главный экран “Остров”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Модуль “Стройка”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Игровое поле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Реклама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highlight w:val="white"/>
          <w:rtl w:val="0"/>
        </w:rPr>
        <w:t xml:space="preserve">Чек-лист модуля “Настройки”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5010"/>
        <w:gridCol w:w="3120"/>
        <w:tblGridChange w:id="0">
          <w:tblGrid>
            <w:gridCol w:w="1230"/>
            <w:gridCol w:w="501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1f1f1f"/>
                <w:sz w:val="24"/>
                <w:szCs w:val="24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Настройки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Открыть окно “Настройки”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Убрать звук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Включить звук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Отключить музыку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Включить музыку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highlight w:val="white"/>
                <w:rtl w:val="0"/>
              </w:rPr>
              <w:t xml:space="preserve">Форма “Связаться с нами”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Проверка формы с валидными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Проверка формы с невалидными данными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Прочитать Правила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Прочитать Политику конфиденциальности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Оформить подписку на новости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Вход через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Закрыть окно “Настройки”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Roboto" w:cs="Roboto" w:eastAsia="Roboto" w:hAnsi="Roboto"/>
          <w:b w:val="1"/>
          <w:color w:val="1f1f1f"/>
          <w:sz w:val="33"/>
          <w:szCs w:val="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highlight w:val="white"/>
          <w:rtl w:val="0"/>
        </w:rPr>
        <w:t xml:space="preserve">Задание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f1f1f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Проверки для поля ввода имени игрока: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Позитивные проверки: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Ввод разрешенных символов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Ввод строки с Min и Max разрешенной длиной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Ввод строки с Min +1 и Max -1 длиной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Ввод разрешенных спецсимволов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Ввод строк с разными регистрами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Негативные проверки: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Ввод запрещенных символов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Ввод строки с Min -1 и Max +1 длиной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Ввод очень большого текста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Ввод запрещенных спецсимволов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Эмоджи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Отправка пустого поля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Ввод только пробелов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Инъекции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Roboto" w:cs="Roboto" w:eastAsia="Roboto" w:hAnsi="Roboto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005"/>
        <w:tblGridChange w:id="0">
          <w:tblGrid>
            <w:gridCol w:w="235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Пользователь не может воспользоваться доступным бонусом “Молоток” и перенаправляется на покупку дополнительных бонусов за монеты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Пользователю доступно 6 молотков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Android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Открыть игру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Зайти в уровень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Нажать на бонус “Молоток”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Пользователь может воспользоваться доступным бонусом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Бонус не доступен пользователю. Осуществляется переход к покупке новых бонусов.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“Здесь должен быть линк на видео с записью воспроизведения бага”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Так как я не знаю, как должна вести себя система, могу предположить, что это тоже баг: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005"/>
        <w:tblGridChange w:id="0">
          <w:tblGrid>
            <w:gridCol w:w="235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В поп-апе не отображается доступное игроку количество монет при покупке бонуса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Android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Открыть игру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Зайти в уровень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Тап на бонус “Молоток”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Тап на кнопку 190 в поп-апе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В поп-апе отображается количество монет доступных игроку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В поп-апе вместо количества доступных монет написано “Нет монет”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highlight w:val="white"/>
                <w:rtl w:val="0"/>
              </w:rPr>
              <w:t xml:space="preserve">“Здесь должен быть линк на видео с записью воспроизведения бага”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Комментарий: 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В видео баг репорта есть момент в самом конце, где мне непонятна логика шагов воспроизведения. Во время оплаты происходит выбор карты “Тестовая карта всегда подтверждать”, которая уже была выбрана. Так как у меня нет требований, могу предположить, что это лишний шаг.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