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Manual 2023 (Legacy PDF)</w:t>
      </w:r>
    </w:p>
    <w:p>
      <w:r>
        <w:rPr>
          <w:b w:val="0"/>
          <w:sz w:val="22"/>
        </w:rPr>
        <w:t>This is an archived PDF from 2023.</w:t>
      </w:r>
    </w:p>
    <w:p>
      <w:r>
        <w:rPr>
          <w:b w:val="0"/>
          <w:sz w:val="22"/>
        </w:rPr>
        <w:t>⚠ WARNING: This document is outdated and should not be referenced.</w:t>
      </w:r>
    </w:p>
    <w:p/>
    <w:p>
      <w:pPr>
        <w:pStyle w:val="Heading1"/>
      </w:pPr>
      <w:r>
        <w:t>Legacy Content</w:t>
      </w:r>
    </w:p>
    <w:p>
      <w:r>
        <w:rPr>
          <w:b w:val="0"/>
          <w:sz w:val="22"/>
        </w:rPr>
        <w:t>Old contact: IT Helpdesk ext. 5678 (now deprecated)</w:t>
      </w:r>
    </w:p>
    <w:p>
      <w:r>
        <w:rPr>
          <w:b w:val="0"/>
          <w:sz w:val="22"/>
        </w:rPr>
        <w:t>Old process: Submit ticket via email (now uses web portal)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