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Company Policy (PDF)</w:t>
      </w:r>
    </w:p>
    <w:p>
      <w:r>
        <w:rPr>
          <w:b w:val="0"/>
          <w:sz w:val="22"/>
        </w:rPr>
        <w:t>Same content exists in both .docx and .pdf formats.</w:t>
      </w:r>
    </w:p>
    <w:p>
      <w:r>
        <w:rPr>
          <w:b w:val="0"/>
          <w:sz w:val="22"/>
        </w:rPr>
        <w:t>This creates version ambiguity.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