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专修Specialized Ability</w:t>
      </w:r>
    </w:p>
    <w:p w14:paraId="61245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专修能力是《灰烬世界（EW）》中所有生灵与生俱来的核心特质，亦是角色构筑的核心基石。通过不同专修的自由搭配，可差异化塑造角色、NPC、魔物及各类生灵的基础特质，并完成实力层级判定。</w:t>
      </w:r>
    </w:p>
    <w:p w14:paraId="5D564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除被动造诣类专修无等级外，其余所有专修均设20 级等级上限。一切实操判定，皆以3 颗八面骰投点结果为基础，再叠加对应专修等级赋予的效果加值，最终结算判定成败。</w:t>
      </w:r>
    </w:p>
    <w:p w14:paraId="05226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2007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hint="default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攻击效应专修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</w:p>
    <w:p w14:paraId="153F1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具备攻击效应的专修，可于战斗中作为核心攻击判定依据；仅标注</w:t>
      </w: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（A）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标识的专修，拥有充当攻击鉴定的专属权限，其余专修不可作为战斗攻击判定使用。</w:t>
      </w:r>
    </w:p>
    <w:p w14:paraId="0DEBE4EC">
      <w:pPr>
        <w:rPr>
          <w:rFonts w:hint="eastAsia" w:ascii="微软雅黑" w:hAnsi="微软雅黑" w:eastAsia="微软雅黑" w:cs="微软雅黑"/>
          <w:lang w:val="en-US"/>
        </w:rPr>
      </w:pPr>
    </w:p>
    <w:p w14:paraId="702BF021">
      <w:pP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防御效应专修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4625F5A1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具备防御效应的专修，可作为战斗中的核心防御判定依据；仅标注</w:t>
      </w: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  <w:t>（B）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标识的专修拥有承担防御鉴定的专属权限，其余专修不得用于防御判定。</w:t>
      </w:r>
    </w:p>
    <w:p w14:paraId="77E48285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14A2F247">
      <w:pP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维持效应专修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5841F86A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具备维持效应的专修，在其鉴定成功后，将持续生效并维系该专修对应的专属状态。若该持续状态被中断、破除，则需重新进行专修鉴定方可再次维系效果；状态破除的判定方式与触发条件，由主持人自行裁定。仅标注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sz w:val="24"/>
          <w:szCs w:val="24"/>
          <w:lang w:val="en-US" w:eastAsia="zh-CN"/>
        </w:rPr>
        <w:t>（C）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标识的专修，拥有维持效应类别权限。</w:t>
      </w:r>
    </w:p>
    <w:p w14:paraId="0543410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6061A01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领导效应专修（L）</w:t>
      </w:r>
    </w:p>
    <w:p w14:paraId="334444CD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领导效应的专修，其效果仅在领导轮次中生效与结算，且只适用于长线发展类剧情，适配 EW 世界观专属的领导力规则玩法。仅有标注 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</w:rPr>
        <w:t>（L）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标识的专修，才可拥有并解锁领导效应类别权限。</w:t>
      </w:r>
    </w:p>
    <w:p w14:paraId="097B7189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DC2C187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C3B9C"/>
    <w:rsid w:val="4BB6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2026-05-08T07:21:52Z</dcterms:created>
  <dc:creator>admin</dc:creator>
  <cp:lastModifiedBy>咸鱼love斯威夫特</cp:lastModifiedBy>
  <dcterms:modified xsi:type="dcterms:W3CDTF">2026-05-08T08:42:10Z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231F3E4FFDE3450C8C42D41309303676_12</vt:lpwstr>
  </property>
</Properties>
</file>