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FFEC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86" w:type="dxa"/>
            <w:tcBorders>
              <w:top w:val="nil"/>
              <w:left w:val="nil"/>
              <w:bottom w:val="nil"/>
              <w:right w:val="nil"/>
            </w:tcBorders>
            <w:shd w:val="clear" w:color="auto" w:fill="1A3C6B"/>
            <w:tcMar>
              <w:top w:w="300" w:type="dxa"/>
              <w:left w:w="360" w:type="dxa"/>
              <w:bottom w:w="300" w:type="dxa"/>
              <w:right w:w="360" w:type="dxa"/>
            </w:tcMar>
          </w:tcPr>
          <w:p w14:paraId="318A3DA4">
            <w:pPr>
              <w:jc w:val="center"/>
            </w:pPr>
            <w:r>
              <w:rPr>
                <w:rFonts w:ascii="Arial" w:hAnsi="Arial" w:eastAsia="Arial" w:cs="Arial"/>
                <w:b/>
                <w:bCs/>
                <w:color w:val="FFFFFF"/>
                <w:sz w:val="36"/>
                <w:szCs w:val="36"/>
              </w:rPr>
              <w:t>KONTRAK PERJANJIAN KERJA</w:t>
            </w:r>
          </w:p>
          <w:p w14:paraId="329CC759">
            <w:pPr>
              <w:spacing w:before="80"/>
              <w:jc w:val="center"/>
            </w:pPr>
            <w:r>
              <w:rPr>
                <w:rFonts w:ascii="Arial" w:hAnsi="Arial" w:eastAsia="Arial" w:cs="Arial"/>
                <w:color w:val="AACCFF"/>
                <w:sz w:val="20"/>
                <w:szCs w:val="20"/>
              </w:rPr>
              <w:t>MAINTENANCE &amp; SUPPORT SISTEM YIFANG PAYROLL</w:t>
            </w:r>
          </w:p>
          <w:p w14:paraId="728A6BC0">
            <w:pPr>
              <w:spacing w:before="60"/>
              <w:jc w:val="center"/>
            </w:pPr>
            <w:r>
              <w:rPr>
                <w:rFonts w:ascii="Arial" w:hAnsi="Arial" w:eastAsia="Arial" w:cs="Arial"/>
                <w:b/>
                <w:bCs/>
                <w:color w:val="D4920A"/>
                <w:sz w:val="20"/>
                <w:szCs w:val="20"/>
              </w:rPr>
              <w:t>No. Kontrak: KWS/KT/2026/001</w:t>
            </w:r>
          </w:p>
        </w:tc>
      </w:tr>
    </w:tbl>
    <w:p w14:paraId="739903DD">
      <w:pPr>
        <w:spacing w:before="160" w:after="0"/>
      </w:pP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93"/>
        <w:gridCol w:w="4693"/>
      </w:tblGrid>
      <w:tr w14:paraId="6FF5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93" w:type="dxa"/>
            <w:tcBorders>
              <w:top w:val="single" w:color="BBBBBB" w:sz="4" w:space="0"/>
              <w:left w:val="single" w:color="BBBBBB" w:sz="4" w:space="0"/>
              <w:bottom w:val="single" w:color="BBBBBB" w:sz="4" w:space="0"/>
              <w:right w:val="single" w:color="BBBBBB" w:sz="4" w:space="0"/>
            </w:tcBorders>
            <w:shd w:val="clear" w:color="auto" w:fill="DCE9F8"/>
            <w:tcMar>
              <w:top w:w="120" w:type="dxa"/>
              <w:left w:w="200" w:type="dxa"/>
              <w:bottom w:w="120" w:type="dxa"/>
              <w:right w:w="200" w:type="dxa"/>
            </w:tcMar>
          </w:tcPr>
          <w:p w14:paraId="68877FEC">
            <w:r>
              <w:rPr>
                <w:rFonts w:ascii="Arial" w:hAnsi="Arial" w:eastAsia="Arial" w:cs="Arial"/>
                <w:b/>
                <w:bCs/>
                <w:color w:val="1A3C6B"/>
                <w:sz w:val="20"/>
                <w:szCs w:val="20"/>
              </w:rPr>
              <w:t>Tanggal Kontrak</w:t>
            </w:r>
          </w:p>
          <w:p w14:paraId="7456423D">
            <w:pPr>
              <w:spacing w:before="40"/>
            </w:pPr>
            <w:r>
              <w:rPr>
                <w:rFonts w:ascii="Arial" w:hAnsi="Arial" w:eastAsia="Arial" w:cs="Arial"/>
                <w:b/>
                <w:bCs/>
                <w:color w:val="1A1A2E"/>
                <w:sz w:val="22"/>
                <w:szCs w:val="22"/>
              </w:rPr>
              <w:t>12 Mei 2026</w:t>
            </w:r>
          </w:p>
        </w:tc>
        <w:tc>
          <w:tcPr>
            <w:tcW w:w="4693" w:type="dxa"/>
            <w:tcBorders>
              <w:top w:val="single" w:color="BBBBBB" w:sz="4" w:space="0"/>
              <w:left w:val="single" w:color="BBBBBB" w:sz="4" w:space="0"/>
              <w:bottom w:val="single" w:color="BBBBBB" w:sz="4" w:space="0"/>
              <w:right w:val="single" w:color="BBBBBB" w:sz="4" w:space="0"/>
            </w:tcBorders>
            <w:shd w:val="clear" w:color="auto" w:fill="DCE9F8"/>
            <w:tcMar>
              <w:top w:w="120" w:type="dxa"/>
              <w:left w:w="200" w:type="dxa"/>
              <w:bottom w:w="120" w:type="dxa"/>
              <w:right w:w="200" w:type="dxa"/>
            </w:tcMar>
          </w:tcPr>
          <w:p w14:paraId="64B72742">
            <w:r>
              <w:rPr>
                <w:rFonts w:ascii="Arial" w:hAnsi="Arial" w:eastAsia="Arial" w:cs="Arial"/>
                <w:b/>
                <w:bCs/>
                <w:color w:val="1A3C6B"/>
                <w:sz w:val="20"/>
                <w:szCs w:val="20"/>
              </w:rPr>
              <w:t>Nilai Kontrak</w:t>
            </w:r>
          </w:p>
          <w:p w14:paraId="7E8030F5">
            <w:pPr>
              <w:spacing w:before="40"/>
            </w:pPr>
            <w:r>
              <w:rPr>
                <w:rFonts w:ascii="Arial" w:hAnsi="Arial" w:eastAsia="Arial" w:cs="Arial"/>
                <w:b/>
                <w:bCs/>
                <w:color w:val="1A3C6B"/>
                <w:sz w:val="22"/>
                <w:szCs w:val="22"/>
              </w:rPr>
              <w:t>Rp 2.000.000,- / Bulan</w:t>
            </w:r>
          </w:p>
        </w:tc>
      </w:tr>
      <w:tr w14:paraId="0DB9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93" w:type="dxa"/>
            <w:tcBorders>
              <w:top w:val="single" w:color="BBBBBB" w:sz="4" w:space="0"/>
              <w:left w:val="single" w:color="BBBBBB" w:sz="4" w:space="0"/>
              <w:bottom w:val="single" w:color="BBBBBB" w:sz="4" w:space="0"/>
              <w:right w:val="single" w:color="BBBBBB" w:sz="4" w:space="0"/>
            </w:tcBorders>
            <w:tcMar>
              <w:top w:w="160" w:type="dxa"/>
              <w:left w:w="200" w:type="dxa"/>
              <w:bottom w:w="160" w:type="dxa"/>
              <w:right w:w="200" w:type="dxa"/>
            </w:tcMar>
          </w:tcPr>
          <w:p w14:paraId="4951A872">
            <w:r>
              <w:rPr>
                <w:rFonts w:ascii="Arial" w:hAnsi="Arial" w:eastAsia="Arial" w:cs="Arial"/>
                <w:b/>
                <w:bCs/>
                <w:color w:val="1A3C6B"/>
                <w:sz w:val="20"/>
                <w:szCs w:val="20"/>
              </w:rPr>
              <w:t>PIHAK PERTAMA (Penyedia Jasa)</w:t>
            </w:r>
          </w:p>
          <w:p w14:paraId="7DBA6609">
            <w:pPr>
              <w:spacing w:before="60"/>
            </w:pPr>
            <w:r>
              <w:rPr>
                <w:rFonts w:ascii="Arial" w:hAnsi="Arial" w:eastAsia="Arial" w:cs="Arial"/>
                <w:b/>
                <w:bCs/>
                <w:color w:val="1A1A2E"/>
                <w:sz w:val="22"/>
                <w:szCs w:val="22"/>
              </w:rPr>
              <w:t>Kokofibo Web Solution</w:t>
            </w:r>
          </w:p>
          <w:p w14:paraId="0839D31C">
            <w:r>
              <w:rPr>
                <w:rFonts w:ascii="Arial" w:hAnsi="Arial" w:eastAsia="Arial" w:cs="Arial"/>
                <w:color w:val="555555"/>
                <w:sz w:val="19"/>
                <w:szCs w:val="19"/>
              </w:rPr>
              <w:t>Software Development &amp; IT Solutions</w:t>
            </w:r>
          </w:p>
        </w:tc>
        <w:tc>
          <w:tcPr>
            <w:tcW w:w="4693" w:type="dxa"/>
            <w:tcBorders>
              <w:top w:val="single" w:color="BBBBBB" w:sz="4" w:space="0"/>
              <w:left w:val="single" w:color="BBBBBB" w:sz="4" w:space="0"/>
              <w:bottom w:val="single" w:color="BBBBBB" w:sz="4" w:space="0"/>
              <w:right w:val="single" w:color="BBBBBB" w:sz="4" w:space="0"/>
            </w:tcBorders>
            <w:tcMar>
              <w:top w:w="160" w:type="dxa"/>
              <w:left w:w="200" w:type="dxa"/>
              <w:bottom w:w="160" w:type="dxa"/>
              <w:right w:w="200" w:type="dxa"/>
            </w:tcMar>
          </w:tcPr>
          <w:p w14:paraId="758296C0">
            <w:r>
              <w:rPr>
                <w:rFonts w:ascii="Arial" w:hAnsi="Arial" w:eastAsia="Arial" w:cs="Arial"/>
                <w:b/>
                <w:bCs/>
                <w:color w:val="1A3C6B"/>
                <w:sz w:val="20"/>
                <w:szCs w:val="20"/>
              </w:rPr>
              <w:t>PIHAK KEDUA (Pengguna Jasa)</w:t>
            </w:r>
          </w:p>
          <w:p w14:paraId="45A0168E">
            <w:pPr>
              <w:spacing w:before="60"/>
            </w:pPr>
            <w:r>
              <w:rPr>
                <w:rFonts w:ascii="Arial" w:hAnsi="Arial" w:eastAsia="Arial" w:cs="Arial"/>
                <w:b/>
                <w:bCs/>
                <w:color w:val="1A1A2E"/>
                <w:sz w:val="22"/>
                <w:szCs w:val="22"/>
              </w:rPr>
              <w:t>PT Sinar Textile Indonesia</w:t>
            </w:r>
          </w:p>
          <w:p w14:paraId="43B82228">
            <w:r>
              <w:rPr>
                <w:rFonts w:ascii="Arial" w:hAnsi="Arial" w:eastAsia="Arial" w:cs="Arial"/>
                <w:color w:val="555555"/>
                <w:sz w:val="19"/>
                <w:szCs w:val="19"/>
              </w:rPr>
              <w:t>Perusahaan Tekstil</w:t>
            </w:r>
          </w:p>
        </w:tc>
      </w:tr>
    </w:tbl>
    <w:p w14:paraId="402D2CF9">
      <w:pPr>
        <w:spacing w:before="200" w:after="0"/>
      </w:pPr>
    </w:p>
    <w:p w14:paraId="70F97DF7">
      <w:pPr>
        <w:pBdr>
          <w:bottom w:val="single" w:color="2E5FA3" w:sz="6" w:space="1"/>
        </w:pBdr>
        <w:spacing w:before="80" w:after="80"/>
      </w:pPr>
    </w:p>
    <w:p w14:paraId="451CF209">
      <w:pPr>
        <w:spacing w:before="100" w:after="0"/>
      </w:pPr>
    </w:p>
    <w:p w14:paraId="6DDF321E">
      <w:pPr>
        <w:spacing w:before="60" w:after="60"/>
        <w:jc w:val="both"/>
      </w:pPr>
      <w:r>
        <w:rPr>
          <w:rFonts w:ascii="Arial" w:hAnsi="Arial" w:eastAsia="Arial" w:cs="Arial"/>
          <w:color w:val="1A1A2E"/>
          <w:sz w:val="22"/>
          <w:szCs w:val="22"/>
        </w:rPr>
        <w:t>Kontrak Perjanjian Kerja ini (selanjutnya disebut "Kontrak") dibuat dan ditandatangani pada tanggal 12 Mei 2026 oleh dan antara:</w:t>
      </w:r>
    </w:p>
    <w:p w14:paraId="710A4762">
      <w:pPr>
        <w:spacing w:before="100" w:after="0"/>
      </w:pPr>
    </w:p>
    <w:p w14:paraId="67C8B093">
      <w:pPr>
        <w:spacing w:before="60" w:after="60"/>
        <w:jc w:val="both"/>
      </w:pPr>
      <w:r>
        <w:rPr>
          <w:rFonts w:ascii="Arial" w:hAnsi="Arial" w:eastAsia="Arial" w:cs="Arial"/>
          <w:b/>
          <w:bCs/>
          <w:color w:val="1A1A2E"/>
          <w:sz w:val="22"/>
          <w:szCs w:val="22"/>
        </w:rPr>
        <w:t xml:space="preserve">1.  </w:t>
      </w:r>
      <w:r>
        <w:rPr>
          <w:rFonts w:ascii="Arial" w:hAnsi="Arial" w:eastAsia="Arial" w:cs="Arial"/>
          <w:color w:val="1A1A2E"/>
          <w:sz w:val="22"/>
          <w:szCs w:val="22"/>
        </w:rPr>
        <w:t xml:space="preserve">Kokofibo Web Solution, sebuah perusahaan yang bergerak di bidang pengembangan perangkat lunak dan solusi teknologi informasi, selanjutnya disebut sebagai </w:t>
      </w:r>
      <w:r>
        <w:rPr>
          <w:rFonts w:ascii="Arial" w:hAnsi="Arial" w:eastAsia="Arial" w:cs="Arial"/>
          <w:b/>
          <w:bCs/>
          <w:color w:val="1A1A2E"/>
          <w:sz w:val="22"/>
          <w:szCs w:val="22"/>
        </w:rPr>
        <w:t>PIHAK PERTAMA</w:t>
      </w:r>
      <w:r>
        <w:rPr>
          <w:rFonts w:ascii="Arial" w:hAnsi="Arial" w:eastAsia="Arial" w:cs="Arial"/>
          <w:color w:val="1A1A2E"/>
          <w:sz w:val="22"/>
          <w:szCs w:val="22"/>
        </w:rPr>
        <w:t>.</w:t>
      </w:r>
    </w:p>
    <w:p w14:paraId="59FDF67C">
      <w:pPr>
        <w:spacing w:before="60" w:after="0"/>
      </w:pPr>
    </w:p>
    <w:p w14:paraId="68F1E880">
      <w:pPr>
        <w:spacing w:before="60" w:after="60"/>
        <w:jc w:val="both"/>
      </w:pPr>
      <w:r>
        <w:rPr>
          <w:rFonts w:ascii="Arial" w:hAnsi="Arial" w:eastAsia="Arial" w:cs="Arial"/>
          <w:b/>
          <w:bCs/>
          <w:color w:val="1A1A2E"/>
          <w:sz w:val="22"/>
          <w:szCs w:val="22"/>
        </w:rPr>
        <w:t xml:space="preserve">2.  </w:t>
      </w:r>
      <w:r>
        <w:rPr>
          <w:rFonts w:ascii="Arial" w:hAnsi="Arial" w:eastAsia="Arial" w:cs="Arial"/>
          <w:color w:val="1A1A2E"/>
          <w:sz w:val="22"/>
          <w:szCs w:val="22"/>
        </w:rPr>
        <w:t xml:space="preserve">PT Sinar Textile Indonesia, sebuah perseroan terbatas yang bergerak di bidang industri tekstil, selanjutnya disebut sebagai </w:t>
      </w:r>
      <w:r>
        <w:rPr>
          <w:rFonts w:ascii="Arial" w:hAnsi="Arial" w:eastAsia="Arial" w:cs="Arial"/>
          <w:b/>
          <w:bCs/>
          <w:color w:val="1A1A2E"/>
          <w:sz w:val="22"/>
          <w:szCs w:val="22"/>
        </w:rPr>
        <w:t>PIHAK KEDUA</w:t>
      </w:r>
      <w:r>
        <w:rPr>
          <w:rFonts w:ascii="Arial" w:hAnsi="Arial" w:eastAsia="Arial" w:cs="Arial"/>
          <w:color w:val="1A1A2E"/>
          <w:sz w:val="22"/>
          <w:szCs w:val="22"/>
        </w:rPr>
        <w:t>.</w:t>
      </w:r>
    </w:p>
    <w:p w14:paraId="0FA2C416">
      <w:pPr>
        <w:spacing w:before="100" w:after="0"/>
      </w:pPr>
    </w:p>
    <w:p w14:paraId="2904967D">
      <w:pPr>
        <w:spacing w:before="60" w:after="60"/>
        <w:jc w:val="both"/>
      </w:pPr>
      <w:r>
        <w:rPr>
          <w:rFonts w:ascii="Arial" w:hAnsi="Arial" w:eastAsia="Arial" w:cs="Arial"/>
          <w:color w:val="1A1A2E"/>
          <w:sz w:val="22"/>
          <w:szCs w:val="22"/>
        </w:rPr>
        <w:t>PIHAK PERTAMA dan PIHAK KEDUA secara bersama-sama selanjutnya disebut sebagai "Para Pihak", dengan ini sepakat untuk mengadakan Kontrak Perjanjian Kerja dengan ketentuan-ketentuan sebagai berikut:</w:t>
      </w:r>
    </w:p>
    <w:p w14:paraId="702BFC10">
      <w:pPr>
        <w:spacing w:before="140" w:after="0"/>
      </w:pPr>
    </w:p>
    <w:p w14:paraId="3D2E79F9">
      <w:pPr>
        <w:pBdr>
          <w:bottom w:val="single" w:color="D4920A" w:sz="4" w:space="1"/>
        </w:pBdr>
        <w:spacing w:before="80" w:after="80"/>
      </w:pPr>
    </w:p>
    <w:p w14:paraId="3484936E">
      <w:pPr>
        <w:spacing w:before="60" w:after="0"/>
      </w:pPr>
    </w:p>
    <w:p w14:paraId="7669DF70">
      <w:pPr>
        <w:spacing w:before="200" w:after="80"/>
      </w:pPr>
      <w:r>
        <w:rPr>
          <w:rFonts w:ascii="Arial" w:hAnsi="Arial" w:eastAsia="Arial" w:cs="Arial"/>
          <w:b/>
          <w:bCs/>
          <w:color w:val="1A3C6B"/>
          <w:sz w:val="23"/>
          <w:szCs w:val="23"/>
        </w:rPr>
        <w:t>Pasal 1  –  DEFINISI DAN INTERPRETASI</w:t>
      </w:r>
    </w:p>
    <w:p w14:paraId="6DFB5864">
      <w:pPr>
        <w:spacing w:before="60" w:after="60"/>
        <w:jc w:val="both"/>
      </w:pPr>
      <w:r>
        <w:rPr>
          <w:rFonts w:ascii="Arial" w:hAnsi="Arial" w:eastAsia="Arial" w:cs="Arial"/>
          <w:color w:val="1A1A2E"/>
          <w:sz w:val="22"/>
          <w:szCs w:val="22"/>
        </w:rPr>
        <w:t>Dalam Kontrak ini, istilah-istilah berikut memiliki pengertian sebagaimana didefinisikan di bawah ini:</w:t>
      </w:r>
    </w:p>
    <w:p w14:paraId="3CBEA285">
      <w:pPr>
        <w:pStyle w:val="16"/>
        <w:numPr>
          <w:ilvl w:val="0"/>
          <w:numId w:val="1"/>
        </w:numPr>
        <w:spacing w:before="60" w:after="60"/>
        <w:jc w:val="both"/>
      </w:pPr>
      <w:r>
        <w:rPr>
          <w:rFonts w:ascii="Arial" w:hAnsi="Arial" w:eastAsia="Arial" w:cs="Arial"/>
          <w:color w:val="1A1A2E"/>
          <w:sz w:val="22"/>
          <w:szCs w:val="22"/>
        </w:rPr>
        <w:t>"Sistem" berarti Sistem Yifang Payroll yang digunakan oleh PIHAK KEDUA dalam mengelola penggajian karyawan.</w:t>
      </w:r>
    </w:p>
    <w:p w14:paraId="6C404189">
      <w:pPr>
        <w:pStyle w:val="16"/>
        <w:numPr>
          <w:ilvl w:val="0"/>
          <w:numId w:val="1"/>
        </w:numPr>
        <w:spacing w:before="60" w:after="60"/>
        <w:jc w:val="both"/>
      </w:pPr>
      <w:r>
        <w:rPr>
          <w:rFonts w:ascii="Arial" w:hAnsi="Arial" w:eastAsia="Arial" w:cs="Arial"/>
          <w:color w:val="1A1A2E"/>
          <w:sz w:val="22"/>
          <w:szCs w:val="22"/>
        </w:rPr>
        <w:t>"Layanan" berarti seluruh jenis pekerjaan maintenance dan support sebagaimana diuraikan dalam Pasal 3 Kontrak ini.</w:t>
      </w:r>
    </w:p>
    <w:p w14:paraId="655CF64D">
      <w:pPr>
        <w:pStyle w:val="16"/>
        <w:numPr>
          <w:ilvl w:val="0"/>
          <w:numId w:val="1"/>
        </w:numPr>
        <w:spacing w:before="60" w:after="60"/>
        <w:jc w:val="both"/>
      </w:pPr>
      <w:r>
        <w:rPr>
          <w:rFonts w:ascii="Arial" w:hAnsi="Arial" w:eastAsia="Arial" w:cs="Arial"/>
          <w:color w:val="1A1A2E"/>
          <w:sz w:val="22"/>
          <w:szCs w:val="22"/>
        </w:rPr>
        <w:t>"Jam Kerja Normal" berarti hari Senin hingga Jumat, pukul 08.00 – 17.00 WIB, kecuali hari libur nasional.</w:t>
      </w:r>
    </w:p>
    <w:p w14:paraId="7FD719A6">
      <w:pPr>
        <w:pStyle w:val="16"/>
        <w:numPr>
          <w:ilvl w:val="0"/>
          <w:numId w:val="1"/>
        </w:numPr>
        <w:spacing w:before="60" w:after="60"/>
        <w:jc w:val="both"/>
      </w:pPr>
      <w:r>
        <w:rPr>
          <w:rFonts w:ascii="Arial" w:hAnsi="Arial" w:eastAsia="Arial" w:cs="Arial"/>
          <w:color w:val="1A1A2E"/>
          <w:sz w:val="22"/>
          <w:szCs w:val="22"/>
        </w:rPr>
        <w:t>"Kondisi Darurat" berarti gangguan kritis yang menyebabkan sistem payroll tidak dapat beroperasi secara keseluruhan.</w:t>
      </w:r>
    </w:p>
    <w:p w14:paraId="1DE4C625">
      <w:pPr>
        <w:spacing w:before="120" w:after="0"/>
      </w:pPr>
    </w:p>
    <w:p w14:paraId="0197A338">
      <w:pPr>
        <w:spacing w:before="200" w:after="80"/>
      </w:pPr>
      <w:r>
        <w:rPr>
          <w:rFonts w:ascii="Arial" w:hAnsi="Arial" w:eastAsia="Arial" w:cs="Arial"/>
          <w:b/>
          <w:bCs/>
          <w:color w:val="1A3C6B"/>
          <w:sz w:val="23"/>
          <w:szCs w:val="23"/>
        </w:rPr>
        <w:t>Pasal 2  –  MAKSUD DAN TUJUAN</w:t>
      </w:r>
    </w:p>
    <w:p w14:paraId="5C248C60">
      <w:pPr>
        <w:spacing w:before="60" w:after="60"/>
        <w:jc w:val="both"/>
      </w:pPr>
      <w:r>
        <w:rPr>
          <w:rFonts w:ascii="Arial" w:hAnsi="Arial" w:eastAsia="Arial" w:cs="Arial"/>
          <w:color w:val="1A1A2E"/>
          <w:sz w:val="22"/>
          <w:szCs w:val="22"/>
        </w:rPr>
        <w:t>Kontrak ini bermaksud untuk mengatur hubungan hukum antara PIHAK PERTAMA sebagai penyedia jasa maintenance dan support dengan PIHAK KEDUA sebagai pengguna jasa, dalam rangka:</w:t>
      </w:r>
    </w:p>
    <w:p w14:paraId="2286EAB4">
      <w:pPr>
        <w:pStyle w:val="16"/>
        <w:numPr>
          <w:ilvl w:val="0"/>
          <w:numId w:val="1"/>
        </w:numPr>
        <w:spacing w:before="60" w:after="60"/>
        <w:jc w:val="both"/>
      </w:pPr>
      <w:r>
        <w:rPr>
          <w:rFonts w:ascii="Arial" w:hAnsi="Arial" w:eastAsia="Arial" w:cs="Arial"/>
          <w:color w:val="1A1A2E"/>
          <w:sz w:val="22"/>
          <w:szCs w:val="22"/>
        </w:rPr>
        <w:t>Menjaga stabilitas, keamanan, dan performa Sistem Yifang Payroll milik PIHAK KEDUA.</w:t>
      </w:r>
    </w:p>
    <w:p w14:paraId="66224F1D">
      <w:pPr>
        <w:pStyle w:val="16"/>
        <w:numPr>
          <w:ilvl w:val="0"/>
          <w:numId w:val="1"/>
        </w:numPr>
        <w:spacing w:before="60" w:after="60"/>
        <w:jc w:val="both"/>
      </w:pPr>
      <w:r>
        <w:rPr>
          <w:rFonts w:ascii="Arial" w:hAnsi="Arial" w:eastAsia="Arial" w:cs="Arial"/>
          <w:color w:val="1A1A2E"/>
          <w:sz w:val="22"/>
          <w:szCs w:val="22"/>
        </w:rPr>
        <w:t>Memastikan keberlangsungan operasional sistem payroll yang mendukung aktivitas bisnis PIHAK KEDUA.</w:t>
      </w:r>
    </w:p>
    <w:p w14:paraId="77A91D54">
      <w:pPr>
        <w:pStyle w:val="16"/>
        <w:numPr>
          <w:ilvl w:val="0"/>
          <w:numId w:val="1"/>
        </w:numPr>
        <w:spacing w:before="60" w:after="60"/>
        <w:jc w:val="both"/>
      </w:pPr>
      <w:r>
        <w:rPr>
          <w:rFonts w:ascii="Arial" w:hAnsi="Arial" w:eastAsia="Arial" w:cs="Arial"/>
          <w:color w:val="1A1A2E"/>
          <w:sz w:val="22"/>
          <w:szCs w:val="22"/>
        </w:rPr>
        <w:t>Memberikan dukungan teknis yang cepat dan profesional kepada PIHAK KEDUA.</w:t>
      </w:r>
    </w:p>
    <w:p w14:paraId="065D4F11">
      <w:pPr>
        <w:spacing w:before="120" w:after="0"/>
      </w:pPr>
    </w:p>
    <w:p w14:paraId="2601EF60">
      <w:pPr>
        <w:spacing w:before="200" w:after="80"/>
      </w:pPr>
      <w:r>
        <w:rPr>
          <w:rFonts w:ascii="Arial" w:hAnsi="Arial" w:eastAsia="Arial" w:cs="Arial"/>
          <w:b/>
          <w:bCs/>
          <w:color w:val="1A3C6B"/>
          <w:sz w:val="23"/>
          <w:szCs w:val="23"/>
        </w:rPr>
        <w:t>Pasal 3  –  RUANG LINGKUP PEKERJAAN</w:t>
      </w:r>
    </w:p>
    <w:p w14:paraId="517B85D6">
      <w:pPr>
        <w:spacing w:before="60" w:after="60"/>
        <w:jc w:val="both"/>
      </w:pPr>
      <w:r>
        <w:rPr>
          <w:rFonts w:ascii="Arial" w:hAnsi="Arial" w:eastAsia="Arial" w:cs="Arial"/>
          <w:color w:val="1A1A2E"/>
          <w:sz w:val="22"/>
          <w:szCs w:val="22"/>
        </w:rPr>
        <w:t>PIHAK PERTAMA setuju untuk melaksanakan pekerjaan maintenance dan support Sistem Yifang Payroll yang meliputi, namun tidak terbatas pada, jenis-jenis pekerjaan sebagai berikut:</w:t>
      </w:r>
    </w:p>
    <w:p w14:paraId="32D57314">
      <w:pPr>
        <w:spacing w:before="10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000"/>
        <w:gridCol w:w="5426"/>
      </w:tblGrid>
      <w:tr w14:paraId="59A96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BBBBBB" w:sz="4" w:space="0"/>
              <w:left w:val="single" w:color="BBBBBB" w:sz="4" w:space="0"/>
              <w:bottom w:val="single" w:color="BBBBBB" w:sz="4" w:space="0"/>
              <w:right w:val="single" w:color="BBBBBB" w:sz="4" w:space="0"/>
            </w:tcBorders>
            <w:shd w:val="clear" w:color="auto" w:fill="1A3C6B"/>
            <w:tcMar>
              <w:top w:w="100" w:type="dxa"/>
              <w:left w:w="100" w:type="dxa"/>
              <w:bottom w:w="100" w:type="dxa"/>
              <w:right w:w="100" w:type="dxa"/>
            </w:tcMar>
            <w:vAlign w:val="center"/>
          </w:tcPr>
          <w:p w14:paraId="071AC5E5">
            <w:pPr>
              <w:jc w:val="center"/>
            </w:pPr>
            <w:r>
              <w:rPr>
                <w:rFonts w:ascii="Arial" w:hAnsi="Arial" w:eastAsia="Arial" w:cs="Arial"/>
                <w:b/>
                <w:bCs/>
                <w:color w:val="FFFFFF"/>
                <w:sz w:val="20"/>
                <w:szCs w:val="20"/>
              </w:rPr>
              <w:t>No</w:t>
            </w:r>
          </w:p>
        </w:tc>
        <w:tc>
          <w:tcPr>
            <w:tcW w:w="3000" w:type="dxa"/>
            <w:tcBorders>
              <w:top w:val="single" w:color="BBBBBB" w:sz="4" w:space="0"/>
              <w:left w:val="single" w:color="BBBBBB" w:sz="4" w:space="0"/>
              <w:bottom w:val="single" w:color="BBBBBB" w:sz="4" w:space="0"/>
              <w:right w:val="single" w:color="BBBBBB" w:sz="4" w:space="0"/>
            </w:tcBorders>
            <w:shd w:val="clear" w:color="auto" w:fill="1A3C6B"/>
            <w:tcMar>
              <w:top w:w="100" w:type="dxa"/>
              <w:left w:w="120" w:type="dxa"/>
              <w:bottom w:w="100" w:type="dxa"/>
              <w:right w:w="100" w:type="dxa"/>
            </w:tcMar>
          </w:tcPr>
          <w:p w14:paraId="2DA5B949">
            <w:r>
              <w:rPr>
                <w:rFonts w:ascii="Arial" w:hAnsi="Arial" w:eastAsia="Arial" w:cs="Arial"/>
                <w:b/>
                <w:bCs/>
                <w:color w:val="FFFFFF"/>
                <w:sz w:val="20"/>
                <w:szCs w:val="20"/>
              </w:rPr>
              <w:t>Jenis Pekerjaan</w:t>
            </w:r>
          </w:p>
        </w:tc>
        <w:tc>
          <w:tcPr>
            <w:tcW w:w="5426" w:type="dxa"/>
            <w:tcBorders>
              <w:top w:val="single" w:color="BBBBBB" w:sz="4" w:space="0"/>
              <w:left w:val="single" w:color="BBBBBB" w:sz="4" w:space="0"/>
              <w:bottom w:val="single" w:color="BBBBBB" w:sz="4" w:space="0"/>
              <w:right w:val="single" w:color="BBBBBB" w:sz="4" w:space="0"/>
            </w:tcBorders>
            <w:shd w:val="clear" w:color="auto" w:fill="1A3C6B"/>
            <w:tcMar>
              <w:top w:w="100" w:type="dxa"/>
              <w:left w:w="120" w:type="dxa"/>
              <w:bottom w:w="100" w:type="dxa"/>
              <w:right w:w="100" w:type="dxa"/>
            </w:tcMar>
          </w:tcPr>
          <w:p w14:paraId="5B3E5FAB">
            <w:r>
              <w:rPr>
                <w:rFonts w:ascii="Arial" w:hAnsi="Arial" w:eastAsia="Arial" w:cs="Arial"/>
                <w:b/>
                <w:bCs/>
                <w:color w:val="FFFFFF"/>
                <w:sz w:val="20"/>
                <w:szCs w:val="20"/>
              </w:rPr>
              <w:t>Keterangan</w:t>
            </w:r>
          </w:p>
        </w:tc>
      </w:tr>
      <w:tr w14:paraId="51045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vAlign w:val="center"/>
          </w:tcPr>
          <w:p w14:paraId="333D76E1">
            <w:pPr>
              <w:jc w:val="center"/>
            </w:pPr>
            <w:r>
              <w:rPr>
                <w:rFonts w:ascii="Arial" w:hAnsi="Arial" w:eastAsia="Arial" w:cs="Arial"/>
                <w:color w:val="1A1A2E"/>
                <w:sz w:val="20"/>
                <w:szCs w:val="20"/>
              </w:rPr>
              <w:t>1</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5F216264">
            <w:r>
              <w:rPr>
                <w:rFonts w:ascii="Arial" w:hAnsi="Arial" w:eastAsia="Arial" w:cs="Arial"/>
                <w:b/>
                <w:bCs/>
                <w:color w:val="1A1A2E"/>
                <w:sz w:val="20"/>
                <w:szCs w:val="20"/>
              </w:rPr>
              <w:t>Daily Database Backup</w:t>
            </w:r>
          </w:p>
        </w:tc>
        <w:tc>
          <w:tcPr>
            <w:tcW w:w="54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3C9219A1">
            <w:r>
              <w:rPr>
                <w:rFonts w:ascii="Arial" w:hAnsi="Arial" w:eastAsia="Arial" w:cs="Arial"/>
                <w:color w:val="1A1A2E"/>
                <w:sz w:val="20"/>
                <w:szCs w:val="20"/>
              </w:rPr>
              <w:t>Backup database harian dan monitoring backup</w:t>
            </w:r>
          </w:p>
        </w:tc>
      </w:tr>
      <w:tr w14:paraId="2EB8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00" w:type="dxa"/>
              <w:bottom w:w="80" w:type="dxa"/>
              <w:right w:w="100" w:type="dxa"/>
            </w:tcMar>
            <w:vAlign w:val="center"/>
          </w:tcPr>
          <w:p w14:paraId="67314E2B">
            <w:pPr>
              <w:jc w:val="center"/>
            </w:pPr>
            <w:r>
              <w:rPr>
                <w:rFonts w:ascii="Arial" w:hAnsi="Arial" w:eastAsia="Arial" w:cs="Arial"/>
                <w:color w:val="1A1A2E"/>
                <w:sz w:val="20"/>
                <w:szCs w:val="20"/>
              </w:rPr>
              <w:t>2</w:t>
            </w:r>
          </w:p>
        </w:tc>
        <w:tc>
          <w:tcPr>
            <w:tcW w:w="30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728EE38F">
            <w:r>
              <w:rPr>
                <w:rFonts w:ascii="Arial" w:hAnsi="Arial" w:eastAsia="Arial" w:cs="Arial"/>
                <w:b/>
                <w:bCs/>
                <w:color w:val="1A1A2E"/>
                <w:sz w:val="20"/>
                <w:szCs w:val="20"/>
              </w:rPr>
              <w:t>Corrupted Data Recovery</w:t>
            </w:r>
          </w:p>
        </w:tc>
        <w:tc>
          <w:tcPr>
            <w:tcW w:w="5426"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72B96268">
            <w:r>
              <w:rPr>
                <w:rFonts w:ascii="Arial" w:hAnsi="Arial" w:eastAsia="Arial" w:cs="Arial"/>
                <w:color w:val="1A1A2E"/>
                <w:sz w:val="20"/>
                <w:szCs w:val="20"/>
              </w:rPr>
              <w:t>Recovery data apabila terjadi kerusakan database</w:t>
            </w:r>
          </w:p>
        </w:tc>
      </w:tr>
      <w:tr w14:paraId="5212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vAlign w:val="center"/>
          </w:tcPr>
          <w:p w14:paraId="332601FE">
            <w:pPr>
              <w:jc w:val="center"/>
            </w:pPr>
            <w:r>
              <w:rPr>
                <w:rFonts w:ascii="Arial" w:hAnsi="Arial" w:eastAsia="Arial" w:cs="Arial"/>
                <w:color w:val="1A1A2E"/>
                <w:sz w:val="20"/>
                <w:szCs w:val="20"/>
              </w:rPr>
              <w:t>3</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76FC4651">
            <w:r>
              <w:rPr>
                <w:rFonts w:ascii="Arial" w:hAnsi="Arial" w:eastAsia="Arial" w:cs="Arial"/>
                <w:b/>
                <w:bCs/>
                <w:color w:val="1A1A2E"/>
                <w:sz w:val="20"/>
                <w:szCs w:val="20"/>
              </w:rPr>
              <w:t>System Maintenance</w:t>
            </w:r>
          </w:p>
        </w:tc>
        <w:tc>
          <w:tcPr>
            <w:tcW w:w="54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79C9CDBB">
            <w:r>
              <w:rPr>
                <w:rFonts w:ascii="Arial" w:hAnsi="Arial" w:eastAsia="Arial" w:cs="Arial"/>
                <w:color w:val="1A1A2E"/>
                <w:sz w:val="20"/>
                <w:szCs w:val="20"/>
              </w:rPr>
              <w:t>Monitoring performa dan stabilitas sistem</w:t>
            </w:r>
          </w:p>
        </w:tc>
      </w:tr>
      <w:tr w14:paraId="73C2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00" w:type="dxa"/>
              <w:bottom w:w="80" w:type="dxa"/>
              <w:right w:w="100" w:type="dxa"/>
            </w:tcMar>
            <w:vAlign w:val="center"/>
          </w:tcPr>
          <w:p w14:paraId="249880E7">
            <w:pPr>
              <w:jc w:val="center"/>
            </w:pPr>
            <w:r>
              <w:rPr>
                <w:rFonts w:ascii="Arial" w:hAnsi="Arial" w:eastAsia="Arial" w:cs="Arial"/>
                <w:color w:val="1A1A2E"/>
                <w:sz w:val="20"/>
                <w:szCs w:val="20"/>
              </w:rPr>
              <w:t>4</w:t>
            </w:r>
          </w:p>
        </w:tc>
        <w:tc>
          <w:tcPr>
            <w:tcW w:w="30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04F32E2B">
            <w:r>
              <w:rPr>
                <w:rFonts w:ascii="Arial" w:hAnsi="Arial" w:eastAsia="Arial" w:cs="Arial"/>
                <w:b/>
                <w:bCs/>
                <w:color w:val="1A1A2E"/>
                <w:sz w:val="20"/>
                <w:szCs w:val="20"/>
              </w:rPr>
              <w:t>Bug Fixing Minor</w:t>
            </w:r>
          </w:p>
        </w:tc>
        <w:tc>
          <w:tcPr>
            <w:tcW w:w="5426"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419B6046">
            <w:r>
              <w:rPr>
                <w:rFonts w:ascii="Arial" w:hAnsi="Arial" w:eastAsia="Arial" w:cs="Arial"/>
                <w:color w:val="1A1A2E"/>
                <w:sz w:val="20"/>
                <w:szCs w:val="20"/>
              </w:rPr>
              <w:t>Perbaikan bug minor pada aplikasi</w:t>
            </w:r>
          </w:p>
        </w:tc>
      </w:tr>
      <w:tr w14:paraId="2A720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vAlign w:val="center"/>
          </w:tcPr>
          <w:p w14:paraId="23793D5C">
            <w:pPr>
              <w:jc w:val="center"/>
            </w:pPr>
            <w:r>
              <w:rPr>
                <w:rFonts w:ascii="Arial" w:hAnsi="Arial" w:eastAsia="Arial" w:cs="Arial"/>
                <w:color w:val="1A1A2E"/>
                <w:sz w:val="20"/>
                <w:szCs w:val="20"/>
              </w:rPr>
              <w:t>5</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55750D7C">
            <w:r>
              <w:rPr>
                <w:rFonts w:ascii="Arial" w:hAnsi="Arial" w:eastAsia="Arial" w:cs="Arial"/>
                <w:b/>
                <w:bCs/>
                <w:color w:val="1A1A2E"/>
                <w:sz w:val="20"/>
                <w:szCs w:val="20"/>
              </w:rPr>
              <w:t>Simple Feature Update</w:t>
            </w:r>
          </w:p>
        </w:tc>
        <w:tc>
          <w:tcPr>
            <w:tcW w:w="54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249C380E">
            <w:r>
              <w:rPr>
                <w:rFonts w:ascii="Arial" w:hAnsi="Arial" w:eastAsia="Arial" w:cs="Arial"/>
                <w:color w:val="1A1A2E"/>
                <w:sz w:val="20"/>
                <w:szCs w:val="20"/>
              </w:rPr>
              <w:t>Tambah, hapus, dan perubahan fitur sederhana</w:t>
            </w:r>
          </w:p>
        </w:tc>
      </w:tr>
      <w:tr w14:paraId="1B11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00" w:type="dxa"/>
              <w:bottom w:w="80" w:type="dxa"/>
              <w:right w:w="100" w:type="dxa"/>
            </w:tcMar>
            <w:vAlign w:val="center"/>
          </w:tcPr>
          <w:p w14:paraId="346060EE">
            <w:pPr>
              <w:jc w:val="center"/>
            </w:pPr>
            <w:r>
              <w:rPr>
                <w:rFonts w:ascii="Arial" w:hAnsi="Arial" w:eastAsia="Arial" w:cs="Arial"/>
                <w:color w:val="1A1A2E"/>
                <w:sz w:val="20"/>
                <w:szCs w:val="20"/>
              </w:rPr>
              <w:t>6</w:t>
            </w:r>
          </w:p>
        </w:tc>
        <w:tc>
          <w:tcPr>
            <w:tcW w:w="30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7B7094F6">
            <w:r>
              <w:rPr>
                <w:rFonts w:ascii="Arial" w:hAnsi="Arial" w:eastAsia="Arial" w:cs="Arial"/>
                <w:b/>
                <w:bCs/>
                <w:color w:val="1A1A2E"/>
                <w:sz w:val="20"/>
                <w:szCs w:val="20"/>
              </w:rPr>
              <w:t>Version Upgrading</w:t>
            </w:r>
          </w:p>
        </w:tc>
        <w:tc>
          <w:tcPr>
            <w:tcW w:w="5426"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16674F7F">
            <w:r>
              <w:rPr>
                <w:rFonts w:ascii="Arial" w:hAnsi="Arial" w:eastAsia="Arial" w:cs="Arial"/>
                <w:color w:val="1A1A2E"/>
                <w:sz w:val="20"/>
                <w:szCs w:val="20"/>
              </w:rPr>
              <w:t>Upgrade framework, library, dan dependency</w:t>
            </w:r>
          </w:p>
        </w:tc>
      </w:tr>
      <w:tr w14:paraId="0A66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vAlign w:val="center"/>
          </w:tcPr>
          <w:p w14:paraId="14F5A5EF">
            <w:pPr>
              <w:jc w:val="center"/>
            </w:pPr>
            <w:r>
              <w:rPr>
                <w:rFonts w:ascii="Arial" w:hAnsi="Arial" w:eastAsia="Arial" w:cs="Arial"/>
                <w:color w:val="1A1A2E"/>
                <w:sz w:val="20"/>
                <w:szCs w:val="20"/>
              </w:rPr>
              <w:t>7</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00F1ADAC">
            <w:r>
              <w:rPr>
                <w:rFonts w:ascii="Arial" w:hAnsi="Arial" w:eastAsia="Arial" w:cs="Arial"/>
                <w:b/>
                <w:bCs/>
                <w:color w:val="1A1A2E"/>
                <w:sz w:val="20"/>
                <w:szCs w:val="20"/>
              </w:rPr>
              <w:t>Code Refactoring</w:t>
            </w:r>
          </w:p>
        </w:tc>
        <w:tc>
          <w:tcPr>
            <w:tcW w:w="54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3C4CB4AE">
            <w:r>
              <w:rPr>
                <w:rFonts w:ascii="Arial" w:hAnsi="Arial" w:eastAsia="Arial" w:cs="Arial"/>
                <w:color w:val="1A1A2E"/>
                <w:sz w:val="20"/>
                <w:szCs w:val="20"/>
              </w:rPr>
              <w:t>Optimasi dan perapihan struktur kode</w:t>
            </w:r>
          </w:p>
        </w:tc>
      </w:tr>
      <w:tr w14:paraId="23D4A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00" w:type="dxa"/>
              <w:bottom w:w="80" w:type="dxa"/>
              <w:right w:w="100" w:type="dxa"/>
            </w:tcMar>
            <w:vAlign w:val="center"/>
          </w:tcPr>
          <w:p w14:paraId="63C36599">
            <w:pPr>
              <w:jc w:val="center"/>
            </w:pPr>
            <w:r>
              <w:rPr>
                <w:rFonts w:ascii="Arial" w:hAnsi="Arial" w:eastAsia="Arial" w:cs="Arial"/>
                <w:color w:val="1A1A2E"/>
                <w:sz w:val="20"/>
                <w:szCs w:val="20"/>
              </w:rPr>
              <w:t>8</w:t>
            </w:r>
          </w:p>
        </w:tc>
        <w:tc>
          <w:tcPr>
            <w:tcW w:w="30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51E91E46">
            <w:r>
              <w:rPr>
                <w:rFonts w:ascii="Arial" w:hAnsi="Arial" w:eastAsia="Arial" w:cs="Arial"/>
                <w:b/>
                <w:bCs/>
                <w:color w:val="1A1A2E"/>
                <w:sz w:val="20"/>
                <w:szCs w:val="20"/>
              </w:rPr>
              <w:t>Database Optimization</w:t>
            </w:r>
          </w:p>
        </w:tc>
        <w:tc>
          <w:tcPr>
            <w:tcW w:w="5426"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1339E871">
            <w:r>
              <w:rPr>
                <w:rFonts w:ascii="Arial" w:hAnsi="Arial" w:eastAsia="Arial" w:cs="Arial"/>
                <w:color w:val="1A1A2E"/>
                <w:sz w:val="20"/>
                <w:szCs w:val="20"/>
              </w:rPr>
              <w:t>Optimasi query dan performa database</w:t>
            </w:r>
          </w:p>
        </w:tc>
      </w:tr>
      <w:tr w14:paraId="3826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vAlign w:val="center"/>
          </w:tcPr>
          <w:p w14:paraId="6124210A">
            <w:pPr>
              <w:jc w:val="center"/>
            </w:pPr>
            <w:r>
              <w:rPr>
                <w:rFonts w:ascii="Arial" w:hAnsi="Arial" w:eastAsia="Arial" w:cs="Arial"/>
                <w:color w:val="1A1A2E"/>
                <w:sz w:val="20"/>
                <w:szCs w:val="20"/>
              </w:rPr>
              <w:t>9</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1A01D97F">
            <w:r>
              <w:rPr>
                <w:rFonts w:ascii="Arial" w:hAnsi="Arial" w:eastAsia="Arial" w:cs="Arial"/>
                <w:b/>
                <w:bCs/>
                <w:color w:val="1A1A2E"/>
                <w:sz w:val="20"/>
                <w:szCs w:val="20"/>
              </w:rPr>
              <w:t>Security Maintenance</w:t>
            </w:r>
          </w:p>
        </w:tc>
        <w:tc>
          <w:tcPr>
            <w:tcW w:w="54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6C829E14">
            <w:r>
              <w:rPr>
                <w:rFonts w:ascii="Arial" w:hAnsi="Arial" w:eastAsia="Arial" w:cs="Arial"/>
                <w:color w:val="1A1A2E"/>
                <w:sz w:val="20"/>
                <w:szCs w:val="20"/>
              </w:rPr>
              <w:t>Monitoring keamanan dan update patch keamanan</w:t>
            </w:r>
          </w:p>
        </w:tc>
      </w:tr>
      <w:tr w14:paraId="6F80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00" w:type="dxa"/>
              <w:bottom w:w="80" w:type="dxa"/>
              <w:right w:w="100" w:type="dxa"/>
            </w:tcMar>
            <w:vAlign w:val="center"/>
          </w:tcPr>
          <w:p w14:paraId="0EADD3D2">
            <w:pPr>
              <w:jc w:val="center"/>
            </w:pPr>
            <w:r>
              <w:rPr>
                <w:rFonts w:ascii="Arial" w:hAnsi="Arial" w:eastAsia="Arial" w:cs="Arial"/>
                <w:color w:val="1A1A2E"/>
                <w:sz w:val="20"/>
                <w:szCs w:val="20"/>
              </w:rPr>
              <w:t>10</w:t>
            </w:r>
          </w:p>
        </w:tc>
        <w:tc>
          <w:tcPr>
            <w:tcW w:w="30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267F0FD6">
            <w:r>
              <w:rPr>
                <w:rFonts w:ascii="Arial" w:hAnsi="Arial" w:eastAsia="Arial" w:cs="Arial"/>
                <w:b/>
                <w:bCs/>
                <w:color w:val="1A1A2E"/>
                <w:sz w:val="20"/>
                <w:szCs w:val="20"/>
              </w:rPr>
              <w:t>Deployment Support</w:t>
            </w:r>
          </w:p>
        </w:tc>
        <w:tc>
          <w:tcPr>
            <w:tcW w:w="5426"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23E18B1A">
            <w:r>
              <w:rPr>
                <w:rFonts w:ascii="Arial" w:hAnsi="Arial" w:eastAsia="Arial" w:cs="Arial"/>
                <w:color w:val="1A1A2E"/>
                <w:sz w:val="20"/>
                <w:szCs w:val="20"/>
              </w:rPr>
              <w:t>Bantuan deployment dan konfigurasi sistem</w:t>
            </w:r>
          </w:p>
        </w:tc>
      </w:tr>
      <w:tr w14:paraId="2C82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vAlign w:val="center"/>
          </w:tcPr>
          <w:p w14:paraId="6FBC1CD5">
            <w:pPr>
              <w:jc w:val="center"/>
            </w:pPr>
            <w:r>
              <w:rPr>
                <w:rFonts w:ascii="Arial" w:hAnsi="Arial" w:eastAsia="Arial" w:cs="Arial"/>
                <w:color w:val="1A1A2E"/>
                <w:sz w:val="20"/>
                <w:szCs w:val="20"/>
              </w:rPr>
              <w:t>11</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50D84AC8">
            <w:r>
              <w:rPr>
                <w:rFonts w:ascii="Arial" w:hAnsi="Arial" w:eastAsia="Arial" w:cs="Arial"/>
                <w:b/>
                <w:bCs/>
                <w:color w:val="1A1A2E"/>
                <w:sz w:val="20"/>
                <w:szCs w:val="20"/>
              </w:rPr>
              <w:t>Technical Support</w:t>
            </w:r>
          </w:p>
        </w:tc>
        <w:tc>
          <w:tcPr>
            <w:tcW w:w="54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6641B32F">
            <w:r>
              <w:rPr>
                <w:rFonts w:ascii="Arial" w:hAnsi="Arial" w:eastAsia="Arial" w:cs="Arial"/>
                <w:color w:val="1A1A2E"/>
                <w:sz w:val="20"/>
                <w:szCs w:val="20"/>
              </w:rPr>
              <w:t>Konsultasi dan troubleshooting teknis</w:t>
            </w:r>
          </w:p>
        </w:tc>
      </w:tr>
      <w:tr w14:paraId="65CA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00" w:type="dxa"/>
              <w:bottom w:w="80" w:type="dxa"/>
              <w:right w:w="100" w:type="dxa"/>
            </w:tcMar>
            <w:vAlign w:val="center"/>
          </w:tcPr>
          <w:p w14:paraId="1268DB47">
            <w:pPr>
              <w:jc w:val="center"/>
            </w:pPr>
            <w:r>
              <w:rPr>
                <w:rFonts w:ascii="Arial" w:hAnsi="Arial" w:eastAsia="Arial" w:cs="Arial"/>
                <w:color w:val="1A1A2E"/>
                <w:sz w:val="20"/>
                <w:szCs w:val="20"/>
              </w:rPr>
              <w:t>12</w:t>
            </w:r>
          </w:p>
        </w:tc>
        <w:tc>
          <w:tcPr>
            <w:tcW w:w="30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5BA3D929">
            <w:r>
              <w:rPr>
                <w:rFonts w:ascii="Arial" w:hAnsi="Arial" w:eastAsia="Arial" w:cs="Arial"/>
                <w:b/>
                <w:bCs/>
                <w:color w:val="1A1A2E"/>
                <w:sz w:val="20"/>
                <w:szCs w:val="20"/>
              </w:rPr>
              <w:t>Documentation</w:t>
            </w:r>
          </w:p>
        </w:tc>
        <w:tc>
          <w:tcPr>
            <w:tcW w:w="5426"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155D9C46">
            <w:r>
              <w:rPr>
                <w:rFonts w:ascii="Arial" w:hAnsi="Arial" w:eastAsia="Arial" w:cs="Arial"/>
                <w:color w:val="1A1A2E"/>
                <w:sz w:val="20"/>
                <w:szCs w:val="20"/>
              </w:rPr>
              <w:t>Dokumentasi perubahan minor sistem</w:t>
            </w:r>
          </w:p>
        </w:tc>
      </w:tr>
      <w:tr w14:paraId="4118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vAlign w:val="center"/>
          </w:tcPr>
          <w:p w14:paraId="30497B1C">
            <w:pPr>
              <w:jc w:val="center"/>
            </w:pPr>
            <w:r>
              <w:rPr>
                <w:rFonts w:ascii="Arial" w:hAnsi="Arial" w:eastAsia="Arial" w:cs="Arial"/>
                <w:color w:val="1A1A2E"/>
                <w:sz w:val="20"/>
                <w:szCs w:val="20"/>
              </w:rPr>
              <w:t>13</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1D9494FD">
            <w:r>
              <w:rPr>
                <w:rFonts w:ascii="Arial" w:hAnsi="Arial" w:eastAsia="Arial" w:cs="Arial"/>
                <w:b/>
                <w:bCs/>
                <w:color w:val="1A1A2E"/>
                <w:sz w:val="20"/>
                <w:szCs w:val="20"/>
              </w:rPr>
              <w:t>Monitoring Service</w:t>
            </w:r>
          </w:p>
        </w:tc>
        <w:tc>
          <w:tcPr>
            <w:tcW w:w="54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49D5EE14">
            <w:r>
              <w:rPr>
                <w:rFonts w:ascii="Arial" w:hAnsi="Arial" w:eastAsia="Arial" w:cs="Arial"/>
                <w:color w:val="1A1A2E"/>
                <w:sz w:val="20"/>
                <w:szCs w:val="20"/>
              </w:rPr>
              <w:t>Monitoring service penting aplikasi</w:t>
            </w:r>
          </w:p>
        </w:tc>
      </w:tr>
      <w:tr w14:paraId="787D0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00" w:type="dxa"/>
              <w:bottom w:w="80" w:type="dxa"/>
              <w:right w:w="100" w:type="dxa"/>
            </w:tcMar>
            <w:vAlign w:val="center"/>
          </w:tcPr>
          <w:p w14:paraId="0ABD8107">
            <w:pPr>
              <w:jc w:val="center"/>
            </w:pPr>
            <w:r>
              <w:rPr>
                <w:rFonts w:ascii="Arial" w:hAnsi="Arial" w:eastAsia="Arial" w:cs="Arial"/>
                <w:color w:val="1A1A2E"/>
                <w:sz w:val="20"/>
                <w:szCs w:val="20"/>
              </w:rPr>
              <w:t>14</w:t>
            </w:r>
          </w:p>
        </w:tc>
        <w:tc>
          <w:tcPr>
            <w:tcW w:w="3000"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4AAE630F">
            <w:r>
              <w:rPr>
                <w:rFonts w:ascii="Arial" w:hAnsi="Arial" w:eastAsia="Arial" w:cs="Arial"/>
                <w:b/>
                <w:bCs/>
                <w:color w:val="1A1A2E"/>
                <w:sz w:val="20"/>
                <w:szCs w:val="20"/>
              </w:rPr>
              <w:t>Server Support</w:t>
            </w:r>
          </w:p>
        </w:tc>
        <w:tc>
          <w:tcPr>
            <w:tcW w:w="5426" w:type="dxa"/>
            <w:tcBorders>
              <w:top w:val="single" w:color="BBBBBB" w:sz="4" w:space="0"/>
              <w:left w:val="single" w:color="BBBBBB" w:sz="4" w:space="0"/>
              <w:bottom w:val="single" w:color="BBBBBB" w:sz="4" w:space="0"/>
              <w:right w:val="single" w:color="BBBBBB" w:sz="4" w:space="0"/>
            </w:tcBorders>
            <w:shd w:val="clear" w:color="auto" w:fill="EAF2FB"/>
            <w:tcMar>
              <w:top w:w="80" w:type="dxa"/>
              <w:left w:w="120" w:type="dxa"/>
              <w:bottom w:w="80" w:type="dxa"/>
              <w:right w:w="100" w:type="dxa"/>
            </w:tcMar>
          </w:tcPr>
          <w:p w14:paraId="0BC3CE74">
            <w:r>
              <w:rPr>
                <w:rFonts w:ascii="Arial" w:hAnsi="Arial" w:eastAsia="Arial" w:cs="Arial"/>
                <w:color w:val="1A1A2E"/>
                <w:sz w:val="20"/>
                <w:szCs w:val="20"/>
              </w:rPr>
              <w:t>Support konfigurasi server terkait aplikasi</w:t>
            </w:r>
          </w:p>
        </w:tc>
      </w:tr>
      <w:tr w14:paraId="22638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00" w:type="dxa"/>
              <w:bottom w:w="80" w:type="dxa"/>
              <w:right w:w="100" w:type="dxa"/>
            </w:tcMar>
            <w:vAlign w:val="center"/>
          </w:tcPr>
          <w:p w14:paraId="6BDAC457">
            <w:pPr>
              <w:jc w:val="center"/>
            </w:pPr>
            <w:r>
              <w:rPr>
                <w:rFonts w:ascii="Arial" w:hAnsi="Arial" w:eastAsia="Arial" w:cs="Arial"/>
                <w:color w:val="1A1A2E"/>
                <w:sz w:val="20"/>
                <w:szCs w:val="20"/>
              </w:rPr>
              <w:t>15</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7C7B2B2F">
            <w:r>
              <w:rPr>
                <w:rFonts w:ascii="Arial" w:hAnsi="Arial" w:eastAsia="Arial" w:cs="Arial"/>
                <w:b/>
                <w:bCs/>
                <w:color w:val="1A1A2E"/>
                <w:sz w:val="20"/>
                <w:szCs w:val="20"/>
              </w:rPr>
              <w:t>Minor UI Adjustment</w:t>
            </w:r>
          </w:p>
        </w:tc>
        <w:tc>
          <w:tcPr>
            <w:tcW w:w="54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00" w:type="dxa"/>
            </w:tcMar>
          </w:tcPr>
          <w:p w14:paraId="0A9AECB6">
            <w:r>
              <w:rPr>
                <w:rFonts w:ascii="Arial" w:hAnsi="Arial" w:eastAsia="Arial" w:cs="Arial"/>
                <w:color w:val="1A1A2E"/>
                <w:sz w:val="20"/>
                <w:szCs w:val="20"/>
              </w:rPr>
              <w:t>Penyesuaian tampilan sederhana</w:t>
            </w:r>
          </w:p>
        </w:tc>
      </w:tr>
    </w:tbl>
    <w:p w14:paraId="6137BFDA">
      <w:pPr>
        <w:spacing w:before="100" w:after="0"/>
      </w:pPr>
    </w:p>
    <w:p w14:paraId="0A7C975B">
      <w:pPr>
        <w:spacing w:before="60" w:after="60"/>
        <w:jc w:val="both"/>
      </w:pPr>
      <w:r>
        <w:rPr>
          <w:rFonts w:ascii="Arial" w:hAnsi="Arial" w:eastAsia="Arial" w:cs="Arial"/>
          <w:color w:val="1A1A2E"/>
          <w:sz w:val="22"/>
          <w:szCs w:val="22"/>
        </w:rPr>
        <w:t>Pekerjaan di luar ruang lingkup tabel di atas, termasuk pengembangan sistem besar atau pembuatan modul baru, tidak termasuk dalam Kontrak ini dan akan dikenakan biaya tambahan sesuai kesepakatan tertulis antara Para Pihak.</w:t>
      </w:r>
    </w:p>
    <w:p w14:paraId="4F0DC75E">
      <w:pPr>
        <w:spacing w:before="120" w:after="0"/>
      </w:pPr>
    </w:p>
    <w:p w14:paraId="0AFB297E">
      <w:pPr>
        <w:spacing w:before="200" w:after="80"/>
      </w:pPr>
      <w:r>
        <w:rPr>
          <w:rFonts w:ascii="Arial" w:hAnsi="Arial" w:eastAsia="Arial" w:cs="Arial"/>
          <w:b/>
          <w:bCs/>
          <w:color w:val="1A3C6B"/>
          <w:sz w:val="23"/>
          <w:szCs w:val="23"/>
        </w:rPr>
        <w:t>Pasal 4  –  JANGKA WAKTU KONTRAK</w:t>
      </w:r>
    </w:p>
    <w:p w14:paraId="565E28C2">
      <w:pPr>
        <w:pStyle w:val="16"/>
        <w:numPr>
          <w:ilvl w:val="0"/>
          <w:numId w:val="1"/>
        </w:numPr>
        <w:spacing w:before="60" w:after="60"/>
        <w:jc w:val="both"/>
      </w:pPr>
      <w:r>
        <w:rPr>
          <w:rFonts w:ascii="Arial" w:hAnsi="Arial" w:eastAsia="Arial" w:cs="Arial"/>
          <w:color w:val="1A1A2E"/>
          <w:sz w:val="22"/>
          <w:szCs w:val="22"/>
        </w:rPr>
        <w:t>Kontrak ini berlaku selama 12 (dua belas) bulan, terhitung sejak tanggal 1 Juni 2026 sampai dengan tanggal 31 Mei 2027.</w:t>
      </w:r>
    </w:p>
    <w:p w14:paraId="65892A4E">
      <w:pPr>
        <w:pStyle w:val="16"/>
        <w:numPr>
          <w:ilvl w:val="0"/>
          <w:numId w:val="1"/>
        </w:numPr>
        <w:spacing w:before="60" w:after="60"/>
        <w:jc w:val="both"/>
      </w:pPr>
      <w:r>
        <w:rPr>
          <w:rFonts w:ascii="Arial" w:hAnsi="Arial" w:eastAsia="Arial" w:cs="Arial"/>
          <w:color w:val="1A1A2E"/>
          <w:sz w:val="22"/>
          <w:szCs w:val="22"/>
        </w:rPr>
        <w:t>Kontrak ini dapat diperpanjang atas kesepakatan tertulis Para Pihak paling lambat 30 (tiga puluh) hari sebelum masa berlaku berakhir.</w:t>
      </w:r>
    </w:p>
    <w:p w14:paraId="051E982E">
      <w:pPr>
        <w:pStyle w:val="16"/>
        <w:numPr>
          <w:ilvl w:val="0"/>
          <w:numId w:val="1"/>
        </w:numPr>
        <w:spacing w:before="60" w:after="60"/>
        <w:jc w:val="both"/>
      </w:pPr>
      <w:r>
        <w:rPr>
          <w:rFonts w:ascii="Arial" w:hAnsi="Arial" w:eastAsia="Arial" w:cs="Arial"/>
          <w:color w:val="1A1A2E"/>
          <w:sz w:val="22"/>
          <w:szCs w:val="22"/>
        </w:rPr>
        <w:t>Jika tidak ada pemberitahuan dari salah satu pihak, Kontrak ini dianggap tidak diperpanjang dan berakhir sesuai tanggal yang ditetapkan.</w:t>
      </w:r>
    </w:p>
    <w:p w14:paraId="23EE7F38">
      <w:pPr>
        <w:spacing w:before="120" w:after="0"/>
      </w:pPr>
    </w:p>
    <w:p w14:paraId="7ABDC798">
      <w:pPr>
        <w:spacing w:before="200" w:after="80"/>
      </w:pPr>
      <w:r>
        <w:rPr>
          <w:rFonts w:ascii="Arial" w:hAnsi="Arial" w:eastAsia="Arial" w:cs="Arial"/>
          <w:b/>
          <w:bCs/>
          <w:color w:val="1A3C6B"/>
          <w:sz w:val="23"/>
          <w:szCs w:val="23"/>
        </w:rPr>
        <w:t>Pasal 5  –  BIAYA LAYANAN DAN PEMBAYARAN</w:t>
      </w:r>
    </w:p>
    <w:p w14:paraId="2970A3F8">
      <w:pPr>
        <w:pStyle w:val="16"/>
        <w:numPr>
          <w:ilvl w:val="0"/>
          <w:numId w:val="1"/>
        </w:numPr>
        <w:spacing w:before="60" w:after="60"/>
        <w:jc w:val="both"/>
      </w:pPr>
      <w:r>
        <w:rPr>
          <w:rFonts w:ascii="Arial" w:hAnsi="Arial" w:eastAsia="Arial" w:cs="Arial"/>
          <w:color w:val="1A1A2E"/>
          <w:sz w:val="22"/>
          <w:szCs w:val="22"/>
        </w:rPr>
        <w:t>PIHAK KEDUA setuju untuk membayar biaya layanan sebesar Rp 2.000.000,- (Dua Juta Rupiah) per bulan kepada PIHAK PERTAMA.</w:t>
      </w:r>
    </w:p>
    <w:p w14:paraId="3792B067">
      <w:pPr>
        <w:pStyle w:val="16"/>
        <w:numPr>
          <w:ilvl w:val="0"/>
          <w:numId w:val="1"/>
        </w:numPr>
        <w:spacing w:before="60" w:after="60"/>
        <w:jc w:val="both"/>
      </w:pPr>
      <w:r>
        <w:rPr>
          <w:rFonts w:ascii="Arial" w:hAnsi="Arial" w:eastAsia="Arial" w:cs="Arial"/>
          <w:color w:val="1A1A2E"/>
          <w:sz w:val="22"/>
          <w:szCs w:val="22"/>
        </w:rPr>
        <w:t>Pembayaran dilakukan paling lambat tanggal 10 (sepuluh) setiap bulan berjalan melalui transfer bank ke rekening yang telah ditentukan oleh PIHAK PERTAMA.</w:t>
      </w:r>
    </w:p>
    <w:p w14:paraId="28C23C80">
      <w:pPr>
        <w:pStyle w:val="16"/>
        <w:numPr>
          <w:ilvl w:val="0"/>
          <w:numId w:val="1"/>
        </w:numPr>
        <w:spacing w:before="60" w:after="60"/>
        <w:jc w:val="both"/>
      </w:pPr>
      <w:r>
        <w:rPr>
          <w:rFonts w:ascii="Arial" w:hAnsi="Arial" w:eastAsia="Arial" w:cs="Arial"/>
          <w:color w:val="1A1A2E"/>
          <w:sz w:val="22"/>
          <w:szCs w:val="22"/>
        </w:rPr>
        <w:t>Keterlambatan pembayaran lebih dari 14 (empat belas) hari kalender dari tanggal jatuh tempo akan dikenakan denda sebesar 2% (dua persen) per bulan dari total tagihan.</w:t>
      </w:r>
    </w:p>
    <w:p w14:paraId="6E17E834">
      <w:pPr>
        <w:pStyle w:val="16"/>
        <w:numPr>
          <w:ilvl w:val="0"/>
          <w:numId w:val="1"/>
        </w:numPr>
        <w:spacing w:before="60" w:after="60"/>
        <w:jc w:val="both"/>
      </w:pPr>
      <w:r>
        <w:rPr>
          <w:rFonts w:ascii="Arial" w:hAnsi="Arial" w:eastAsia="Arial" w:cs="Arial"/>
          <w:color w:val="1A1A2E"/>
          <w:sz w:val="22"/>
          <w:szCs w:val="22"/>
        </w:rPr>
        <w:t>Biaya layanan dapat dievaluasi dan disesuaikan setiap 12 (dua belas) bulan atas persetujuan tertulis dari kedua belah pihak.</w:t>
      </w:r>
    </w:p>
    <w:p w14:paraId="6B9EB71C">
      <w:pPr>
        <w:spacing w:before="120" w:after="0"/>
      </w:pPr>
    </w:p>
    <w:p w14:paraId="7E1966E5">
      <w:pPr>
        <w:spacing w:before="200" w:after="80"/>
      </w:pPr>
      <w:r>
        <w:rPr>
          <w:rFonts w:ascii="Arial" w:hAnsi="Arial" w:eastAsia="Arial" w:cs="Arial"/>
          <w:b/>
          <w:bCs/>
          <w:color w:val="1A3C6B"/>
          <w:sz w:val="23"/>
          <w:szCs w:val="23"/>
        </w:rPr>
        <w:t>Pasal 6  –  KEWAJIBAN PIHAK PERTAMA</w:t>
      </w:r>
    </w:p>
    <w:p w14:paraId="503842BE">
      <w:pPr>
        <w:spacing w:before="60" w:after="60"/>
        <w:jc w:val="both"/>
      </w:pPr>
      <w:r>
        <w:rPr>
          <w:rFonts w:ascii="Arial" w:hAnsi="Arial" w:eastAsia="Arial" w:cs="Arial"/>
          <w:color w:val="1A1A2E"/>
          <w:sz w:val="22"/>
          <w:szCs w:val="22"/>
        </w:rPr>
        <w:t>PIHAK PERTAMA berkewajiban untuk:</w:t>
      </w:r>
    </w:p>
    <w:p w14:paraId="3C599FB0">
      <w:pPr>
        <w:pStyle w:val="16"/>
        <w:numPr>
          <w:ilvl w:val="0"/>
          <w:numId w:val="1"/>
        </w:numPr>
        <w:spacing w:before="60" w:after="60"/>
        <w:jc w:val="both"/>
      </w:pPr>
      <w:r>
        <w:rPr>
          <w:rFonts w:ascii="Arial" w:hAnsi="Arial" w:eastAsia="Arial" w:cs="Arial"/>
          <w:color w:val="1A1A2E"/>
          <w:sz w:val="22"/>
          <w:szCs w:val="22"/>
        </w:rPr>
        <w:t>Melaksanakan seluruh jenis pekerjaan sebagaimana tercantum dalam Pasal 3 Kontrak ini dengan profesional dan penuh tanggung jawab.</w:t>
      </w:r>
    </w:p>
    <w:p w14:paraId="66E727C8">
      <w:pPr>
        <w:pStyle w:val="16"/>
        <w:numPr>
          <w:ilvl w:val="0"/>
          <w:numId w:val="1"/>
        </w:numPr>
        <w:spacing w:before="60" w:after="60"/>
        <w:jc w:val="both"/>
      </w:pPr>
      <w:r>
        <w:rPr>
          <w:rFonts w:ascii="Arial" w:hAnsi="Arial" w:eastAsia="Arial" w:cs="Arial"/>
          <w:color w:val="1A1A2E"/>
          <w:sz w:val="22"/>
          <w:szCs w:val="22"/>
        </w:rPr>
        <w:t>Memberikan layanan technical support pada Jam Kerja Normal, dan pada kondisi darurat di luar Jam Kerja Normal sesuai kebutuhan.</w:t>
      </w:r>
    </w:p>
    <w:p w14:paraId="677EE345">
      <w:pPr>
        <w:pStyle w:val="16"/>
        <w:numPr>
          <w:ilvl w:val="0"/>
          <w:numId w:val="1"/>
        </w:numPr>
        <w:spacing w:before="60" w:after="60"/>
        <w:jc w:val="both"/>
      </w:pPr>
      <w:r>
        <w:rPr>
          <w:rFonts w:ascii="Arial" w:hAnsi="Arial" w:eastAsia="Arial" w:cs="Arial"/>
          <w:color w:val="1A1A2E"/>
          <w:sz w:val="22"/>
          <w:szCs w:val="22"/>
        </w:rPr>
        <w:t>Menjaga kerahasiaan seluruh data, informasi, dan dokumen milik PIHAK KEDUA yang diperoleh selama pelaksanaan Kontrak ini.</w:t>
      </w:r>
    </w:p>
    <w:p w14:paraId="3DF9C0A3">
      <w:pPr>
        <w:pStyle w:val="16"/>
        <w:numPr>
          <w:ilvl w:val="0"/>
          <w:numId w:val="1"/>
        </w:numPr>
        <w:spacing w:before="60" w:after="60"/>
        <w:jc w:val="both"/>
      </w:pPr>
      <w:r>
        <w:rPr>
          <w:rFonts w:ascii="Arial" w:hAnsi="Arial" w:eastAsia="Arial" w:cs="Arial"/>
          <w:color w:val="1A1A2E"/>
          <w:sz w:val="22"/>
          <w:szCs w:val="22"/>
        </w:rPr>
        <w:t>Melaporkan progres pekerjaan dan kendala yang ditemukan kepada PIHAK KEDUA secara berkala atau sesuai permintaan.</w:t>
      </w:r>
    </w:p>
    <w:p w14:paraId="6A88B80E">
      <w:pPr>
        <w:pStyle w:val="16"/>
        <w:numPr>
          <w:ilvl w:val="0"/>
          <w:numId w:val="1"/>
        </w:numPr>
        <w:spacing w:before="60" w:after="60"/>
        <w:jc w:val="both"/>
      </w:pPr>
      <w:r>
        <w:rPr>
          <w:rFonts w:ascii="Arial" w:hAnsi="Arial" w:eastAsia="Arial" w:cs="Arial"/>
          <w:color w:val="1A1A2E"/>
          <w:sz w:val="22"/>
          <w:szCs w:val="22"/>
        </w:rPr>
        <w:t>Memberitahukan PIHAK KEDUA setidaknya 7 (tujuh) hari sebelumnya apabila terdapat perubahan yang berpengaruh signifikan terhadap sistem.</w:t>
      </w:r>
    </w:p>
    <w:p w14:paraId="48CEA86D">
      <w:pPr>
        <w:spacing w:before="120" w:after="0"/>
      </w:pPr>
    </w:p>
    <w:p w14:paraId="637B690F">
      <w:pPr>
        <w:spacing w:before="200" w:after="80"/>
      </w:pPr>
      <w:r>
        <w:rPr>
          <w:rFonts w:ascii="Arial" w:hAnsi="Arial" w:eastAsia="Arial" w:cs="Arial"/>
          <w:b/>
          <w:bCs/>
          <w:color w:val="1A3C6B"/>
          <w:sz w:val="23"/>
          <w:szCs w:val="23"/>
        </w:rPr>
        <w:t>Pasal 7  –  KEWAJIBAN PIHAK KEDUA</w:t>
      </w:r>
    </w:p>
    <w:p w14:paraId="072AA2F1">
      <w:pPr>
        <w:spacing w:before="60" w:after="60"/>
        <w:jc w:val="both"/>
      </w:pPr>
      <w:r>
        <w:rPr>
          <w:rFonts w:ascii="Arial" w:hAnsi="Arial" w:eastAsia="Arial" w:cs="Arial"/>
          <w:color w:val="1A1A2E"/>
          <w:sz w:val="22"/>
          <w:szCs w:val="22"/>
        </w:rPr>
        <w:t>PIHAK KEDUA berkewajiban untuk:</w:t>
      </w:r>
    </w:p>
    <w:p w14:paraId="7D5DD8D1">
      <w:pPr>
        <w:pStyle w:val="16"/>
        <w:numPr>
          <w:ilvl w:val="0"/>
          <w:numId w:val="1"/>
        </w:numPr>
        <w:spacing w:before="60" w:after="60"/>
        <w:jc w:val="both"/>
      </w:pPr>
      <w:r>
        <w:rPr>
          <w:rFonts w:ascii="Arial" w:hAnsi="Arial" w:eastAsia="Arial" w:cs="Arial"/>
          <w:color w:val="1A1A2E"/>
          <w:sz w:val="22"/>
          <w:szCs w:val="22"/>
        </w:rPr>
        <w:t>Membayar biaya layanan tepat waktu sesuai ketentuan dalam Pasal 5 Kontrak ini.</w:t>
      </w:r>
    </w:p>
    <w:p w14:paraId="4B4412B0">
      <w:pPr>
        <w:pStyle w:val="16"/>
        <w:numPr>
          <w:ilvl w:val="0"/>
          <w:numId w:val="1"/>
        </w:numPr>
        <w:spacing w:before="60" w:after="60"/>
        <w:jc w:val="both"/>
      </w:pPr>
      <w:r>
        <w:rPr>
          <w:rFonts w:ascii="Arial" w:hAnsi="Arial" w:eastAsia="Arial" w:cs="Arial"/>
          <w:color w:val="1A1A2E"/>
          <w:sz w:val="22"/>
          <w:szCs w:val="22"/>
        </w:rPr>
        <w:t>Menyediakan akses yang diperlukan kepada PIHAK PERTAMA terhadap sistem, server, dan infrastruktur terkait untuk keperluan pelaksanaan pekerjaan.</w:t>
      </w:r>
    </w:p>
    <w:p w14:paraId="01721A99">
      <w:pPr>
        <w:pStyle w:val="16"/>
        <w:numPr>
          <w:ilvl w:val="0"/>
          <w:numId w:val="1"/>
        </w:numPr>
        <w:spacing w:before="60" w:after="60"/>
        <w:jc w:val="both"/>
      </w:pPr>
      <w:r>
        <w:rPr>
          <w:rFonts w:ascii="Arial" w:hAnsi="Arial" w:eastAsia="Arial" w:cs="Arial"/>
          <w:color w:val="1A1A2E"/>
          <w:sz w:val="22"/>
          <w:szCs w:val="22"/>
        </w:rPr>
        <w:t>Menyampaikan laporan gangguan, bug, atau permintaan perubahan secara jelas dan tertulis kepada PIHAK PERTAMA.</w:t>
      </w:r>
    </w:p>
    <w:p w14:paraId="33450CC8">
      <w:pPr>
        <w:pStyle w:val="16"/>
        <w:numPr>
          <w:ilvl w:val="0"/>
          <w:numId w:val="1"/>
        </w:numPr>
        <w:spacing w:before="60" w:after="60"/>
        <w:jc w:val="both"/>
      </w:pPr>
      <w:r>
        <w:rPr>
          <w:rFonts w:ascii="Arial" w:hAnsi="Arial" w:eastAsia="Arial" w:cs="Arial"/>
          <w:color w:val="1A1A2E"/>
          <w:sz w:val="22"/>
          <w:szCs w:val="22"/>
        </w:rPr>
        <w:t>Memberikan informasi dan data yang diperlukan oleh PIHAK PERTAMA dalam rangka pelaksanaan pekerjaan.</w:t>
      </w:r>
    </w:p>
    <w:p w14:paraId="2AEAC80B">
      <w:pPr>
        <w:spacing w:before="120" w:after="0"/>
      </w:pPr>
    </w:p>
    <w:p w14:paraId="22B832DD">
      <w:pPr>
        <w:spacing w:before="200" w:after="80"/>
      </w:pPr>
      <w:r>
        <w:rPr>
          <w:rFonts w:ascii="Arial" w:hAnsi="Arial" w:eastAsia="Arial" w:cs="Arial"/>
          <w:b/>
          <w:bCs/>
          <w:color w:val="1A3C6B"/>
          <w:sz w:val="23"/>
          <w:szCs w:val="23"/>
        </w:rPr>
        <w:t>Pasal 8  –  KERAHASIAAN DATA</w:t>
      </w:r>
    </w:p>
    <w:p w14:paraId="3C3524B7">
      <w:pPr>
        <w:pStyle w:val="16"/>
        <w:numPr>
          <w:ilvl w:val="0"/>
          <w:numId w:val="1"/>
        </w:numPr>
        <w:spacing w:before="60" w:after="60"/>
        <w:jc w:val="both"/>
      </w:pPr>
      <w:r>
        <w:rPr>
          <w:rFonts w:ascii="Arial" w:hAnsi="Arial" w:eastAsia="Arial" w:cs="Arial"/>
          <w:color w:val="1A1A2E"/>
          <w:sz w:val="22"/>
          <w:szCs w:val="22"/>
        </w:rPr>
        <w:t>PIHAK PERTAMA wajib menjaga kerahasiaan seluruh data karyawan, data penggajian, dan informasi sensitif lainnya milik PIHAK KEDUA.</w:t>
      </w:r>
    </w:p>
    <w:p w14:paraId="15D6F217">
      <w:pPr>
        <w:pStyle w:val="16"/>
        <w:numPr>
          <w:ilvl w:val="0"/>
          <w:numId w:val="1"/>
        </w:numPr>
        <w:spacing w:before="60" w:after="60"/>
        <w:jc w:val="both"/>
      </w:pPr>
      <w:r>
        <w:rPr>
          <w:rFonts w:ascii="Arial" w:hAnsi="Arial" w:eastAsia="Arial" w:cs="Arial"/>
          <w:color w:val="1A1A2E"/>
          <w:sz w:val="22"/>
          <w:szCs w:val="22"/>
        </w:rPr>
        <w:t>PIHAK PERTAMA dilarang mengungkapkan, menjual, atau mentransfer data milik PIHAK KEDUA kepada pihak ketiga manapun tanpa persetujuan tertulis dari PIHAK KEDUA.</w:t>
      </w:r>
    </w:p>
    <w:p w14:paraId="38C2AC44">
      <w:pPr>
        <w:pStyle w:val="16"/>
        <w:numPr>
          <w:ilvl w:val="0"/>
          <w:numId w:val="1"/>
        </w:numPr>
        <w:spacing w:before="60" w:after="60"/>
        <w:jc w:val="both"/>
      </w:pPr>
      <w:r>
        <w:rPr>
          <w:rFonts w:ascii="Arial" w:hAnsi="Arial" w:eastAsia="Arial" w:cs="Arial"/>
          <w:color w:val="1A1A2E"/>
          <w:sz w:val="22"/>
          <w:szCs w:val="22"/>
        </w:rPr>
        <w:t>Kewajiban kerahasiaan ini tetap berlaku meskipun Kontrak ini telah berakhir atau diakhiri.</w:t>
      </w:r>
    </w:p>
    <w:p w14:paraId="5FD56217">
      <w:pPr>
        <w:pStyle w:val="16"/>
        <w:numPr>
          <w:ilvl w:val="0"/>
          <w:numId w:val="1"/>
        </w:numPr>
        <w:spacing w:before="60" w:after="60"/>
        <w:jc w:val="both"/>
      </w:pPr>
      <w:r>
        <w:rPr>
          <w:rFonts w:ascii="Arial" w:hAnsi="Arial" w:eastAsia="Arial" w:cs="Arial"/>
          <w:color w:val="1A1A2E"/>
          <w:sz w:val="22"/>
          <w:szCs w:val="22"/>
        </w:rPr>
        <w:t>Pelanggaran terhadap ketentuan kerahasiaan ini memberikan hak kepada PIHAK KEDUA untuk menuntut ganti rugi secara hukum.</w:t>
      </w:r>
    </w:p>
    <w:p w14:paraId="5D64E4A2">
      <w:pPr>
        <w:spacing w:before="120" w:after="0"/>
      </w:pPr>
    </w:p>
    <w:p w14:paraId="3AA054C9">
      <w:pPr>
        <w:spacing w:before="200" w:after="80"/>
      </w:pPr>
      <w:r>
        <w:rPr>
          <w:rFonts w:ascii="Arial" w:hAnsi="Arial" w:eastAsia="Arial" w:cs="Arial"/>
          <w:b/>
          <w:bCs/>
          <w:color w:val="1A3C6B"/>
          <w:sz w:val="23"/>
          <w:szCs w:val="23"/>
        </w:rPr>
        <w:t>Pasal 9  –  PENGHENTIAN KONTRAK</w:t>
      </w:r>
    </w:p>
    <w:p w14:paraId="313FCB19">
      <w:pPr>
        <w:pStyle w:val="16"/>
        <w:numPr>
          <w:ilvl w:val="0"/>
          <w:numId w:val="1"/>
        </w:numPr>
        <w:spacing w:before="60" w:after="60"/>
        <w:jc w:val="both"/>
      </w:pPr>
      <w:r>
        <w:rPr>
          <w:rFonts w:ascii="Arial" w:hAnsi="Arial" w:eastAsia="Arial" w:cs="Arial"/>
          <w:color w:val="1A1A2E"/>
          <w:sz w:val="22"/>
          <w:szCs w:val="22"/>
        </w:rPr>
        <w:t>Salah satu pihak dapat mengakhiri Kontrak ini sebelum jangka waktu berakhir dengan memberikan pemberitahuan tertulis minimal 30 (tiga puluh) hari sebelumnya.</w:t>
      </w:r>
    </w:p>
    <w:p w14:paraId="5547FC3A">
      <w:pPr>
        <w:pStyle w:val="16"/>
        <w:numPr>
          <w:ilvl w:val="0"/>
          <w:numId w:val="1"/>
        </w:numPr>
        <w:spacing w:before="60" w:after="60"/>
        <w:jc w:val="both"/>
      </w:pPr>
      <w:r>
        <w:rPr>
          <w:rFonts w:ascii="Arial" w:hAnsi="Arial" w:eastAsia="Arial" w:cs="Arial"/>
          <w:color w:val="1A1A2E"/>
          <w:sz w:val="22"/>
          <w:szCs w:val="22"/>
        </w:rPr>
        <w:t>PIHAK PERTAMA berhak mengakhiri Kontrak ini secara sepihak apabila PIHAK KEDUA tidak melakukan pembayaran selama 2 (dua) bulan berturut-turut.</w:t>
      </w:r>
    </w:p>
    <w:p w14:paraId="0DA775DA">
      <w:pPr>
        <w:pStyle w:val="16"/>
        <w:numPr>
          <w:ilvl w:val="0"/>
          <w:numId w:val="1"/>
        </w:numPr>
        <w:spacing w:before="60" w:after="60"/>
        <w:jc w:val="both"/>
      </w:pPr>
      <w:r>
        <w:rPr>
          <w:rFonts w:ascii="Arial" w:hAnsi="Arial" w:eastAsia="Arial" w:cs="Arial"/>
          <w:color w:val="1A1A2E"/>
          <w:sz w:val="22"/>
          <w:szCs w:val="22"/>
        </w:rPr>
        <w:t>PIHAK KEDUA berhak mengakhiri Kontrak ini apabila PIHAK PERTAMA terbukti secara nyata melanggar kewajiban kerahasiaan data sebagaimana diatur dalam Pasal 8.</w:t>
      </w:r>
    </w:p>
    <w:p w14:paraId="3FCB8465">
      <w:pPr>
        <w:pStyle w:val="16"/>
        <w:numPr>
          <w:ilvl w:val="0"/>
          <w:numId w:val="1"/>
        </w:numPr>
        <w:spacing w:before="60" w:after="60"/>
        <w:jc w:val="both"/>
      </w:pPr>
      <w:r>
        <w:rPr>
          <w:rFonts w:ascii="Arial" w:hAnsi="Arial" w:eastAsia="Arial" w:cs="Arial"/>
          <w:color w:val="1A1A2E"/>
          <w:sz w:val="22"/>
          <w:szCs w:val="22"/>
        </w:rPr>
        <w:t>Dalam hal penghentian kontrak, seluruh kewajiban pembayaran yang telah jatuh tempo wajib diselesaikan oleh pihak yang bersangkutan.</w:t>
      </w:r>
    </w:p>
    <w:p w14:paraId="3D66DB74">
      <w:pPr>
        <w:spacing w:before="120" w:after="0"/>
      </w:pPr>
    </w:p>
    <w:p w14:paraId="63081110">
      <w:pPr>
        <w:spacing w:before="200" w:after="80"/>
      </w:pPr>
      <w:r>
        <w:rPr>
          <w:rFonts w:ascii="Arial" w:hAnsi="Arial" w:eastAsia="Arial" w:cs="Arial"/>
          <w:b/>
          <w:bCs/>
          <w:color w:val="1A3C6B"/>
          <w:sz w:val="23"/>
          <w:szCs w:val="23"/>
        </w:rPr>
        <w:t>Pasal 10  –  FORCE MAJEURE</w:t>
      </w:r>
    </w:p>
    <w:p w14:paraId="283141C1">
      <w:pPr>
        <w:pStyle w:val="16"/>
        <w:numPr>
          <w:ilvl w:val="0"/>
          <w:numId w:val="1"/>
        </w:numPr>
        <w:spacing w:before="60" w:after="60"/>
        <w:jc w:val="both"/>
      </w:pPr>
      <w:r>
        <w:rPr>
          <w:rFonts w:ascii="Arial" w:hAnsi="Arial" w:eastAsia="Arial" w:cs="Arial"/>
          <w:color w:val="1A1A2E"/>
          <w:sz w:val="22"/>
          <w:szCs w:val="22"/>
        </w:rPr>
        <w:t>Para Pihak tidak dapat dimintakan pertanggungjawaban atas kegagalan atau keterlambatan pelaksanaan kewajiban yang disebabkan oleh keadaan force majeure, yaitu kejadian di luar kendali yang wajar dari Para Pihak, termasuk namun tidak terbatas pada: bencana alam, perang, kebakaran, gangguan listrik massal, atau kebijakan pemerintah.</w:t>
      </w:r>
    </w:p>
    <w:p w14:paraId="5C8311A5">
      <w:pPr>
        <w:pStyle w:val="16"/>
        <w:numPr>
          <w:ilvl w:val="0"/>
          <w:numId w:val="1"/>
        </w:numPr>
        <w:spacing w:before="60" w:after="60"/>
        <w:jc w:val="both"/>
      </w:pPr>
      <w:r>
        <w:rPr>
          <w:rFonts w:ascii="Arial" w:hAnsi="Arial" w:eastAsia="Arial" w:cs="Arial"/>
          <w:color w:val="1A1A2E"/>
          <w:sz w:val="22"/>
          <w:szCs w:val="22"/>
        </w:rPr>
        <w:t>Pihak yang mengalami force majeure wajib memberitahukan pihak lainnya secara tertulis paling lambat 3 (tiga) hari kerja sejak kejadian tersebut terjadi.</w:t>
      </w:r>
    </w:p>
    <w:p w14:paraId="18645D98">
      <w:pPr>
        <w:pStyle w:val="16"/>
        <w:numPr>
          <w:ilvl w:val="0"/>
          <w:numId w:val="1"/>
        </w:numPr>
        <w:spacing w:before="60" w:after="60"/>
        <w:jc w:val="both"/>
      </w:pPr>
      <w:r>
        <w:rPr>
          <w:rFonts w:ascii="Arial" w:hAnsi="Arial" w:eastAsia="Arial" w:cs="Arial"/>
          <w:color w:val="1A1A2E"/>
          <w:sz w:val="22"/>
          <w:szCs w:val="22"/>
        </w:rPr>
        <w:t>Jika keadaan force majeure berlangsung lebih dari 60 (enam puluh) hari, maka Para Pihak berhak untuk mengakhiri Kontrak ini tanpa kewajiban ganti rugi.</w:t>
      </w:r>
    </w:p>
    <w:p w14:paraId="4DD5A817">
      <w:pPr>
        <w:spacing w:before="120" w:after="0"/>
      </w:pPr>
    </w:p>
    <w:p w14:paraId="3697D0AB">
      <w:pPr>
        <w:spacing w:before="200" w:after="80"/>
      </w:pPr>
      <w:r>
        <w:rPr>
          <w:rFonts w:ascii="Arial" w:hAnsi="Arial" w:eastAsia="Arial" w:cs="Arial"/>
          <w:b/>
          <w:bCs/>
          <w:color w:val="1A3C6B"/>
          <w:sz w:val="23"/>
          <w:szCs w:val="23"/>
        </w:rPr>
        <w:t>Pasal 11  –  PENYELESAIAN PERSELISIHAN</w:t>
      </w:r>
    </w:p>
    <w:p w14:paraId="5525BEC1">
      <w:pPr>
        <w:pStyle w:val="16"/>
        <w:numPr>
          <w:ilvl w:val="0"/>
          <w:numId w:val="1"/>
        </w:numPr>
        <w:spacing w:before="60" w:after="60"/>
        <w:jc w:val="both"/>
      </w:pPr>
      <w:r>
        <w:rPr>
          <w:rFonts w:ascii="Arial" w:hAnsi="Arial" w:eastAsia="Arial" w:cs="Arial"/>
          <w:color w:val="1A1A2E"/>
          <w:sz w:val="22"/>
          <w:szCs w:val="22"/>
        </w:rPr>
        <w:t>Setiap perselisihan yang timbul dari pelaksanaan Kontrak ini akan diselesaikan terlebih dahulu melalui musyawarah untuk mencapai mufakat antara Para Pihak dalam jangka waktu 14 (empat belas) hari kerja.</w:t>
      </w:r>
    </w:p>
    <w:p w14:paraId="05D787B9">
      <w:pPr>
        <w:pStyle w:val="16"/>
        <w:numPr>
          <w:ilvl w:val="0"/>
          <w:numId w:val="1"/>
        </w:numPr>
        <w:spacing w:before="60" w:after="60"/>
        <w:jc w:val="both"/>
      </w:pPr>
      <w:r>
        <w:rPr>
          <w:rFonts w:ascii="Arial" w:hAnsi="Arial" w:eastAsia="Arial" w:cs="Arial"/>
          <w:color w:val="1A1A2E"/>
          <w:sz w:val="22"/>
          <w:szCs w:val="22"/>
        </w:rPr>
        <w:t>Apabila penyelesaian secara musyawarah tidak tercapai, Para Pihak sepakat untuk menyelesaikan perselisihan melalui Pengadilan Negeri yang berwenang sesuai dengan ketentuan hukum yang berlaku di Republik Indonesia.</w:t>
      </w:r>
    </w:p>
    <w:p w14:paraId="7AFFCAA9">
      <w:pPr>
        <w:spacing w:before="120" w:after="0"/>
      </w:pPr>
    </w:p>
    <w:p w14:paraId="50845546">
      <w:pPr>
        <w:spacing w:before="200" w:after="80"/>
      </w:pPr>
      <w:r>
        <w:rPr>
          <w:rFonts w:ascii="Arial" w:hAnsi="Arial" w:eastAsia="Arial" w:cs="Arial"/>
          <w:b/>
          <w:bCs/>
          <w:color w:val="1A3C6B"/>
          <w:sz w:val="23"/>
          <w:szCs w:val="23"/>
        </w:rPr>
        <w:t>Pasal 12  –  KETENTUAN LAIN-LAIN</w:t>
      </w:r>
    </w:p>
    <w:p w14:paraId="27A5BFBF">
      <w:pPr>
        <w:pStyle w:val="16"/>
        <w:numPr>
          <w:ilvl w:val="0"/>
          <w:numId w:val="1"/>
        </w:numPr>
        <w:spacing w:before="60" w:after="60"/>
        <w:jc w:val="both"/>
      </w:pPr>
      <w:r>
        <w:rPr>
          <w:rFonts w:ascii="Arial" w:hAnsi="Arial" w:eastAsia="Arial" w:cs="Arial"/>
          <w:color w:val="1A1A2E"/>
          <w:sz w:val="22"/>
          <w:szCs w:val="22"/>
        </w:rPr>
        <w:t>Kontrak ini merupakan keseluruhan perjanjian antara Para Pihak dan menggantikan semua perjanjian, diskusi, atau negosiasi sebelumnya mengenai hal yang sama.</w:t>
      </w:r>
    </w:p>
    <w:p w14:paraId="002EACBD">
      <w:pPr>
        <w:pStyle w:val="16"/>
        <w:numPr>
          <w:ilvl w:val="0"/>
          <w:numId w:val="1"/>
        </w:numPr>
        <w:spacing w:before="60" w:after="60"/>
        <w:jc w:val="both"/>
      </w:pPr>
      <w:r>
        <w:rPr>
          <w:rFonts w:ascii="Arial" w:hAnsi="Arial" w:eastAsia="Arial" w:cs="Arial"/>
          <w:color w:val="1A1A2E"/>
          <w:sz w:val="22"/>
          <w:szCs w:val="22"/>
        </w:rPr>
        <w:t>Setiap perubahan atau penambahan terhadap Kontrak ini hanya sah apabila dibuat secara tertulis dan ditandatangani oleh Para Pihak.</w:t>
      </w:r>
    </w:p>
    <w:p w14:paraId="7EC83442">
      <w:pPr>
        <w:pStyle w:val="16"/>
        <w:numPr>
          <w:ilvl w:val="0"/>
          <w:numId w:val="1"/>
        </w:numPr>
        <w:spacing w:before="60" w:after="60"/>
        <w:jc w:val="both"/>
      </w:pPr>
      <w:r>
        <w:rPr>
          <w:rFonts w:ascii="Arial" w:hAnsi="Arial" w:eastAsia="Arial" w:cs="Arial"/>
          <w:color w:val="1A1A2E"/>
          <w:sz w:val="22"/>
          <w:szCs w:val="22"/>
        </w:rPr>
        <w:t>Kontrak ini tunduk pada dan ditafsirkan sesuai dengan hukum yang berlaku di Republik Indonesia.</w:t>
      </w:r>
    </w:p>
    <w:p w14:paraId="32643D4C">
      <w:pPr>
        <w:pStyle w:val="16"/>
        <w:numPr>
          <w:ilvl w:val="0"/>
          <w:numId w:val="1"/>
        </w:numPr>
        <w:spacing w:before="60" w:after="60"/>
        <w:jc w:val="both"/>
      </w:pPr>
      <w:r>
        <w:rPr>
          <w:rFonts w:ascii="Arial" w:hAnsi="Arial" w:eastAsia="Arial" w:cs="Arial"/>
          <w:color w:val="1A1A2E"/>
          <w:sz w:val="22"/>
          <w:szCs w:val="22"/>
        </w:rPr>
        <w:t>Kontrak ini dibuat dalam rangkap 2 (dua) eksemplar yang masing-masing bermeterai cukup dan memiliki kekuatan hukum yang sama.</w:t>
      </w:r>
    </w:p>
    <w:p w14:paraId="558230CB">
      <w:pPr>
        <w:spacing w:before="160" w:after="0"/>
      </w:pPr>
    </w:p>
    <w:p w14:paraId="66575DCD">
      <w:pPr>
        <w:pBdr>
          <w:bottom w:val="single" w:color="2E5FA3" w:sz="6" w:space="1"/>
        </w:pBdr>
        <w:spacing w:before="80" w:after="80"/>
      </w:pPr>
    </w:p>
    <w:p w14:paraId="49E9D79A">
      <w:pPr>
        <w:spacing w:before="100" w:after="0"/>
      </w:pPr>
    </w:p>
    <w:p w14:paraId="3E220A78">
      <w:pPr>
        <w:spacing w:before="60" w:after="60"/>
        <w:jc w:val="both"/>
        <w:rPr>
          <w:rFonts w:ascii="Arial" w:hAnsi="Arial" w:eastAsia="Arial" w:cs="Arial"/>
          <w:color w:val="1A1A2E"/>
          <w:sz w:val="22"/>
          <w:szCs w:val="22"/>
        </w:rPr>
      </w:pPr>
    </w:p>
    <w:p w14:paraId="10A8886F">
      <w:pPr>
        <w:spacing w:before="60" w:after="60"/>
        <w:jc w:val="both"/>
        <w:rPr>
          <w:rFonts w:ascii="Arial" w:hAnsi="Arial" w:eastAsia="Arial" w:cs="Arial"/>
          <w:color w:val="1A1A2E"/>
          <w:sz w:val="22"/>
          <w:szCs w:val="22"/>
        </w:rPr>
      </w:pPr>
    </w:p>
    <w:p w14:paraId="79AC72C6">
      <w:pPr>
        <w:spacing w:before="60" w:after="60"/>
        <w:jc w:val="both"/>
        <w:rPr>
          <w:rFonts w:ascii="Arial" w:hAnsi="Arial" w:eastAsia="Arial" w:cs="Arial"/>
          <w:color w:val="1A1A2E"/>
          <w:sz w:val="22"/>
          <w:szCs w:val="22"/>
        </w:rPr>
      </w:pPr>
    </w:p>
    <w:p w14:paraId="3CADE021">
      <w:pPr>
        <w:spacing w:before="60" w:after="60"/>
        <w:jc w:val="both"/>
        <w:rPr>
          <w:rFonts w:ascii="Arial" w:hAnsi="Arial" w:eastAsia="Arial" w:cs="Arial"/>
          <w:color w:val="1A1A2E"/>
          <w:sz w:val="22"/>
          <w:szCs w:val="22"/>
        </w:rPr>
      </w:pPr>
    </w:p>
    <w:p w14:paraId="56459E2B">
      <w:pPr>
        <w:spacing w:before="60" w:after="60"/>
        <w:jc w:val="both"/>
        <w:rPr>
          <w:rFonts w:ascii="Arial" w:hAnsi="Arial" w:eastAsia="Arial" w:cs="Arial"/>
          <w:color w:val="1A1A2E"/>
          <w:sz w:val="22"/>
          <w:szCs w:val="22"/>
        </w:rPr>
      </w:pPr>
    </w:p>
    <w:p w14:paraId="64111188">
      <w:pPr>
        <w:spacing w:before="60" w:after="60"/>
        <w:jc w:val="both"/>
        <w:rPr>
          <w:rFonts w:ascii="Arial" w:hAnsi="Arial" w:eastAsia="Arial" w:cs="Arial"/>
          <w:color w:val="1A1A2E"/>
          <w:sz w:val="22"/>
          <w:szCs w:val="22"/>
        </w:rPr>
      </w:pPr>
    </w:p>
    <w:p w14:paraId="63C97856">
      <w:pPr>
        <w:spacing w:before="60" w:after="60"/>
        <w:jc w:val="both"/>
        <w:rPr>
          <w:rFonts w:ascii="Arial" w:hAnsi="Arial" w:eastAsia="Arial" w:cs="Arial"/>
          <w:color w:val="1A1A2E"/>
          <w:sz w:val="22"/>
          <w:szCs w:val="22"/>
        </w:rPr>
      </w:pPr>
    </w:p>
    <w:p w14:paraId="2F1B7051">
      <w:pPr>
        <w:spacing w:before="60" w:after="60"/>
        <w:jc w:val="both"/>
        <w:rPr>
          <w:rFonts w:ascii="Arial" w:hAnsi="Arial" w:eastAsia="Arial" w:cs="Arial"/>
          <w:color w:val="1A1A2E"/>
          <w:sz w:val="22"/>
          <w:szCs w:val="22"/>
        </w:rPr>
      </w:pPr>
    </w:p>
    <w:p w14:paraId="4153186B">
      <w:pPr>
        <w:spacing w:before="60" w:after="60"/>
        <w:jc w:val="both"/>
      </w:pPr>
      <w:bookmarkStart w:id="0" w:name="_GoBack"/>
      <w:bookmarkEnd w:id="0"/>
      <w:r>
        <w:rPr>
          <w:rFonts w:ascii="Arial" w:hAnsi="Arial" w:eastAsia="Arial" w:cs="Arial"/>
          <w:color w:val="1A1A2E"/>
          <w:sz w:val="22"/>
          <w:szCs w:val="22"/>
        </w:rPr>
        <w:t>Demikian Kontrak Perjanjian Kerja ini dibuat dan ditandatangani oleh Para Pihak dengan itikad baik dan penuh kesadaran tanpa paksaan dari pihak manapun.</w:t>
      </w:r>
    </w:p>
    <w:p w14:paraId="21B2544D">
      <w:pPr>
        <w:spacing w:before="200" w:after="0"/>
      </w:pP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93"/>
        <w:gridCol w:w="4693"/>
      </w:tblGrid>
      <w:tr w14:paraId="4370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93" w:type="dxa"/>
            <w:tcBorders>
              <w:top w:val="single" w:color="BBBBBB" w:sz="4" w:space="0"/>
              <w:left w:val="single" w:color="BBBBBB" w:sz="4" w:space="0"/>
              <w:bottom w:val="single" w:color="BBBBBB" w:sz="4" w:space="0"/>
              <w:right w:val="single" w:color="BBBBBB" w:sz="4" w:space="0"/>
            </w:tcBorders>
            <w:shd w:val="clear" w:color="auto" w:fill="EAF2FB"/>
            <w:tcMar>
              <w:top w:w="120" w:type="dxa"/>
              <w:left w:w="200" w:type="dxa"/>
              <w:bottom w:w="120" w:type="dxa"/>
              <w:right w:w="200" w:type="dxa"/>
            </w:tcMar>
          </w:tcPr>
          <w:p w14:paraId="26FBE862">
            <w:pPr>
              <w:jc w:val="center"/>
            </w:pPr>
            <w:r>
              <w:rPr>
                <w:rFonts w:ascii="Arial" w:hAnsi="Arial" w:eastAsia="Arial" w:cs="Arial"/>
                <w:b/>
                <w:bCs/>
                <w:color w:val="1A3C6B"/>
                <w:sz w:val="22"/>
                <w:szCs w:val="22"/>
              </w:rPr>
              <w:t>PIHAK PERTAMA</w:t>
            </w:r>
          </w:p>
        </w:tc>
        <w:tc>
          <w:tcPr>
            <w:tcW w:w="4693" w:type="dxa"/>
            <w:tcBorders>
              <w:top w:val="single" w:color="BBBBBB" w:sz="4" w:space="0"/>
              <w:left w:val="single" w:color="BBBBBB" w:sz="4" w:space="0"/>
              <w:bottom w:val="single" w:color="BBBBBB" w:sz="4" w:space="0"/>
              <w:right w:val="single" w:color="BBBBBB" w:sz="4" w:space="0"/>
            </w:tcBorders>
            <w:shd w:val="clear" w:color="auto" w:fill="EAF2FB"/>
            <w:tcMar>
              <w:top w:w="120" w:type="dxa"/>
              <w:left w:w="200" w:type="dxa"/>
              <w:bottom w:w="120" w:type="dxa"/>
              <w:right w:w="200" w:type="dxa"/>
            </w:tcMar>
          </w:tcPr>
          <w:p w14:paraId="2F35C058">
            <w:pPr>
              <w:jc w:val="center"/>
            </w:pPr>
            <w:r>
              <w:rPr>
                <w:rFonts w:ascii="Arial" w:hAnsi="Arial" w:eastAsia="Arial" w:cs="Arial"/>
                <w:b/>
                <w:bCs/>
                <w:color w:val="1A3C6B"/>
                <w:sz w:val="22"/>
                <w:szCs w:val="22"/>
              </w:rPr>
              <w:t>PIHAK KEDUA</w:t>
            </w:r>
          </w:p>
        </w:tc>
      </w:tr>
      <w:tr w14:paraId="77A87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93" w:type="dxa"/>
            <w:tcBorders>
              <w:top w:val="single" w:color="BBBBBB" w:sz="4" w:space="0"/>
              <w:left w:val="single" w:color="BBBBBB" w:sz="4" w:space="0"/>
              <w:bottom w:val="single" w:color="BBBBBB" w:sz="4" w:space="0"/>
              <w:right w:val="single" w:color="BBBBBB" w:sz="4" w:space="0"/>
            </w:tcBorders>
            <w:tcMar>
              <w:top w:w="120" w:type="dxa"/>
              <w:left w:w="200" w:type="dxa"/>
              <w:bottom w:w="120" w:type="dxa"/>
              <w:right w:w="200" w:type="dxa"/>
            </w:tcMar>
          </w:tcPr>
          <w:p w14:paraId="1A8913F3">
            <w:pPr>
              <w:jc w:val="center"/>
            </w:pPr>
            <w:r>
              <w:rPr>
                <w:rFonts w:ascii="Arial" w:hAnsi="Arial" w:eastAsia="Arial" w:cs="Arial"/>
                <w:color w:val="1A1A2E"/>
                <w:sz w:val="20"/>
                <w:szCs w:val="20"/>
              </w:rPr>
              <w:t>Kokofibo Web Solution</w:t>
            </w:r>
          </w:p>
        </w:tc>
        <w:tc>
          <w:tcPr>
            <w:tcW w:w="4693" w:type="dxa"/>
            <w:tcBorders>
              <w:top w:val="single" w:color="BBBBBB" w:sz="4" w:space="0"/>
              <w:left w:val="single" w:color="BBBBBB" w:sz="4" w:space="0"/>
              <w:bottom w:val="single" w:color="BBBBBB" w:sz="4" w:space="0"/>
              <w:right w:val="single" w:color="BBBBBB" w:sz="4" w:space="0"/>
            </w:tcBorders>
            <w:tcMar>
              <w:top w:w="120" w:type="dxa"/>
              <w:left w:w="200" w:type="dxa"/>
              <w:bottom w:w="120" w:type="dxa"/>
              <w:right w:w="200" w:type="dxa"/>
            </w:tcMar>
          </w:tcPr>
          <w:p w14:paraId="35EDBFE7">
            <w:pPr>
              <w:jc w:val="center"/>
            </w:pPr>
            <w:r>
              <w:rPr>
                <w:rFonts w:ascii="Arial" w:hAnsi="Arial" w:eastAsia="Arial" w:cs="Arial"/>
                <w:color w:val="1A1A2E"/>
                <w:sz w:val="20"/>
                <w:szCs w:val="20"/>
              </w:rPr>
              <w:t>PT Sinar Textile Indonesia</w:t>
            </w:r>
          </w:p>
        </w:tc>
      </w:tr>
      <w:tr w14:paraId="6B01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93" w:type="dxa"/>
            <w:tcBorders>
              <w:top w:val="single" w:color="BBBBBB" w:sz="4" w:space="0"/>
              <w:left w:val="single" w:color="BBBBBB" w:sz="4" w:space="0"/>
              <w:bottom w:val="single" w:color="BBBBBB" w:sz="4" w:space="0"/>
              <w:right w:val="single" w:color="BBBBBB" w:sz="4" w:space="0"/>
            </w:tcBorders>
            <w:tcMar>
              <w:top w:w="10" w:type="dxa"/>
              <w:left w:w="200" w:type="dxa"/>
              <w:bottom w:w="10" w:type="dxa"/>
              <w:right w:w="200" w:type="dxa"/>
            </w:tcMar>
          </w:tcPr>
          <w:p w14:paraId="53AE8ADA">
            <w:pPr>
              <w:spacing w:before="0" w:after="0"/>
            </w:pPr>
            <w:r>
              <w:rPr>
                <w:rFonts w:ascii="Arial" w:hAnsi="Arial" w:eastAsia="Arial" w:cs="Arial"/>
                <w:color w:val="1A1A2E"/>
                <w:sz w:val="22"/>
                <w:szCs w:val="22"/>
              </w:rPr>
              <w:t xml:space="preserve"> </w:t>
            </w:r>
          </w:p>
          <w:p w14:paraId="50DFBE81">
            <w:pPr>
              <w:spacing w:before="0" w:after="0"/>
            </w:pPr>
            <w:r>
              <w:rPr>
                <w:rFonts w:ascii="Arial" w:hAnsi="Arial" w:eastAsia="Arial" w:cs="Arial"/>
                <w:color w:val="1A1A2E"/>
                <w:sz w:val="22"/>
                <w:szCs w:val="22"/>
              </w:rPr>
              <w:t xml:space="preserve"> </w:t>
            </w:r>
          </w:p>
          <w:p w14:paraId="308A7637">
            <w:pPr>
              <w:spacing w:before="0" w:after="0"/>
            </w:pPr>
            <w:r>
              <w:rPr>
                <w:rFonts w:ascii="Arial" w:hAnsi="Arial" w:eastAsia="Arial" w:cs="Arial"/>
                <w:color w:val="1A1A2E"/>
                <w:sz w:val="22"/>
                <w:szCs w:val="22"/>
              </w:rPr>
              <w:t xml:space="preserve"> </w:t>
            </w:r>
          </w:p>
          <w:p w14:paraId="272F7794">
            <w:pPr>
              <w:spacing w:before="0" w:after="0"/>
            </w:pPr>
            <w:r>
              <w:rPr>
                <w:rFonts w:ascii="Arial" w:hAnsi="Arial" w:eastAsia="Arial" w:cs="Arial"/>
                <w:color w:val="1A1A2E"/>
                <w:sz w:val="22"/>
                <w:szCs w:val="22"/>
              </w:rPr>
              <w:t xml:space="preserve"> </w:t>
            </w:r>
          </w:p>
          <w:p w14:paraId="32531117">
            <w:pPr>
              <w:spacing w:before="0" w:after="0"/>
            </w:pPr>
            <w:r>
              <w:rPr>
                <w:rFonts w:ascii="Arial" w:hAnsi="Arial" w:eastAsia="Arial" w:cs="Arial"/>
                <w:color w:val="1A1A2E"/>
                <w:sz w:val="22"/>
                <w:szCs w:val="22"/>
              </w:rPr>
              <w:t xml:space="preserve"> </w:t>
            </w:r>
          </w:p>
          <w:p w14:paraId="54B8DBC0">
            <w:pPr>
              <w:spacing w:before="0" w:after="0"/>
            </w:pPr>
            <w:r>
              <w:rPr>
                <w:rFonts w:ascii="Arial" w:hAnsi="Arial" w:eastAsia="Arial" w:cs="Arial"/>
                <w:color w:val="1A1A2E"/>
                <w:sz w:val="22"/>
                <w:szCs w:val="22"/>
              </w:rPr>
              <w:t xml:space="preserve"> </w:t>
            </w:r>
          </w:p>
          <w:p w14:paraId="01D1C4FF">
            <w:pPr>
              <w:spacing w:before="0" w:after="0"/>
            </w:pPr>
            <w:r>
              <w:rPr>
                <w:rFonts w:ascii="Arial" w:hAnsi="Arial" w:eastAsia="Arial" w:cs="Arial"/>
                <w:color w:val="1A1A2E"/>
                <w:sz w:val="22"/>
                <w:szCs w:val="22"/>
              </w:rPr>
              <w:t xml:space="preserve"> </w:t>
            </w:r>
          </w:p>
          <w:p w14:paraId="4D64EDFB">
            <w:pPr>
              <w:spacing w:before="0" w:after="0"/>
            </w:pPr>
            <w:r>
              <w:rPr>
                <w:rFonts w:ascii="Arial" w:hAnsi="Arial" w:eastAsia="Arial" w:cs="Arial"/>
                <w:color w:val="1A1A2E"/>
                <w:sz w:val="22"/>
                <w:szCs w:val="22"/>
              </w:rPr>
              <w:t xml:space="preserve"> </w:t>
            </w:r>
          </w:p>
        </w:tc>
        <w:tc>
          <w:tcPr>
            <w:tcW w:w="4693" w:type="dxa"/>
            <w:tcBorders>
              <w:top w:val="single" w:color="BBBBBB" w:sz="4" w:space="0"/>
              <w:left w:val="single" w:color="BBBBBB" w:sz="4" w:space="0"/>
              <w:bottom w:val="single" w:color="BBBBBB" w:sz="4" w:space="0"/>
              <w:right w:val="single" w:color="BBBBBB" w:sz="4" w:space="0"/>
            </w:tcBorders>
            <w:tcMar>
              <w:top w:w="10" w:type="dxa"/>
              <w:left w:w="200" w:type="dxa"/>
              <w:bottom w:w="10" w:type="dxa"/>
              <w:right w:w="200" w:type="dxa"/>
            </w:tcMar>
          </w:tcPr>
          <w:p w14:paraId="1940C0F6">
            <w:pPr>
              <w:spacing w:before="0" w:after="0"/>
            </w:pPr>
            <w:r>
              <w:rPr>
                <w:rFonts w:ascii="Arial" w:hAnsi="Arial" w:eastAsia="Arial" w:cs="Arial"/>
                <w:color w:val="1A1A2E"/>
                <w:sz w:val="22"/>
                <w:szCs w:val="22"/>
              </w:rPr>
              <w:t xml:space="preserve"> </w:t>
            </w:r>
          </w:p>
          <w:p w14:paraId="60CFC8BF">
            <w:pPr>
              <w:spacing w:before="0" w:after="0"/>
            </w:pPr>
            <w:r>
              <w:rPr>
                <w:rFonts w:ascii="Arial" w:hAnsi="Arial" w:eastAsia="Arial" w:cs="Arial"/>
                <w:color w:val="1A1A2E"/>
                <w:sz w:val="22"/>
                <w:szCs w:val="22"/>
              </w:rPr>
              <w:t xml:space="preserve"> </w:t>
            </w:r>
          </w:p>
          <w:p w14:paraId="7DF2CB85">
            <w:pPr>
              <w:spacing w:before="0" w:after="0"/>
            </w:pPr>
            <w:r>
              <w:rPr>
                <w:rFonts w:ascii="Arial" w:hAnsi="Arial" w:eastAsia="Arial" w:cs="Arial"/>
                <w:color w:val="1A1A2E"/>
                <w:sz w:val="22"/>
                <w:szCs w:val="22"/>
              </w:rPr>
              <w:t xml:space="preserve"> </w:t>
            </w:r>
          </w:p>
          <w:p w14:paraId="3BC413B0">
            <w:pPr>
              <w:spacing w:before="0" w:after="0"/>
            </w:pPr>
            <w:r>
              <w:rPr>
                <w:rFonts w:ascii="Arial" w:hAnsi="Arial" w:eastAsia="Arial" w:cs="Arial"/>
                <w:color w:val="1A1A2E"/>
                <w:sz w:val="22"/>
                <w:szCs w:val="22"/>
              </w:rPr>
              <w:t xml:space="preserve"> </w:t>
            </w:r>
          </w:p>
          <w:p w14:paraId="2CFF4623">
            <w:pPr>
              <w:spacing w:before="0" w:after="0"/>
            </w:pPr>
            <w:r>
              <w:rPr>
                <w:rFonts w:ascii="Arial" w:hAnsi="Arial" w:eastAsia="Arial" w:cs="Arial"/>
                <w:color w:val="1A1A2E"/>
                <w:sz w:val="22"/>
                <w:szCs w:val="22"/>
              </w:rPr>
              <w:t xml:space="preserve"> </w:t>
            </w:r>
          </w:p>
          <w:p w14:paraId="09FA0A8B">
            <w:pPr>
              <w:spacing w:before="0" w:after="0"/>
            </w:pPr>
            <w:r>
              <w:rPr>
                <w:rFonts w:ascii="Arial" w:hAnsi="Arial" w:eastAsia="Arial" w:cs="Arial"/>
                <w:color w:val="1A1A2E"/>
                <w:sz w:val="22"/>
                <w:szCs w:val="22"/>
              </w:rPr>
              <w:t xml:space="preserve"> </w:t>
            </w:r>
          </w:p>
          <w:p w14:paraId="3CB2571F">
            <w:pPr>
              <w:spacing w:before="0" w:after="0"/>
            </w:pPr>
            <w:r>
              <w:rPr>
                <w:rFonts w:ascii="Arial" w:hAnsi="Arial" w:eastAsia="Arial" w:cs="Arial"/>
                <w:color w:val="1A1A2E"/>
                <w:sz w:val="22"/>
                <w:szCs w:val="22"/>
              </w:rPr>
              <w:t xml:space="preserve"> </w:t>
            </w:r>
          </w:p>
          <w:p w14:paraId="5F256955">
            <w:pPr>
              <w:spacing w:before="0" w:after="0"/>
            </w:pPr>
            <w:r>
              <w:rPr>
                <w:rFonts w:ascii="Arial" w:hAnsi="Arial" w:eastAsia="Arial" w:cs="Arial"/>
                <w:color w:val="1A1A2E"/>
                <w:sz w:val="22"/>
                <w:szCs w:val="22"/>
              </w:rPr>
              <w:t xml:space="preserve"> </w:t>
            </w:r>
          </w:p>
        </w:tc>
      </w:tr>
      <w:tr w14:paraId="4FC78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93" w:type="dxa"/>
            <w:tcBorders>
              <w:top w:val="single" w:color="BBBBBB" w:sz="4" w:space="0"/>
              <w:left w:val="single" w:color="BBBBBB" w:sz="4" w:space="0"/>
              <w:bottom w:val="single" w:color="BBBBBB" w:sz="4" w:space="0"/>
              <w:right w:val="single" w:color="BBBBBB" w:sz="4" w:space="0"/>
            </w:tcBorders>
            <w:shd w:val="clear" w:color="auto" w:fill="DCE9F8"/>
            <w:tcMar>
              <w:top w:w="120" w:type="dxa"/>
              <w:left w:w="200" w:type="dxa"/>
              <w:bottom w:w="120" w:type="dxa"/>
              <w:right w:w="200" w:type="dxa"/>
            </w:tcMar>
          </w:tcPr>
          <w:p w14:paraId="537B103F">
            <w:pPr>
              <w:jc w:val="center"/>
            </w:pPr>
            <w:r>
              <w:rPr>
                <w:rFonts w:ascii="Arial" w:hAnsi="Arial" w:eastAsia="Arial" w:cs="Arial"/>
                <w:color w:val="1A1A2E"/>
                <w:sz w:val="21"/>
                <w:szCs w:val="21"/>
              </w:rPr>
              <w:t>(___________________________)</w:t>
            </w:r>
          </w:p>
          <w:p w14:paraId="05319E2E">
            <w:pPr>
              <w:spacing w:before="60"/>
              <w:jc w:val="center"/>
            </w:pPr>
            <w:r>
              <w:rPr>
                <w:rFonts w:ascii="Arial" w:hAnsi="Arial" w:eastAsia="Arial" w:cs="Arial"/>
                <w:color w:val="AAAAAA"/>
                <w:sz w:val="19"/>
                <w:szCs w:val="19"/>
              </w:rPr>
              <w:t>Nama &amp; Jabatan</w:t>
            </w:r>
          </w:p>
        </w:tc>
        <w:tc>
          <w:tcPr>
            <w:tcW w:w="4693" w:type="dxa"/>
            <w:tcBorders>
              <w:top w:val="single" w:color="BBBBBB" w:sz="4" w:space="0"/>
              <w:left w:val="single" w:color="BBBBBB" w:sz="4" w:space="0"/>
              <w:bottom w:val="single" w:color="BBBBBB" w:sz="4" w:space="0"/>
              <w:right w:val="single" w:color="BBBBBB" w:sz="4" w:space="0"/>
            </w:tcBorders>
            <w:shd w:val="clear" w:color="auto" w:fill="DCE9F8"/>
            <w:tcMar>
              <w:top w:w="120" w:type="dxa"/>
              <w:left w:w="200" w:type="dxa"/>
              <w:bottom w:w="120" w:type="dxa"/>
              <w:right w:w="200" w:type="dxa"/>
            </w:tcMar>
          </w:tcPr>
          <w:p w14:paraId="460786C2">
            <w:pPr>
              <w:jc w:val="center"/>
            </w:pPr>
            <w:r>
              <w:rPr>
                <w:rFonts w:ascii="Arial" w:hAnsi="Arial" w:eastAsia="Arial" w:cs="Arial"/>
                <w:color w:val="1A1A2E"/>
                <w:sz w:val="21"/>
                <w:szCs w:val="21"/>
              </w:rPr>
              <w:t>(___________________________)</w:t>
            </w:r>
          </w:p>
          <w:p w14:paraId="6D965A7A">
            <w:pPr>
              <w:spacing w:before="60"/>
              <w:jc w:val="center"/>
            </w:pPr>
            <w:r>
              <w:rPr>
                <w:rFonts w:ascii="Arial" w:hAnsi="Arial" w:eastAsia="Arial" w:cs="Arial"/>
                <w:color w:val="AAAAAA"/>
                <w:sz w:val="19"/>
                <w:szCs w:val="19"/>
              </w:rPr>
              <w:t>Nama &amp; Jabatan</w:t>
            </w:r>
          </w:p>
        </w:tc>
      </w:tr>
    </w:tbl>
    <w:p w14:paraId="0DDBD8E2">
      <w:pPr>
        <w:spacing w:before="120" w:after="0"/>
      </w:pPr>
    </w:p>
    <w:p w14:paraId="6BA64572">
      <w:pPr>
        <w:pBdr>
          <w:top w:val="single" w:color="DDDDDD" w:sz="4" w:space="4"/>
        </w:pBdr>
        <w:spacing w:before="100" w:after="0"/>
        <w:jc w:val="center"/>
      </w:pPr>
      <w:r>
        <w:rPr>
          <w:rFonts w:ascii="Arial" w:hAnsi="Arial" w:eastAsia="Arial" w:cs="Arial"/>
          <w:color w:val="888888"/>
          <w:sz w:val="18"/>
          <w:szCs w:val="18"/>
        </w:rPr>
        <w:t>Dokumen ini sah dan mengikat setelah ditandatangani oleh Para Pihak di atas meterai yang cukup.</w:t>
      </w:r>
    </w:p>
    <w:sectPr>
      <w:pgSz w:w="11906" w:h="16838"/>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spacing w:before="60" w:after="60"/>
        <w:ind w:left="5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7FAB1F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1203</Words>
  <Characters>7642</Characters>
  <TotalTime>7</TotalTime>
  <ScaleCrop>false</ScaleCrop>
  <LinksUpToDate>false</LinksUpToDate>
  <CharactersWithSpaces>8754</CharactersWithSpaces>
  <Application>WPS Office_12.1.0.25180_F1E327BC-269C-435d-A152-05C5408002CA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2026-05-12T04:48:00Z</dcterms:created>
  <dc:creator>Un-named</dc:creator>
  <cp:lastModifiedBy>kokon</cp:lastModifiedBy>
  <dcterms:modified xsi:type="dcterms:W3CDTF">2026-05-12T04:59:23Z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eyJoZGlkIjoiMWNlODNkNTRmMGVhZTc2NDA3YWVlYzIxZWM1ODhlNWMifQ==</vt:lpwstr>
  </property>
  <property fmtid="{D5CDD505-2E9C-101B-9397-08002B2CF9AE}" pid="3" name="KSOProductBuildVer">
    <vt:lpwstr>1033-12.1.0.25180</vt:lpwstr>
  </property>
  <property fmtid="{D5CDD505-2E9C-101B-9397-08002B2CF9AE}" pid="4" name="ICV">
    <vt:lpwstr>5C0AA1038C4345B899CA1C7613D6BA8C_12</vt:lpwstr>
  </property>
</Properties>
</file>