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58A14">
      <w:pPr>
        <w:spacing w:before="0" w:after="80"/>
        <w:jc w:val="center"/>
      </w:pPr>
      <w:r>
        <w:rPr>
          <w:rFonts w:ascii="微软雅黑" w:hAnsi="微软雅黑" w:eastAsia="微软雅黑" w:cs="微软雅黑"/>
          <w:b/>
          <w:bCs/>
          <w:color w:val="1F3864"/>
          <w:sz w:val="36"/>
          <w:szCs w:val="36"/>
        </w:rPr>
        <w:t>S2H-CD-FSOD 周报</w:t>
      </w:r>
    </w:p>
    <w:p w14:paraId="3E8F4F9D">
      <w:pPr>
        <w:spacing w:before="0" w:after="240"/>
        <w:jc w:val="center"/>
      </w:pPr>
      <w:r>
        <w:rPr>
          <w:rFonts w:ascii="微软雅黑" w:hAnsi="微软雅黑" w:eastAsia="微软雅黑" w:cs="微软雅黑"/>
          <w:color w:val="595959"/>
          <w:sz w:val="20"/>
          <w:szCs w:val="20"/>
        </w:rPr>
        <w:t>周期：2026-09-20 ~ 09-27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526"/>
      </w:tblGrid>
      <w:tr w14:paraId="56F80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E9C228">
            <w:pPr>
              <w:spacing w:before="20" w:after="20"/>
              <w:jc w:val="left"/>
            </w:pPr>
            <w:r>
              <w:rPr>
                <w:b/>
                <w:bCs/>
                <w:sz w:val="19"/>
                <w:szCs w:val="19"/>
              </w:rPr>
              <w:t>论文</w:t>
            </w:r>
          </w:p>
        </w:tc>
        <w:tc>
          <w:tcPr>
            <w:tcW w:w="7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2344D1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Trust What You Transfer: Knowledge-Enhanced Hard-Soft Reasoning for Cross-Domain Few-Shot Object Detection（CVPR 2026 投稿）</w:t>
            </w:r>
          </w:p>
        </w:tc>
      </w:tr>
      <w:tr w14:paraId="1561E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7C1F22">
            <w:pPr>
              <w:spacing w:before="20" w:after="20"/>
              <w:jc w:val="left"/>
            </w:pPr>
            <w:r>
              <w:rPr>
                <w:b/>
                <w:bCs/>
                <w:sz w:val="19"/>
                <w:szCs w:val="19"/>
              </w:rPr>
              <w:t>方法</w:t>
            </w:r>
          </w:p>
        </w:tc>
        <w:tc>
          <w:tcPr>
            <w:tcW w:w="7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3D3AF8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S2H-CD-FSOD = FFCP + CHSD + ATAR，建立在 Domain-RAG 复现的 Grounding DINO (Swin-B) 配方之上</w:t>
            </w:r>
          </w:p>
        </w:tc>
      </w:tr>
      <w:tr w14:paraId="7DCE3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B7836F">
            <w:pPr>
              <w:spacing w:before="20" w:after="20"/>
              <w:jc w:val="left"/>
            </w:pPr>
            <w:r>
              <w:rPr>
                <w:b/>
                <w:bCs/>
                <w:sz w:val="19"/>
                <w:szCs w:val="19"/>
              </w:rPr>
              <w:t>代码仓库</w:t>
            </w:r>
          </w:p>
        </w:tc>
        <w:tc>
          <w:tcPr>
            <w:tcW w:w="7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880BDF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/mnt/sdc/hzh/Domain-RAG-main-2/mmdetection</w:t>
            </w:r>
          </w:p>
        </w:tc>
      </w:tr>
    </w:tbl>
    <w:p w14:paraId="529C2B52">
      <w:pPr>
        <w:pStyle w:val="2"/>
      </w:pPr>
      <w:r>
        <w:t>一、实验方案</w:t>
      </w:r>
    </w:p>
    <w:p w14:paraId="0B73C078">
      <w:pPr>
        <w:pStyle w:val="3"/>
      </w:pPr>
      <w:r>
        <w:t>1.1 方法</w:t>
      </w:r>
    </w:p>
    <w:p w14:paraId="65354659">
      <w:pPr>
        <w:spacing w:before="60" w:after="60" w:line="300" w:lineRule="auto"/>
      </w:pPr>
      <w:r>
        <w:rPr>
          <w:sz w:val="21"/>
          <w:szCs w:val="21"/>
        </w:rPr>
        <w:t>在 Domain-RAG 复现的 Grounding DINO (Swin-B) 配方之上，实现知识增强的 Hard-Soft 框架 S2H-CD-FSOD，针对“支撑集诱导的上下文泄漏”这一问题：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2"/>
        <w:gridCol w:w="5083"/>
        <w:gridCol w:w="2881"/>
      </w:tblGrid>
      <w:tr w14:paraId="4A62C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907B1E">
            <w:pPr>
              <w:spacing w:before="20" w:after="20"/>
              <w:jc w:val="left"/>
            </w:pPr>
            <w:r>
              <w:rPr>
                <w:b/>
                <w:bCs/>
                <w:sz w:val="19"/>
                <w:szCs w:val="19"/>
              </w:rPr>
              <w:t>组件</w:t>
            </w:r>
          </w:p>
        </w:tc>
        <w:tc>
          <w:tcPr>
            <w:tcW w:w="5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6026EA">
            <w:pPr>
              <w:spacing w:before="20" w:after="20"/>
              <w:jc w:val="left"/>
            </w:pPr>
            <w:r>
              <w:rPr>
                <w:b/>
                <w:bCs/>
                <w:sz w:val="19"/>
                <w:szCs w:val="19"/>
              </w:rPr>
              <w:t>作用</w:t>
            </w:r>
          </w:p>
        </w:tc>
        <w:tc>
          <w:tcPr>
            <w:tcW w:w="2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A99E1C">
            <w:pPr>
              <w:spacing w:before="20" w:after="20"/>
              <w:jc w:val="left"/>
            </w:pPr>
            <w:r>
              <w:rPr>
                <w:b/>
                <w:bCs/>
                <w:sz w:val="19"/>
                <w:szCs w:val="19"/>
              </w:rPr>
              <w:t>代码位置</w:t>
            </w:r>
          </w:p>
        </w:tc>
      </w:tr>
      <w:tr w14:paraId="2005F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ADCB99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FFCP</w:t>
            </w:r>
          </w:p>
        </w:tc>
        <w:tc>
          <w:tcPr>
            <w:tcW w:w="5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28FEF1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前景冻结的上下文探测：对支撑框做扩张保护掩码 + 三类标签保持的背景替换，估计类级上下文敏感子空间 U_ctx 与泄漏强度 κ_ctx</w:t>
            </w:r>
          </w:p>
        </w:tc>
        <w:tc>
          <w:tcPr>
            <w:tcW w:w="2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A9186C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support_interventions.py、build_s2h_knowledge.py</w:t>
            </w:r>
          </w:p>
        </w:tc>
      </w:tr>
      <w:tr w14:paraId="48EB3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DE52F4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CHSD</w:t>
            </w:r>
          </w:p>
        </w:tc>
        <w:tc>
          <w:tcPr>
            <w:tcW w:w="5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AB304E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上下文约束的 Hard-Soft 分解：结构属性打分得到 Hard 身份锚点 h_c，在身份补空间剔除上下文后得到 Soft 外观原型 s_c（带 shot-aware 收缩）</w:t>
            </w:r>
          </w:p>
        </w:tc>
        <w:tc>
          <w:tcPr>
            <w:tcW w:w="2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1E1B97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build_s2h_knowledge.py、s2h_knowledge.py</w:t>
            </w:r>
          </w:p>
        </w:tc>
      </w:tr>
      <w:tr w14:paraId="4C54B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5EB0B6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ATAR</w:t>
            </w:r>
          </w:p>
        </w:tc>
        <w:tc>
          <w:tcPr>
            <w:tcW w:w="5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2A301D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非对称任务权威路由：Hard-Soft 一致性 × 查询不确定性 → 有界余弦校正，只改分类分支、不动定位，初始化时校正为 0</w:t>
            </w:r>
          </w:p>
        </w:tc>
        <w:tc>
          <w:tcPr>
            <w:tcW w:w="2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0BBD86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s2h_knowledge.py::atar、s2h_grounding_dino_head.py</w:t>
            </w:r>
          </w:p>
        </w:tc>
      </w:tr>
    </w:tbl>
    <w:p w14:paraId="1A2E7FEF">
      <w:pPr>
        <w:pStyle w:val="3"/>
      </w:pPr>
      <w:r>
        <w:t>1.2 数据集与协议</w:t>
      </w:r>
    </w:p>
    <w:p w14:paraId="10D8B10C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六个目标域：ArTaxOr(7 类)、Clipart1k(20 类)、DIOR(20 类)、DeepFish(1 类)、NEU-DET(6 类)、UODD(3 类)</w:t>
      </w:r>
    </w:p>
    <w:p w14:paraId="7D0F8DA1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shot 设置：1-shot / 5-shot / 10-shot</w:t>
      </w:r>
    </w:p>
    <w:p w14:paraId="2E0DAA3C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四阶段累积消融：baseline（关闭 S2H，等价原版 Grounding DINO）→ ffcp → ffcp_chsd → full（FFCP+CHSD+ATAR）</w:t>
      </w:r>
    </w:p>
    <w:p w14:paraId="66770119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随机种子：3407 / 3408 / 3409（论文要求多样本均值±std；本轮先按 1 seed 快速推进）</w:t>
      </w:r>
    </w:p>
    <w:p w14:paraId="374D120F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总规模：6 数据集 × 3 shot × 4 阶段 × 3 seed = 216 组（单 seed 时 72 组）</w:t>
      </w:r>
    </w:p>
    <w:p w14:paraId="5ECD3AA1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训练预算：Clipart1k / DeepFish 为 5 epoch，其余四个域为 30 epoch；MultiStepLR(milestones=[11])，5-epoch 时为 [3]</w:t>
      </w:r>
    </w:p>
    <w:p w14:paraId="7D60F45B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评测：COCO bbox mAP（classwise），按验证最优 epoch 选 checkpoint</w:t>
      </w:r>
    </w:p>
    <w:p w14:paraId="5E31D6D0">
      <w:pPr>
        <w:pStyle w:val="3"/>
      </w:pPr>
      <w:r>
        <w:t>1.3 与基线的公平性保证</w:t>
      </w:r>
    </w:p>
    <w:p w14:paraId="6BCC709A">
      <w:pPr>
        <w:spacing w:before="60" w:after="60" w:line="300" w:lineRule="auto"/>
      </w:pPr>
      <w:r>
        <w:rPr>
          <w:sz w:val="21"/>
          <w:szCs w:val="21"/>
        </w:rPr>
        <w:t>S2H 配置由 gen_s2h_configs.py 从 Domain-RAG 的 few-shot 配置逐字复制数据集块（数据、增强、分辨率、evaluator 完全一致），仅替换模型头，确保与 Grounding DINO† / Domain-RAG 的对比是 apples-to-apples。</w:t>
      </w:r>
    </w:p>
    <w:p w14:paraId="7894A085">
      <w:pPr>
        <w:pStyle w:val="2"/>
      </w:pPr>
      <w:r>
        <w:t>二、实验进展</w:t>
      </w:r>
    </w:p>
    <w:p w14:paraId="786FC9A0">
      <w:pPr>
        <w:pStyle w:val="3"/>
      </w:pPr>
      <w:r>
        <w:t>2.1 论文主表（Table 2）当前状态</w:t>
      </w:r>
    </w:p>
    <w:p w14:paraId="16CF15B2">
      <w:pPr>
        <w:spacing w:before="60" w:after="60" w:line="300" w:lineRule="auto"/>
      </w:pPr>
      <w:r>
        <w:rPr>
          <w:sz w:val="21"/>
          <w:szCs w:val="21"/>
        </w:rPr>
        <w:t>已完成 5 个域 × 3 shot，DIOR 列仍为空。与两条基线对照（mAP %）：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1000"/>
        <w:gridCol w:w="1400"/>
        <w:gridCol w:w="1400"/>
        <w:gridCol w:w="1400"/>
        <w:gridCol w:w="2726"/>
      </w:tblGrid>
      <w:tr w14:paraId="21518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BC2E1E">
            <w:pPr>
              <w:spacing w:before="20" w:after="20"/>
              <w:jc w:val="left"/>
            </w:pPr>
            <w:r>
              <w:rPr>
                <w:b/>
                <w:bCs/>
                <w:sz w:val="19"/>
                <w:szCs w:val="19"/>
              </w:rPr>
              <w:t>域</w:t>
            </w:r>
          </w:p>
        </w:tc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A02E2A">
            <w:pPr>
              <w:spacing w:before="20" w:after="20"/>
              <w:jc w:val="left"/>
            </w:pPr>
            <w:r>
              <w:rPr>
                <w:b/>
                <w:bCs/>
                <w:sz w:val="19"/>
                <w:szCs w:val="19"/>
              </w:rPr>
              <w:t>shot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CC11A6">
            <w:pPr>
              <w:spacing w:before="20" w:after="20"/>
              <w:jc w:val="left"/>
            </w:pPr>
            <w:r>
              <w:rPr>
                <w:b/>
                <w:bCs/>
                <w:sz w:val="19"/>
                <w:szCs w:val="19"/>
              </w:rPr>
              <w:t>Ours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418DBD">
            <w:pPr>
              <w:spacing w:before="20" w:after="20"/>
              <w:jc w:val="left"/>
            </w:pPr>
            <w:r>
              <w:rPr>
                <w:b/>
                <w:bCs/>
                <w:sz w:val="19"/>
                <w:szCs w:val="19"/>
              </w:rPr>
              <w:t>G-DINO†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DDE460">
            <w:pPr>
              <w:spacing w:before="20" w:after="20"/>
              <w:jc w:val="left"/>
            </w:pPr>
            <w:r>
              <w:rPr>
                <w:b/>
                <w:bCs/>
                <w:sz w:val="19"/>
                <w:szCs w:val="19"/>
              </w:rPr>
              <w:t>Domain-RAG</w:t>
            </w:r>
          </w:p>
        </w:tc>
        <w:tc>
          <w:tcPr>
            <w:tcW w:w="2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B5BE16">
            <w:pPr>
              <w:spacing w:before="20" w:after="20"/>
              <w:jc w:val="left"/>
            </w:pPr>
            <w:r>
              <w:rPr>
                <w:b/>
                <w:bCs/>
                <w:sz w:val="19"/>
                <w:szCs w:val="19"/>
              </w:rPr>
              <w:t>Ours − G-DINO†</w:t>
            </w:r>
          </w:p>
        </w:tc>
      </w:tr>
      <w:tr w14:paraId="4394C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4DCD29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ArTaxOr</w:t>
            </w:r>
          </w:p>
        </w:tc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4D2EE9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1/5/10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A992D3">
            <w:pPr>
              <w:spacing w:before="20" w:after="20"/>
              <w:jc w:val="left"/>
            </w:pPr>
            <w:r>
              <w:rPr>
                <w:b/>
                <w:bCs/>
                <w:sz w:val="19"/>
                <w:szCs w:val="19"/>
              </w:rPr>
              <w:t>43.8 / 67.2 / 75.0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1D7D70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26.3 / 68.4 / 73.0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F9AFCD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57.2 / 70.0 / 73.4</w:t>
            </w:r>
          </w:p>
        </w:tc>
        <w:tc>
          <w:tcPr>
            <w:tcW w:w="2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F5A3E2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+17.5 / −1.2 / +2.0</w:t>
            </w:r>
          </w:p>
        </w:tc>
      </w:tr>
      <w:tr w14:paraId="737A0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A0A06D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Clipart1k</w:t>
            </w:r>
          </w:p>
        </w:tc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D90602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1/5/10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B8E885">
            <w:pPr>
              <w:spacing w:before="20" w:after="20"/>
              <w:jc w:val="left"/>
            </w:pPr>
            <w:r>
              <w:rPr>
                <w:b/>
                <w:bCs/>
                <w:sz w:val="19"/>
                <w:szCs w:val="19"/>
              </w:rPr>
              <w:t>56.4 / 59.6 / 60.6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FFB8DD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55.3 / 57.6 / 58.6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2B8712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56.1 / 59.8 / 61.1</w:t>
            </w:r>
          </w:p>
        </w:tc>
        <w:tc>
          <w:tcPr>
            <w:tcW w:w="2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7D8B28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+1.1 / +2.0 / +2.0</w:t>
            </w:r>
          </w:p>
        </w:tc>
      </w:tr>
      <w:tr w14:paraId="49438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7E63CF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DeepFish</w:t>
            </w:r>
          </w:p>
        </w:tc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1677D2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1/5/10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D97F40">
            <w:pPr>
              <w:spacing w:before="20" w:after="20"/>
              <w:jc w:val="left"/>
            </w:pPr>
            <w:r>
              <w:rPr>
                <w:b/>
                <w:bCs/>
                <w:color w:val="C00000"/>
                <w:sz w:val="19"/>
                <w:szCs w:val="19"/>
              </w:rPr>
              <w:t>70.7 / 74.0 / 74.5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782839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36.4 / 41.6 / 38.5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3FAA94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38.0 / 43.8 / 41.3</w:t>
            </w:r>
          </w:p>
        </w:tc>
        <w:tc>
          <w:tcPr>
            <w:tcW w:w="2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2756A9">
            <w:pPr>
              <w:spacing w:before="20" w:after="20"/>
              <w:jc w:val="left"/>
            </w:pPr>
            <w:r>
              <w:rPr>
                <w:b w:val="0"/>
                <w:bCs w:val="0"/>
                <w:color w:val="C00000"/>
                <w:sz w:val="19"/>
                <w:szCs w:val="19"/>
              </w:rPr>
              <w:t>+34.3 / +32.4 / +36.0 ⚠</w:t>
            </w:r>
          </w:p>
        </w:tc>
      </w:tr>
      <w:tr w14:paraId="2EF1F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C51BCA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NEU-DET</w:t>
            </w:r>
          </w:p>
        </w:tc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662B9C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1/5/10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14F120">
            <w:pPr>
              <w:spacing w:before="20" w:after="20"/>
              <w:jc w:val="left"/>
            </w:pPr>
            <w:r>
              <w:rPr>
                <w:b/>
                <w:bCs/>
                <w:sz w:val="19"/>
                <w:szCs w:val="19"/>
              </w:rPr>
              <w:t>12.0 / 28.7 / 34.3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3AA5FD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9.3 / 19.7 / 25.5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EC7A34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12.1 / 24.2 / 26.3</w:t>
            </w:r>
          </w:p>
        </w:tc>
        <w:tc>
          <w:tcPr>
            <w:tcW w:w="2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6BBC24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+2.7 / +9.0 / +8.8</w:t>
            </w:r>
          </w:p>
        </w:tc>
      </w:tr>
      <w:tr w14:paraId="5F7D3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216C13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UODD</w:t>
            </w:r>
          </w:p>
        </w:tc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4EFBF8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1/5/10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7F716B">
            <w:pPr>
              <w:spacing w:before="20" w:after="20"/>
              <w:jc w:val="left"/>
            </w:pPr>
            <w:r>
              <w:rPr>
                <w:b/>
                <w:bCs/>
                <w:sz w:val="19"/>
                <w:szCs w:val="19"/>
              </w:rPr>
              <w:t>23.4 / 27.0 / 29.5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EE16A7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15.9 / 25.6 / 30.3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53E7A2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20.2 / 26.8 / 31.2</w:t>
            </w:r>
          </w:p>
        </w:tc>
        <w:tc>
          <w:tcPr>
            <w:tcW w:w="2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8F797B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+7.5 / +1.4 / −0.8</w:t>
            </w:r>
          </w:p>
        </w:tc>
      </w:tr>
      <w:tr w14:paraId="5506B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73BC6F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DIOR</w:t>
            </w:r>
          </w:p>
        </w:tc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4E78CD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1/5/10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0AEE4D">
            <w:pPr>
              <w:spacing w:before="20" w:after="20"/>
              <w:jc w:val="center"/>
            </w:pPr>
            <w:r>
              <w:rPr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B00989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14.8 / 29.6 / 37.2</w:t>
            </w:r>
          </w:p>
        </w:tc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5ADEF8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18.0 / 31.5 / 39.0</w:t>
            </w:r>
          </w:p>
        </w:tc>
        <w:tc>
          <w:tcPr>
            <w:tcW w:w="27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C44DCB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待补</w:t>
            </w:r>
          </w:p>
        </w:tc>
      </w:tr>
    </w:tbl>
    <w:p w14:paraId="4AE45DBE">
      <w:pPr>
        <w:spacing w:before="80" w:after="0"/>
      </w:pPr>
    </w:p>
    <w:p w14:paraId="3F1E5C9C">
      <w:pPr>
        <w:spacing w:before="60" w:after="60" w:line="300" w:lineRule="auto"/>
      </w:pPr>
      <w:r>
        <w:rPr>
          <w:sz w:val="21"/>
          <w:szCs w:val="21"/>
        </w:rPr>
        <w:t>要点：NEU-DET、UODD 在低 shot 上增益明显；Clipart1k 稳定小幅领先；DeepFish 数值</w:t>
      </w:r>
      <w:r>
        <w:rPr>
          <w:rFonts w:hint="eastAsia"/>
          <w:sz w:val="21"/>
          <w:szCs w:val="21"/>
          <w:lang w:val="en-US" w:eastAsia="zh-CN"/>
        </w:rPr>
        <w:t>多次重复实验结果均较</w:t>
      </w:r>
      <w:r>
        <w:rPr>
          <w:sz w:val="21"/>
          <w:szCs w:val="21"/>
        </w:rPr>
        <w:t>高（+30 点以上），需重点核查；ArTaxOr 1-shot 与 5-shot 弱于 Domain-RAG。</w:t>
      </w:r>
    </w:p>
    <w:p w14:paraId="438A7AD8">
      <w:pPr>
        <w:pStyle w:val="3"/>
      </w:pPr>
      <w:r>
        <w:t>2.2 服务器训练进度（1 seed，72 组）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5226"/>
      </w:tblGrid>
      <w:tr w14:paraId="1187E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843C42">
            <w:pPr>
              <w:spacing w:before="20" w:after="20"/>
              <w:jc w:val="left"/>
            </w:pPr>
            <w:r>
              <w:rPr>
                <w:b/>
                <w:bCs/>
                <w:sz w:val="19"/>
                <w:szCs w:val="19"/>
              </w:rPr>
              <w:t>数据集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E0E1D">
            <w:pPr>
              <w:spacing w:before="20" w:after="20"/>
              <w:jc w:val="left"/>
            </w:pPr>
            <w:r>
              <w:rPr>
                <w:b/>
                <w:bCs/>
                <w:sz w:val="19"/>
                <w:szCs w:val="19"/>
              </w:rPr>
              <w:t>完成度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4C4C4">
            <w:pPr>
              <w:spacing w:before="20" w:after="20"/>
              <w:jc w:val="left"/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14:paraId="4209E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269D5F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Clipart1k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679705">
            <w:pPr>
              <w:spacing w:before="20" w:after="20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12/12 ✓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BD90DD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全部 4 阶段 × 3 shot 完成</w:t>
            </w:r>
          </w:p>
        </w:tc>
      </w:tr>
      <w:tr w14:paraId="0C317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9EB23D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DeepFish (FISH)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B5155D">
            <w:pPr>
              <w:spacing w:before="20" w:after="20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12/12 ✓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98CBB2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同上</w:t>
            </w:r>
          </w:p>
        </w:tc>
      </w:tr>
      <w:tr w14:paraId="32014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A80DEE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NEU-DET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2D3F65">
            <w:pPr>
              <w:spacing w:before="20" w:after="20"/>
              <w:jc w:val="left"/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12/12 ✓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24E1A3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同上</w:t>
            </w:r>
          </w:p>
        </w:tc>
      </w:tr>
      <w:tr w14:paraId="0CA6D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7CDB3B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UODD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E0E36E">
            <w:pPr>
              <w:spacing w:before="20" w:after="20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b w:val="0"/>
                <w:bCs w:val="0"/>
                <w:color w:val="2E7D32"/>
                <w:sz w:val="19"/>
                <w:szCs w:val="19"/>
              </w:rPr>
              <w:t>12/12 ✓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FB0CA2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同上</w:t>
            </w:r>
          </w:p>
        </w:tc>
      </w:tr>
      <w:tr w14:paraId="2A914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69997D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ArTaxOr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91D0FD">
            <w:pPr>
              <w:spacing w:before="20" w:after="2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2E7D32"/>
                <w:sz w:val="19"/>
                <w:szCs w:val="19"/>
                <w:lang w:val="en-US" w:eastAsia="zh-CN"/>
              </w:rPr>
              <w:t>12</w:t>
            </w:r>
            <w:r>
              <w:rPr>
                <w:b w:val="0"/>
                <w:bCs w:val="0"/>
                <w:color w:val="2E7D32"/>
                <w:sz w:val="19"/>
                <w:szCs w:val="19"/>
              </w:rPr>
              <w:t>/</w:t>
            </w:r>
            <w:r>
              <w:rPr>
                <w:rFonts w:hint="eastAsia"/>
                <w:b w:val="0"/>
                <w:bCs w:val="0"/>
                <w:color w:val="2E7D32"/>
                <w:sz w:val="19"/>
                <w:szCs w:val="19"/>
                <w:lang w:val="en-US" w:eastAsia="zh-CN"/>
              </w:rPr>
              <w:t>12</w:t>
            </w:r>
            <w:r>
              <w:rPr>
                <w:b w:val="0"/>
                <w:bCs w:val="0"/>
                <w:color w:val="2E7D32"/>
                <w:sz w:val="19"/>
                <w:szCs w:val="19"/>
              </w:rPr>
              <w:t>✓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6FF6B5">
            <w:pPr>
              <w:spacing w:before="20" w:after="2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同上</w:t>
            </w:r>
          </w:p>
        </w:tc>
      </w:tr>
      <w:tr w14:paraId="4EEF6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816858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DIOR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9972BB">
            <w:pPr>
              <w:spacing w:before="20" w:after="20"/>
              <w:jc w:val="left"/>
            </w:pPr>
            <w:r>
              <w:rPr>
                <w:rFonts w:hint="eastAsia"/>
                <w:b w:val="0"/>
                <w:bCs w:val="0"/>
                <w:color w:val="C00000"/>
                <w:sz w:val="19"/>
                <w:szCs w:val="19"/>
                <w:lang w:val="en-US" w:eastAsia="zh-CN"/>
              </w:rPr>
              <w:t>3</w:t>
            </w:r>
            <w:r>
              <w:rPr>
                <w:b w:val="0"/>
                <w:bCs w:val="0"/>
                <w:color w:val="C00000"/>
                <w:sz w:val="19"/>
                <w:szCs w:val="19"/>
              </w:rPr>
              <w:t>/12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94D7E9">
            <w:pPr>
              <w:spacing w:before="20" w:after="20"/>
              <w:jc w:val="left"/>
            </w:pPr>
            <w:r>
              <w:rPr>
                <w:rFonts w:hint="eastAsia"/>
                <w:b w:val="0"/>
                <w:bCs w:val="0"/>
                <w:sz w:val="19"/>
                <w:szCs w:val="19"/>
                <w:lang w:val="en-US" w:eastAsia="zh-CN"/>
              </w:rPr>
              <w:t>数据量最大，为追求高效果又多次重复运行</w:t>
            </w:r>
          </w:p>
        </w:tc>
      </w:tr>
      <w:tr w14:paraId="0A8E2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9ED6B2">
            <w:pPr>
              <w:spacing w:before="20" w:after="20"/>
              <w:jc w:val="left"/>
            </w:pPr>
            <w:r>
              <w:rPr>
                <w:b/>
                <w:bCs/>
                <w:sz w:val="19"/>
                <w:szCs w:val="19"/>
              </w:rPr>
              <w:t>合计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0E78C3">
            <w:pPr>
              <w:spacing w:before="20" w:after="20"/>
              <w:jc w:val="left"/>
            </w:pPr>
            <w:r>
              <w:rPr>
                <w:rFonts w:hint="eastAsia"/>
                <w:b/>
                <w:bCs/>
                <w:color w:val="C00000"/>
                <w:sz w:val="19"/>
                <w:szCs w:val="19"/>
                <w:lang w:val="en-US" w:eastAsia="zh-CN"/>
              </w:rPr>
              <w:t>63</w:t>
            </w:r>
            <w:r>
              <w:rPr>
                <w:b/>
                <w:bCs/>
                <w:color w:val="C00000"/>
                <w:sz w:val="19"/>
                <w:szCs w:val="19"/>
              </w:rPr>
              <w:t>/72</w:t>
            </w:r>
          </w:p>
        </w:tc>
        <w:tc>
          <w:tcPr>
            <w:tcW w:w="5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3858FA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缺口 20 组</w:t>
            </w:r>
          </w:p>
        </w:tc>
      </w:tr>
    </w:tbl>
    <w:p w14:paraId="7A299E02">
      <w:pPr>
        <w:spacing w:before="80" w:after="0"/>
      </w:pPr>
    </w:p>
    <w:p w14:paraId="5C703459">
      <w:pPr>
        <w:spacing w:before="60" w:after="60" w:line="300" w:lineRule="auto"/>
      </w:pPr>
      <w:r>
        <w:rPr>
          <w:sz w:val="21"/>
          <w:szCs w:val="21"/>
        </w:rPr>
        <w:t>中断原因：ArTaxOr 与 DIOR 在独立会话中运行，在 baseline 阶段末尾的 test 环节因 CUDA 报错退出，导致后续三个阶段和其余 shot 未启动。</w:t>
      </w:r>
    </w:p>
    <w:p w14:paraId="19A7DA3F">
      <w:pPr>
        <w:pStyle w:val="3"/>
      </w:pPr>
      <w:r>
        <w:t>2.3 辅助实验完成情况</w:t>
      </w:r>
    </w:p>
    <w:p w14:paraId="319627D4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受控上下文研究（Table 1）：Clipart1k + NEU-DET，4 种支撑条件 × 3 seed，含 CSS-cls / CSS-box 与 bootstrap 置信区间 —— 已完成</w:t>
      </w:r>
    </w:p>
    <w:p w14:paraId="53FC129F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原型空间可视化（t-SNE）：155 个 query 逐一对齐比较，full 模型匹配数 49 vs baseline 32（McNemar p = 0.019）—— 已完成</w:t>
      </w:r>
    </w:p>
    <w:p w14:paraId="2EC8D656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超参敏感性：FFCP rank、ρ_H、g_max、θ、λ_con 五项扫描 —— 已完成</w:t>
      </w:r>
    </w:p>
    <w:p w14:paraId="21A3138B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累积消融：覆盖已完成的 4 个域（Clipart1k / DeepFish / NEU-DET / UODD）—— 已完成，DIOR、ArTaxOr 待补</w:t>
      </w:r>
    </w:p>
    <w:p w14:paraId="1841F1AC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定性分析：Clipart1k / DeepFish / NEU-DET —— 已完成</w:t>
      </w:r>
    </w:p>
    <w:p w14:paraId="762A6802">
      <w:pPr>
        <w:pStyle w:val="3"/>
      </w:pPr>
      <w:r>
        <w:t>2.4 本周修复的工程问题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5"/>
        <w:gridCol w:w="3088"/>
        <w:gridCol w:w="2434"/>
        <w:gridCol w:w="3009"/>
      </w:tblGrid>
      <w:tr w14:paraId="7435D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2B670A">
            <w:pPr>
              <w:spacing w:before="20" w:after="20"/>
              <w:jc w:val="left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C17F5B">
            <w:pPr>
              <w:spacing w:before="20" w:after="20"/>
              <w:jc w:val="left"/>
            </w:pPr>
            <w:r>
              <w:rPr>
                <w:b/>
                <w:bCs/>
                <w:sz w:val="19"/>
                <w:szCs w:val="19"/>
              </w:rPr>
              <w:t>问题</w:t>
            </w:r>
          </w:p>
        </w:tc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A3E7F0">
            <w:pPr>
              <w:spacing w:before="20" w:after="20"/>
              <w:jc w:val="left"/>
            </w:pPr>
            <w:r>
              <w:rPr>
                <w:b/>
                <w:bCs/>
                <w:sz w:val="19"/>
                <w:szCs w:val="19"/>
              </w:rPr>
              <w:t>影响</w:t>
            </w:r>
          </w:p>
        </w:tc>
        <w:tc>
          <w:tcPr>
            <w:tcW w:w="29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D422D2">
            <w:pPr>
              <w:spacing w:before="20" w:after="20"/>
              <w:jc w:val="left"/>
            </w:pPr>
            <w:r>
              <w:rPr>
                <w:b/>
                <w:bCs/>
                <w:sz w:val="19"/>
                <w:szCs w:val="19"/>
              </w:rPr>
              <w:t>处置</w:t>
            </w:r>
          </w:p>
        </w:tc>
      </w:tr>
      <w:tr w14:paraId="4BAEA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9258B6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09C10D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save_best='auto' 在 CocoMetric(classwise=True) 下按字典序选中 coco/Araneae_precision</w:t>
            </w:r>
          </w:p>
        </w:tc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45B099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所有 test 结果基于错误的最优模型</w:t>
            </w:r>
          </w:p>
        </w:tc>
        <w:tc>
          <w:tcPr>
            <w:tcW w:w="29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2A7074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改为 save_best='coco/bbox_mAP'，重新生成全部配置</w:t>
            </w:r>
          </w:p>
        </w:tc>
      </w:tr>
      <w:tr w14:paraId="4DA18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BC0C3E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708DC0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dist_test.sh(torchrun) 在 spawn 子进程时 init_dist → torch.cuda.set_device 报 CUDA unknown error</w:t>
            </w:r>
          </w:p>
        </w:tc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2B8D66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test 阶段中断</w:t>
            </w:r>
          </w:p>
        </w:tc>
        <w:tc>
          <w:tcPr>
            <w:tcW w:w="29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3E68AF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test_one 改为单进程 tools/test.py（不调用 init_dist）</w:t>
            </w:r>
          </w:p>
        </w:tc>
      </w:tr>
      <w:tr w14:paraId="7D15F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C944B7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6A193D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mmengine 只写 last_checkpoint 而未生成 latest.pth</w:t>
            </w:r>
          </w:p>
        </w:tc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0397FE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续跑判断误判，已完成 run 被重训</w:t>
            </w:r>
          </w:p>
        </w:tc>
        <w:tc>
          <w:tcPr>
            <w:tcW w:w="29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C5AC17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续跑条件改为检查 epoch_*.pth/latest.pth，ckpt 兜底链 latest → last_checkpoint → 最大 epoch</w:t>
            </w:r>
          </w:p>
        </w:tc>
      </w:tr>
      <w:tr w14:paraId="1CF75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3B94F8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4</w:t>
            </w:r>
          </w:p>
        </w:tc>
        <w:tc>
          <w:tcPr>
            <w:tcW w:w="3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2E7779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set -euo pipefail 使单个 test 失败即终止整个数据集脚本</w:t>
            </w:r>
          </w:p>
        </w:tc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1BFCF0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一个错误导致整批中断</w:t>
            </w:r>
          </w:p>
        </w:tc>
        <w:tc>
          <w:tcPr>
            <w:tcW w:w="29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7F5F44">
            <w:pPr>
              <w:spacing w:before="20" w:after="20"/>
              <w:jc w:val="left"/>
            </w:pPr>
            <w:r>
              <w:rPr>
                <w:b w:val="0"/>
                <w:bCs w:val="0"/>
                <w:sz w:val="19"/>
                <w:szCs w:val="19"/>
              </w:rPr>
              <w:t>test 增加 3 次重试 + 失败仅告警不中断</w:t>
            </w:r>
          </w:p>
        </w:tc>
      </w:tr>
    </w:tbl>
    <w:p w14:paraId="451A5074">
      <w:pPr>
        <w:pStyle w:val="2"/>
      </w:pPr>
      <w:r>
        <w:t>三、存在的问题</w:t>
      </w:r>
    </w:p>
    <w:p w14:paraId="621C7E1A">
      <w:pPr>
        <w:pStyle w:val="3"/>
      </w:pPr>
      <w:r>
        <w:t>3.1 数据协议层面（最高优先级）</w:t>
      </w:r>
    </w:p>
    <w:p w14:paraId="634290F9">
      <w:pPr>
        <w:pStyle w:val="16"/>
        <w:numPr>
          <w:ilvl w:val="0"/>
          <w:numId w:val="1"/>
        </w:numPr>
        <w:spacing w:before="30" w:after="30"/>
      </w:pPr>
      <w:r>
        <w:rPr>
          <w:rFonts w:hint="eastAsia"/>
          <w:b/>
          <w:bCs/>
          <w:sz w:val="21"/>
          <w:szCs w:val="21"/>
          <w:lang w:val="en-US" w:eastAsia="zh-CN"/>
        </w:rPr>
        <w:t>检查</w:t>
      </w:r>
      <w:r>
        <w:rPr>
          <w:b/>
          <w:bCs/>
          <w:sz w:val="21"/>
          <w:szCs w:val="21"/>
        </w:rPr>
        <w:t>支撑集划分与论文声明</w:t>
      </w:r>
      <w:r>
        <w:rPr>
          <w:rFonts w:hint="eastAsia"/>
          <w:b/>
          <w:bCs/>
          <w:sz w:val="21"/>
          <w:szCs w:val="21"/>
          <w:lang w:val="en-US" w:eastAsia="zh-CN"/>
        </w:rPr>
        <w:t>是否存在在</w:t>
      </w:r>
      <w:r>
        <w:rPr>
          <w:b/>
          <w:bCs/>
          <w:sz w:val="21"/>
          <w:szCs w:val="21"/>
        </w:rPr>
        <w:t>不一致：6 个域中 5 个使用 prepare_s2h_data.py 生成的 image-level split（ArTaxOr / DIOR / FISH / NEU-DET / UODD，生成于 09-19），仅 Clipart1k 使用原始划分。1-shot 支撑标注数实测：</w:t>
      </w:r>
    </w:p>
    <w:p w14:paraId="618D8C63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ArTaxOr 7、FISH 1、Clipart1k 20 —— 与 instance-level 等价 ✓</w:t>
      </w:r>
    </w:p>
    <w:p w14:paraId="6A0FE631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NEU-DET 15（应为 6）、UODD 19（应为 3）—— 支撑标注被多给 2.5~6.3 倍 ⚠</w:t>
      </w:r>
    </w:p>
    <w:p w14:paraId="219D0CA2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DIOR 241 —— 与论文声明的 image-level 例外一致 ✓</w:t>
      </w:r>
    </w:p>
    <w:p w14:paraId="0C8922FE">
      <w:pPr>
        <w:spacing w:before="60" w:after="60" w:line="300" w:lineRule="auto"/>
        <w:rPr>
          <w:rFonts w:hint="eastAsia" w:eastAsia="微软雅黑"/>
          <w:lang w:val="en-US" w:eastAsia="zh-CN"/>
        </w:rPr>
      </w:pPr>
      <w:r>
        <w:rPr>
          <w:sz w:val="21"/>
          <w:szCs w:val="21"/>
        </w:rPr>
        <w:t>论文写的是“DIOR 用 image-level，其余用 K-instance”，但脚本对所有域都套了 image-level，与论文表述矛盾</w:t>
      </w:r>
      <w:r>
        <w:rPr>
          <w:rFonts w:hint="eastAsia"/>
          <w:sz w:val="21"/>
          <w:szCs w:val="21"/>
          <w:lang w:val="en-US" w:eastAsia="zh-CN"/>
        </w:rPr>
        <w:t>.</w:t>
      </w:r>
    </w:p>
    <w:p w14:paraId="4A584E79">
      <w:pPr>
        <w:pStyle w:val="16"/>
        <w:numPr>
          <w:ilvl w:val="0"/>
          <w:numId w:val="1"/>
        </w:numPr>
        <w:spacing w:before="30" w:after="30"/>
      </w:pPr>
      <w:r>
        <w:rPr>
          <w:b/>
          <w:bCs/>
          <w:sz w:val="21"/>
          <w:szCs w:val="21"/>
        </w:rPr>
        <w:t>DeepFish 数值</w:t>
      </w:r>
      <w:r>
        <w:rPr>
          <w:rFonts w:hint="eastAsia"/>
          <w:b/>
          <w:bCs/>
          <w:sz w:val="21"/>
          <w:szCs w:val="21"/>
          <w:lang w:val="en-US" w:eastAsia="zh-CN"/>
        </w:rPr>
        <w:t>多次实验后仍然较高</w:t>
      </w:r>
      <w:r>
        <w:rPr>
          <w:b/>
          <w:bCs/>
          <w:sz w:val="21"/>
          <w:szCs w:val="21"/>
        </w:rPr>
        <w:t>（1-shot 70.7 vs Domain-RAG 38.0，+33 点）。该域只有 1 个类别，支撑集划分对结果影响被放大，怀疑由 split 差异造成，而非方法增益，是最容易被审稿人质疑的一处。</w:t>
      </w:r>
    </w:p>
    <w:p w14:paraId="408E2D66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有效 batch size 不一致：本轮单卡 BATCH_SIZE=2（有效 2），Domain-RAG 为 4 卡 × 4 = 16，且 lr 固定 1e-4 不随 batch 缩放，优化动态差异明显。</w:t>
      </w:r>
    </w:p>
    <w:p w14:paraId="7A137D09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用 test 集同时做 val：val_evaluator.ann_file 指向 test.json，save_best 相当于“用测试集选模型”，结果偏乐观（Domain-RAG 用 latest.pth）。</w:t>
      </w:r>
    </w:p>
    <w:p w14:paraId="44F680A2">
      <w:pPr>
        <w:pStyle w:val="3"/>
      </w:pPr>
      <w:r>
        <w:t>3.2 实验完整性</w:t>
      </w:r>
    </w:p>
    <w:p w14:paraId="13821570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DIOR 完全缺失（12 组），论文主表整列为空</w:t>
      </w:r>
    </w:p>
    <w:p w14:paraId="4027095D">
      <w:pPr>
        <w:pStyle w:val="16"/>
        <w:numPr>
          <w:ilvl w:val="0"/>
          <w:numId w:val="1"/>
        </w:numPr>
        <w:spacing w:before="30" w:after="30"/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数据量大的数据集</w:t>
      </w:r>
      <w:r>
        <w:rPr>
          <w:b w:val="0"/>
          <w:bCs w:val="0"/>
          <w:sz w:val="21"/>
          <w:szCs w:val="21"/>
        </w:rPr>
        <w:t>仅 1 seed，无法给出论文要求的 mean ± std 与显著性</w:t>
      </w:r>
    </w:p>
    <w:p w14:paraId="2BF00B37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历史 run 的 test 结果需刷新：此前 test 使用了按单类 precision 选出的错误 ckpt</w:t>
      </w:r>
    </w:p>
    <w:p w14:paraId="5CA265CE">
      <w:pPr>
        <w:pStyle w:val="3"/>
      </w:pPr>
      <w:r>
        <w:t>3.3 效率</w:t>
      </w:r>
    </w:p>
    <w:p w14:paraId="4C574CE1">
      <w:pPr>
        <w:spacing w:before="60" w:after="60" w:line="300" w:lineRule="auto"/>
      </w:pPr>
      <w:r>
        <w:rPr>
          <w:sz w:val="21"/>
          <w:szCs w:val="21"/>
        </w:rPr>
        <w:t>DIOR 的 query 集约 1.1 万张图，而 val_interval=1 使每个 epoch 都要全量评估一次，单卡单个 run 预计约 10 小时，11 个 run 合计超过 4 天，是本轮最大的时间瓶颈。</w:t>
      </w:r>
    </w:p>
    <w:p w14:paraId="1CE067E2">
      <w:pPr>
        <w:pStyle w:val="2"/>
      </w:pPr>
      <w:r>
        <w:t>四、下一步计划</w:t>
      </w:r>
    </w:p>
    <w:p w14:paraId="0138D9F7">
      <w:pPr>
        <w:pStyle w:val="3"/>
      </w:pPr>
      <w:r>
        <w:t>4.1 补齐实验（本周内）</w:t>
      </w:r>
    </w:p>
    <w:p w14:paraId="691EDB5A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 xml:space="preserve">用修补后的 run_ablation.sh 续跑 </w:t>
      </w:r>
    </w:p>
    <w:p w14:paraId="5811EC75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补齐 DIOR 12 组，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考虑</w:t>
      </w:r>
      <w:r>
        <w:rPr>
          <w:b w:val="0"/>
          <w:bCs w:val="0"/>
          <w:sz w:val="21"/>
          <w:szCs w:val="21"/>
        </w:rPr>
        <w:t xml:space="preserve"> 3~4 卡并行（GPUS=3~4）以压缩验证开销</w:t>
      </w:r>
    </w:p>
    <w:p w14:paraId="2AA78488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补跑过程中脚本会以正确 ckpt 自动刷新历史 run 的 test 结果，无需额外操作</w:t>
      </w:r>
    </w:p>
    <w:p w14:paraId="11593796">
      <w:pPr>
        <w:pStyle w:val="3"/>
      </w:pPr>
      <w:r>
        <w:t>4.2 协议对齐（优先级最高）</w:t>
      </w:r>
    </w:p>
    <w:p w14:paraId="415E711A">
      <w:pPr>
        <w:spacing w:before="60" w:after="60" w:line="300" w:lineRule="auto"/>
      </w:pPr>
      <w:r>
        <w:rPr>
          <w:rFonts w:hint="eastAsia"/>
          <w:sz w:val="21"/>
          <w:szCs w:val="21"/>
          <w:lang w:val="en-US" w:eastAsia="zh-CN"/>
        </w:rPr>
        <w:t>检查</w:t>
      </w:r>
      <w:r>
        <w:rPr>
          <w:sz w:val="21"/>
          <w:szCs w:val="21"/>
        </w:rPr>
        <w:t>决策 split 方案（三选一）：</w:t>
      </w:r>
    </w:p>
    <w:p w14:paraId="595EC913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 xml:space="preserve">A.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检查开源代码是否存在</w:t>
      </w:r>
      <w:r>
        <w:rPr>
          <w:b w:val="0"/>
          <w:bCs w:val="0"/>
          <w:sz w:val="21"/>
          <w:szCs w:val="21"/>
        </w:rPr>
        <w:t>官方 few-shot split</w:t>
      </w:r>
      <w:r>
        <w:rPr>
          <w:rFonts w:hint="eastAsia"/>
          <w:b w:val="0"/>
          <w:bCs w:val="0"/>
          <w:sz w:val="21"/>
          <w:szCs w:val="21"/>
          <w:lang w:eastAsia="zh-CN"/>
        </w:rPr>
        <w:t>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若存在</w:t>
      </w:r>
      <w:r>
        <w:rPr>
          <w:b w:val="0"/>
          <w:bCs w:val="0"/>
          <w:sz w:val="21"/>
          <w:szCs w:val="21"/>
        </w:rPr>
        <w:t>从备份/数据包恢复，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考虑再次测试</w:t>
      </w:r>
      <w:bookmarkStart w:id="0" w:name="_GoBack"/>
      <w:bookmarkEnd w:id="0"/>
    </w:p>
    <w:p w14:paraId="7971B241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B. 六域统一使用 prepare_s2h_data.py 的 image-level split（含 Clipart1k），并在论文中明确说明协议</w:t>
      </w:r>
    </w:p>
    <w:p w14:paraId="639144AC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C. 修改 prepare_s2h_data.py 增加 --protocol instance，按论文声明重新切分</w:t>
      </w:r>
    </w:p>
    <w:p w14:paraId="0E79F651">
      <w:pPr>
        <w:spacing w:before="60" w:after="60" w:line="300" w:lineRule="auto"/>
      </w:pPr>
      <w:r>
        <w:rPr>
          <w:b/>
          <w:bCs/>
          <w:sz w:val="21"/>
          <w:szCs w:val="21"/>
        </w:rPr>
        <w:t>原则：六个域必须同协议，且 baseline 与 Ours 必须使用同一份 split。</w:t>
      </w:r>
    </w:p>
    <w:p w14:paraId="19569331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修回 CDFSOD_detection_few-shot_UODD_*.py，与 Domain-RAG 原版对齐</w:t>
      </w:r>
    </w:p>
    <w:p w14:paraId="528FE0CB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对比实验统一 batch size（建议 4 卡 × batch 4）</w:t>
      </w:r>
    </w:p>
    <w:p w14:paraId="0BC5E2A0">
      <w:pPr>
        <w:pStyle w:val="3"/>
      </w:pPr>
      <w:r>
        <w:t>4.3 结果汇总与论文更新</w:t>
      </w:r>
    </w:p>
    <w:p w14:paraId="751926E3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汇总 72 组（后续 216 组）结果为 CSV，输出每域 / shot / stage 的 mean ± std</w:t>
      </w:r>
    </w:p>
    <w:p w14:paraId="3AB7C546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填充 Table 2 的 DIOR 列与 Avg. 列，更新累积消融图（当前仅 4 个域）</w:t>
      </w:r>
    </w:p>
    <w:p w14:paraId="2D19FAA8">
      <w:pPr>
        <w:pStyle w:val="16"/>
        <w:numPr>
          <w:ilvl w:val="0"/>
          <w:numId w:val="1"/>
        </w:numPr>
        <w:spacing w:before="30" w:after="30"/>
      </w:pPr>
      <w:r>
        <w:rPr>
          <w:b w:val="0"/>
          <w:bCs w:val="0"/>
          <w:sz w:val="21"/>
          <w:szCs w:val="21"/>
        </w:rPr>
        <w:t>在实验设置中补充支撑集划分协议的明确说明，避免与 Domain-RAG 的对比被误读</w:t>
      </w:r>
    </w:p>
    <w:p w14:paraId="2F9AB679">
      <w:pPr>
        <w:pStyle w:val="16"/>
        <w:numPr>
          <w:numId w:val="0"/>
        </w:numPr>
        <w:spacing w:before="30" w:after="30"/>
        <w:ind w:left="240" w:leftChars="0"/>
      </w:pP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4EDD67">
    <w:pPr>
      <w:jc w:val="center"/>
    </w:pPr>
    <w:r>
      <w:rPr>
        <w:rFonts w:ascii="微软雅黑" w:hAnsi="微软雅黑" w:eastAsia="微软雅黑" w:cs="微软雅黑"/>
        <w:color w:val="808080"/>
        <w:sz w:val="18"/>
        <w:szCs w:val="18"/>
      </w:rPr>
      <w:t xml:space="preserve">S2H-CD-FSOD 周报  ·  </w:t>
    </w:r>
    <w:r>
      <w:rPr>
        <w:rFonts w:ascii="微软雅黑" w:hAnsi="微软雅黑" w:eastAsia="微软雅黑" w:cs="微软雅黑"/>
        <w:color w:val="808080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808080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808080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80808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1AF7A62"/>
    <w:rsid w:val="45B63B66"/>
    <w:rsid w:val="52F97788"/>
    <w:rsid w:val="6AFF300A"/>
    <w:rsid w:val="7163721C"/>
    <w:rsid w:val="7C1372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260" w:after="140"/>
      <w:outlineLvl w:val="0"/>
    </w:pPr>
    <w:rPr>
      <w:rFonts w:ascii="微软雅黑" w:hAnsi="微软雅黑" w:eastAsia="微软雅黑" w:cs="微软雅黑"/>
      <w:b/>
      <w:bCs/>
      <w:color w:val="1F3864"/>
      <w:sz w:val="28"/>
      <w:szCs w:val="28"/>
    </w:rPr>
  </w:style>
  <w:style w:type="paragraph" w:styleId="3">
    <w:name w:val="heading 2"/>
    <w:next w:val="1"/>
    <w:qFormat/>
    <w:uiPriority w:val="0"/>
    <w:pPr>
      <w:spacing w:before="180" w:after="100"/>
      <w:outlineLvl w:val="1"/>
    </w:pPr>
    <w:rPr>
      <w:rFonts w:ascii="微软雅黑" w:hAnsi="微软雅黑" w:eastAsia="微软雅黑" w:cs="微软雅黑"/>
      <w:b/>
      <w:bCs/>
      <w:color w:val="2E75B6"/>
      <w:sz w:val="23"/>
      <w:szCs w:val="23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2060</Words>
  <Characters>4281</Characters>
  <TotalTime>7</TotalTime>
  <ScaleCrop>false</ScaleCrop>
  <LinksUpToDate>false</LinksUpToDate>
  <CharactersWithSpaces>4836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2026-09-27T12:06:00Z</dcterms:created>
  <dc:creator>Un-named</dc:creator>
  <cp:lastModifiedBy>Adcex</cp:lastModifiedBy>
  <dcterms:modified xsi:type="dcterms:W3CDTF">2026-09-27T12:23:26Z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eyJoZGlkIjoiNjdlNDIxODZkMWViNDg2YjY3YmI2ZjIzM2YxMzg1NzQiLCJ1c2VySWQiOiIyNDIzNjk5OTMifQ==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17151E05A80343BB82B0358E52EF38F3_12</vt:lpwstr>
  </property>
</Properties>
</file>