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1560" w:after="0"/>
      </w:pPr>
    </w:p>
    <w:p>
      <w:pPr>
        <w:widowControl/>
        <w:spacing w:after="360"/>
        <w:jc w:val="center"/>
      </w:pPr>
      <w:r>
        <w:rPr>
          <w:rFonts w:ascii="Calibri" w:hAnsi="Calibri" w:eastAsia="Calibri" w:cs="Calibri"/>
          <w:b/>
          <w:color w:val="8A6A12"/>
          <w:sz w:val="21"/>
        </w:rPr>
        <w:t>RESEARCH REPORT</w:t>
      </w:r>
    </w:p>
    <w:p>
      <w:pPr>
        <w:pStyle w:val="Title"/>
        <w:widowControl/>
      </w:pPr>
      <w:r>
        <w:t>Allocating AI Compute for Global Educational Access</w:t>
      </w:r>
    </w:p>
    <w:p>
      <w:pPr>
        <w:pStyle w:val="Subtitle"/>
        <w:widowControl/>
      </w:pPr>
      <w:r>
        <w:t>Evidence-bound methods for language, stage, subject, and accessibility allocation</w:t>
      </w:r>
    </w:p>
    <w:p>
      <w:pPr>
        <w:widowControl/>
        <w:spacing w:before="200" w:after="1440"/>
        <w:jc w:val="center"/>
      </w:pPr>
      <w:r>
        <w:rPr>
          <w:rFonts w:ascii="Calibri" w:hAnsi="Calibri" w:eastAsia="Calibri" w:cs="Calibri"/>
          <w:i/>
          <w:color w:val="8A6A12"/>
          <w:sz w:val="21"/>
        </w:rPr>
        <w:t>A global portfolio model for language, shared-core, accessibility, and open-curriculum decisions</w:t>
      </w:r>
    </w:p>
    <w:p>
      <w:pPr>
        <w:widowControl/>
        <w:jc w:val="center"/>
      </w:pPr>
      <w:r>
        <w:rPr>
          <w:rFonts w:ascii="Calibri" w:hAnsi="Calibri" w:eastAsia="Calibri" w:cs="Calibri"/>
          <w:b/>
          <w:color w:val="203748"/>
          <w:sz w:val="24"/>
        </w:rPr>
        <w:t>Evidence freeze - 2026-09-04</w:t>
      </w:r>
    </w:p>
    <w:p>
      <w:pPr>
        <w:widowControl/>
        <w:sectPr>
          <w:headerReference w:type="default" r:id="rId9"/>
          <w:footerReference w:type="default" r:id="rId10"/>
          <w:pgSz w:w="12240" w:h="15840"/>
          <w:pgMar w:top="1440" w:right="1440" w:bottom="1440" w:left="1440" w:header="708" w:footer="708" w:gutter="0"/>
          <w:cols w:space="720"/>
          <w:docGrid w:linePitch="360"/>
        </w:sectPr>
      </w:pPr>
    </w:p>
    <w:p>
      <w:pPr>
        <w:pStyle w:val="Heading1"/>
        <w:widowControl/>
      </w:pPr>
      <w:r>
        <w:t>Abstract</w:t>
      </w:r>
    </w:p>
    <w:p>
      <w:pPr>
        <w:widowControl/>
        <w:ind w:left="259" w:right="173"/>
        <w:jc w:val="left"/>
        <w:shd w:val="clear" w:color="auto" w:fill="F4F7FA"/>
        <w:pBdr>
          <w:left w:val="single" w:sz="18" w:space="5" w:color="7FA6C8"/>
        </w:pBdr>
      </w:pPr>
      <w:r>
        <w:t>The evidence freeze represents 1,077 authority targets: 204 source-authorized direct-person targets, 2 separately comparable stage-opportunity targets, and 871 visible unranked or contextual targets. A common-prior reference order places Hindi and Bahasa Indonesia first among comparable person-denominator rows; Simplified Standard Written Chinese leads the separate stage-opportunity lane, and Japanese remains a targeted tertiary, research, and accessibility opportunity. The full Top 100, high-consequence evidence gaps, signed-language and accessibility portfolio, displacement portfolios, and interlanguage experiments are all published rather than reduced to one league table. Sensitivity analysis shows that the direct order is highly population-dominant because most exact scarcity and academic-overlap factors remain unmeasured; its correct use is transparent high-reach prioritization plus target-specific package evidence, not a claim of observed global need.</w:t>
      </w:r>
    </w:p>
    <w:p>
      <w:pPr>
        <w:pStyle w:val="Heading1"/>
        <w:widowControl/>
      </w:pPr>
      <w:r>
        <w:t>1. Introduction</w:t>
      </w:r>
    </w:p>
    <w:p>
      <w:pPr>
        <w:widowControl/>
      </w:pPr>
      <w:r>
        <w:t>The relevant global shortage is not simply a shortage of text. Educational access depends on whether a learner can obtain, understand, navigate, retain, reuse, and study appropriate material at the required stage and subject. A book can exist while remaining unusable because it is written in an unfamiliar academic language, addresses a different curriculum, assumes unavailable prerequisites, omits exercises or solutions, requires continuous connectivity, cannot be read by assistive technology, or is legally unavailable for adaptation and redistribution. Conversely, a language with extensive educational publishing at one stage can still have major gaps in vocational training, postgraduate methods, advanced research, accessible formats, or independent self-study.</w:t>
      </w:r>
    </w:p>
    <w:p>
      <w:pPr>
        <w:widowControl/>
      </w:pPr>
      <w:r>
        <w:t>UNESCO’s current multilingual-education guidance repeats the broad estimate that roughly 40% of people lack access to education in a language they speak and understand fluently (UNESCO, 2025). That figure is a global context, not a current language-by-language census. Its historical lineage includes Walter and Benson’s (2012) tabulation of 97 languages with more than ten million speakers: a later published reproduction reports that 45 were not used in education and represented more than one billion speakers, while 52 were used in education (Spolsky, 2021). The publication does not expose a verified named appendix of all 97 languages. Those aggregates must therefore not be reverse-engineered into a modern target list. They are also unrelated to Crawford et al.’s (2025) analytical sample of 96 alphabetic languages in Early Grade Reading Assessment data.</w:t>
      </w:r>
    </w:p>
    <w:p>
      <w:pPr>
        <w:widowControl/>
      </w:pPr>
      <w:r>
        <w:t>The World Bank’s more recent language-of-instruction model addresses a different denominator. It estimated that approximately 37% of students in low- and middle-income countries - about 370 million of roughly one billion students in its modeled universe - were taught in a language other than the language they best spoke and understood, and it examined a scenario involving roughly 550 additional languages (World Bank, 2021). This is direct evidence that language alignment is a large educational variable. It is not evidence that all affected students need the same package, that translation alone resolves instruction, or that one national average can be assigned to every language community within a country.</w:t>
      </w:r>
    </w:p>
    <w:p>
      <w:pPr>
        <w:widowControl/>
      </w:pPr>
      <w:r>
        <w:t>AI changes what can be produced with a fixed budget. A sufficiently capable mathematical or scientific model can jointly translate and inspect meaning, terminology, formula bindings, assumptions, and argument structure. Independent model passes and deterministic source, formula, structure, link, and render checks can reduce error without making publication depend on an unavailable human reviewer. Yet production feasibility and educational value remain empirical questions. Model quality varies by exact direction, script, domain, corpus support, and tokenizer; a language with sparse public data may require wider uncertainty and more audit compute, but it does not thereby become less important.</w:t>
      </w:r>
    </w:p>
    <w:p>
      <w:pPr>
        <w:widowControl/>
      </w:pPr>
      <w:r>
        <w:t>This paper asks:</w:t>
      </w:r>
    </w:p>
    <w:p>
      <w:pPr>
        <w:pStyle w:val="ResearchQuote"/>
        <w:widowControl/>
        <w:pBdr>
          <w:left w:val="single" w:sz="18" w:space="5" w:color="8A6A12"/>
        </w:pBdr>
        <w:shd w:val="clear" w:color="auto" w:fill="FFFDF5"/>
      </w:pPr>
      <w:r>
        <w:t>Which exact language, script, signed-language, accessibility, and evidence-supported bridge interventions should receive standardized new AI compute to create the greatest increase in functional educational access?</w:t>
      </w:r>
    </w:p>
    <w:p>
      <w:pPr>
        <w:widowControl/>
      </w:pPr>
      <w:r>
        <w:t>The study answers that question in two primary orders. The first measures baseline unmet need without reference to production history or cost. The second estimates expected access gain per standardized from-scratch compute for a fixed open educational package. This separation prevents convenience, sunk work, local holdings, or prior project choices from being mistaken for properties of a population.</w:t>
      </w:r>
    </w:p>
    <w:p>
      <w:pPr>
        <w:pStyle w:val="Heading1"/>
        <w:widowControl/>
      </w:pPr>
      <w:r>
        <w:t>2. Outcomes and units of analysis</w:t>
      </w:r>
    </w:p>
    <w:p>
      <w:pPr>
        <w:pStyle w:val="Heading2"/>
        <w:widowControl/>
      </w:pPr>
      <w:r>
        <w:t>2.1 Functional access</w:t>
      </w:r>
    </w:p>
    <w:p>
      <w:pPr>
        <w:widowControl/>
      </w:pPr>
      <w:r>
        <w:t>Functional access is endpoint-specific. A learner has functional access when the material can be used for its stated educational purpose under the declared delivery conditions. The study distinguishes at least:</w:t>
      </w:r>
    </w:p>
    <w:p>
      <w:pPr>
        <w:pStyle w:val="ProposalList"/>
        <w:widowControl/>
        <w:numPr>
          <w:ilvl w:val="0"/>
          <w:numId w:val="10"/>
        </w:numPr>
      </w:pPr>
      <w:r>
        <w:t>autonomous or self-study use;</w:t>
      </w:r>
    </w:p>
    <w:p>
      <w:pPr>
        <w:pStyle w:val="ProposalList"/>
        <w:widowControl/>
        <w:numPr>
          <w:ilvl w:val="0"/>
          <w:numId w:val="10"/>
        </w:numPr>
      </w:pPr>
      <w:r>
        <w:t>instruction-mediated use;</w:t>
      </w:r>
    </w:p>
    <w:p>
      <w:pPr>
        <w:pStyle w:val="ProposalList"/>
        <w:widowControl/>
        <w:numPr>
          <w:ilvl w:val="0"/>
          <w:numId w:val="10"/>
        </w:numPr>
      </w:pPr>
      <w:r>
        <w:t>vocational or professional task use; and</w:t>
      </w:r>
    </w:p>
    <w:p>
      <w:pPr>
        <w:pStyle w:val="ProposalList"/>
        <w:widowControl/>
        <w:numPr>
          <w:ilvl w:val="0"/>
          <w:numId w:val="10"/>
        </w:numPr>
      </w:pPr>
      <w:r>
        <w:t>research or reference use.</w:t>
      </w:r>
    </w:p>
    <w:p>
      <w:pPr>
        <w:widowControl/>
      </w:pPr>
      <w:r>
        <w:t>These endpoints are not interchangeable. A free-to-read research article may provide reference access without providing a sequenced course. A school textbook may support classroom instruction while being incomplete for independent study. An open license creates adaptation and redistribution capacity but does not prove that a file is usable offline, accessible, complete, or pedagogically effective. A closed but lawful and no-cost national textbook may reduce present functional scarcity on its exact route while contributing no open-adaptation capacity.</w:t>
      </w:r>
    </w:p>
    <w:p>
      <w:pPr>
        <w:pStyle w:val="Heading2"/>
        <w:widowControl/>
      </w:pPr>
      <w:r>
        <w:t>2.2 Exact language targets</w:t>
      </w:r>
    </w:p>
    <w:p>
      <w:pPr>
        <w:widowControl/>
      </w:pPr>
      <w:r>
        <w:t>The language target is defined by variety or register, script and orthography, territory or community, and educational function. Spoken Putonghua is not a population estimate for readers of simplified Standard Written Chinese. Modern Standard Arabic is a learned written and educational register rather than an ordinary first-language denominator. Filipino educational exposure is not Tagalog first-language use. Punjabi census counts do not identify Gurmukhi and Shahmukhi literacy. Named sign languages are independent languages; a national hearing-loss count is not a sign-language-user count.</w:t>
      </w:r>
    </w:p>
    <w:p>
      <w:pPr>
        <w:widowControl/>
      </w:pPr>
      <w:r>
        <w:t>Macro labels are retained as contextual ceilings or package hypotheses when useful, but their populations are not copied into child targets. Transnational languages are assembled only from country-disjoint cells with compatible definitions. When a shared core may reduce production cost across standards - such as parallel Bangla editions in Bangladesh and India, Gurmukhi and Shahmukhi Punjabi, Persian-Dari-Tajik standards, or national Kiswahili profiles - the package relationship is represented separately from exact-language need.</w:t>
      </w:r>
    </w:p>
    <w:p>
      <w:pPr>
        <w:pStyle w:val="Heading2"/>
        <w:widowControl/>
      </w:pPr>
      <w:r>
        <w:t>2.3 Educational stages and subjects</w:t>
      </w:r>
    </w:p>
    <w:p>
      <w:pPr>
        <w:widowControl/>
      </w:pPr>
      <w:r>
        <w:t>Education is represented from ISCED 0 through ISCED 8 and adult or professional learning (UNESCO Institute for Statistics, 2012). The stage map includes:</w:t>
      </w:r>
    </w:p>
    <w:p>
      <w:pPr>
        <w:pStyle w:val="ProposalList"/>
        <w:widowControl/>
        <w:numPr>
          <w:ilvl w:val="0"/>
          <w:numId w:val="11"/>
        </w:numPr>
      </w:pPr>
      <w:r>
        <w:t>early childhood and caregiver-facing learning;</w:t>
      </w:r>
    </w:p>
    <w:p>
      <w:pPr>
        <w:pStyle w:val="ProposalList"/>
        <w:widowControl/>
        <w:numPr>
          <w:ilvl w:val="0"/>
          <w:numId w:val="11"/>
        </w:numPr>
      </w:pPr>
      <w:r>
        <w:t>primary literacy, numeracy, science, and bridge-language learning;</w:t>
      </w:r>
    </w:p>
    <w:p>
      <w:pPr>
        <w:pStyle w:val="ProposalList"/>
        <w:widowControl/>
        <w:numPr>
          <w:ilvl w:val="0"/>
          <w:numId w:val="11"/>
        </w:numPr>
      </w:pPr>
      <w:r>
        <w:t>lower- and upper-secondary mathematics, sciences, computing, writing, health, and civic or practical subjects;</w:t>
      </w:r>
    </w:p>
    <w:p>
      <w:pPr>
        <w:pStyle w:val="ProposalList"/>
        <w:widowControl/>
        <w:numPr>
          <w:ilvl w:val="0"/>
          <w:numId w:val="11"/>
        </w:numPr>
      </w:pPr>
      <w:r>
        <w:t>technical and vocational education;</w:t>
      </w:r>
    </w:p>
    <w:p>
      <w:pPr>
        <w:pStyle w:val="ProposalList"/>
        <w:widowControl/>
        <w:numPr>
          <w:ilvl w:val="0"/>
          <w:numId w:val="11"/>
        </w:numPr>
      </w:pPr>
      <w:r>
        <w:t>undergraduate gateway and degree sequences;</w:t>
      </w:r>
    </w:p>
    <w:p>
      <w:pPr>
        <w:pStyle w:val="ProposalList"/>
        <w:widowControl/>
        <w:numPr>
          <w:ilvl w:val="0"/>
          <w:numId w:val="11"/>
        </w:numPr>
      </w:pPr>
      <w:r>
        <w:t>postgraduate research methods and specialist study;</w:t>
      </w:r>
    </w:p>
    <w:p>
      <w:pPr>
        <w:pStyle w:val="ProposalList"/>
        <w:widowControl/>
        <w:numPr>
          <w:ilvl w:val="0"/>
          <w:numId w:val="11"/>
        </w:numPr>
      </w:pPr>
      <w:r>
        <w:t>advanced research texts, monographs, terminology infrastructure, and scholarly communication; and</w:t>
      </w:r>
    </w:p>
    <w:p>
      <w:pPr>
        <w:pStyle w:val="ProposalList"/>
        <w:widowControl/>
        <w:numPr>
          <w:ilvl w:val="0"/>
          <w:numId w:val="11"/>
        </w:numPr>
      </w:pPr>
      <w:r>
        <w:t>adult literacy, health, finance, management, agriculture, climate, digital skills, and workforce learning.</w:t>
      </w:r>
    </w:p>
    <w:p>
      <w:pPr>
        <w:widowControl/>
      </w:pPr>
      <w:r>
        <w:t>Foundational learning is not treated as the only form of education. Advanced mathematics, research methods, scholarly reading, and specialist reference materials serve smaller cohorts but can have substantial research and institutional effects. They are estimated at their actual opportunity populations rather than inflated to whole-language totals or erased by the presence of basic school content.</w:t>
      </w:r>
    </w:p>
    <w:p>
      <w:pPr>
        <w:pStyle w:val="Heading1"/>
        <w:widowControl/>
      </w:pPr>
      <w:r>
        <w:t>3. Evidence universe</w:t>
      </w:r>
    </w:p>
    <w:p>
      <w:pPr>
        <w:pStyle w:val="Heading2"/>
        <w:widowControl/>
      </w:pPr>
      <w:r>
        <w:t>3.1 Candidate generation</w:t>
      </w:r>
    </w:p>
    <w:p>
      <w:pPr>
        <w:widowControl/>
      </w:pPr>
      <w:r>
        <w:t>Candidate inclusion does not depend on population size, national income, official status, model support, prior project selection, or evidence completeness. The census sweeps all regions and includes large official languages, minoritized and Indigenous languages, refugee and diaspora languages, signed languages, and accessibility or delivery overlays. A candidate may remain unranked because evidence is insufficient; it does not disappear and is not assigned zero need.</w:t>
      </w:r>
    </w:p>
    <w:p>
      <w:pPr>
        <w:widowControl/>
      </w:pPr>
      <w:r>
        <w:t>The candidate record preserves exact target tags, scripts, orthographies, communities, stages, modalities, source identities, population classes, and all incompatibilities. Population classes include direct first-language counts, home use, reported ability, stage enrolment, direct support-need cohorts, territorial exposure ceilings, displacement cohorts, disability proxies, households, person-times, and learner-years. Only compatible person measures enter a common person order. Households, percentages, FTEs, and person-times are never silently converted to persons.</w:t>
      </w:r>
    </w:p>
    <w:p>
      <w:pPr>
        <w:pStyle w:val="Heading2"/>
        <w:widowControl/>
      </w:pPr>
      <w:r>
        <w:t>3.2 Population and denominator discipline</w:t>
      </w:r>
    </w:p>
    <w:p>
      <w:pPr>
        <w:widowControl/>
      </w:pPr>
      <w:r>
        <w:t>All arithmetic population values are normalized to persons while retaining the original published unit and precision. A low/base/high triplet is an uncertainty interval only when all three values describe the same construct, universe, and period. Different constructs cannot be relabeled as interval endpoints. For example, Japanese nationals and all residents are distinct exposure definitions, not the low and high values of a Japanese-reader population. A rounded speaker estimate and a national resident total are not a valid Turkish-language interval.</w:t>
      </w:r>
    </w:p>
    <w:p>
      <w:pPr>
        <w:widowControl/>
      </w:pPr>
      <w:r>
        <w:t>Each additive cell has an immutable population source, denominator, person basis, partition identity, and exclusivity statement. Renaming the cell or changing the point estimate cannot turn one population into two additive populations. A total-population cell cannot be added to its age, stage, disability, migration, or enrolment subsets. Alternative estimates form uncertainty scenarios rather than extra beneficiaries.</w:t>
      </w:r>
    </w:p>
    <w:p>
      <w:pPr>
        <w:pStyle w:val="Heading2"/>
        <w:widowControl/>
      </w:pPr>
      <w:r>
        <w:t>3.3 Learning, completion, and language alignment</w:t>
      </w:r>
    </w:p>
    <w:p>
      <w:pPr>
        <w:widowControl/>
      </w:pPr>
      <w:r>
        <w:t>Learning poverty, below-minimum proficiency, noncompletion, and first/home-language alignment describe different events. Country values are retained as national context unless a source or explicit transport model connects them to the exact target community and learner stage. Applying the same country average to every language can conceal within-country exclusion, particularly for Indigenous, minoritized, displaced, rural, or signed-language learners. Where only an ecological proxy is available, the point factor remains missing and the analysis carries a broad partial-identification interval.</w:t>
      </w:r>
    </w:p>
    <w:p>
      <w:pPr>
        <w:widowControl/>
      </w:pPr>
      <w:r>
        <w:t>The evidence model records the numerator event, denominator stratum, conditioning event, endpoint, and horizon for each factor. Marginal deficits are never labeled as a conditional chain merely because they appear in a convenient order. Where joint distributions are unavailable, overlapping need dimensions use conservative Fréchet union and intersection bounds.</w:t>
      </w:r>
    </w:p>
    <w:p>
      <w:pPr>
        <w:pStyle w:val="Heading2"/>
        <w:widowControl/>
      </w:pPr>
      <w:r>
        <w:t>3.4 Academic-language non-overlap</w:t>
      </w:r>
    </w:p>
    <w:p>
      <w:pPr>
        <w:widowControl/>
      </w:pPr>
      <w:r>
        <w:t>Conversational knowledge of English, French, Spanish, Portuguese, Russian, Arabic, Mandarin, or Hindi is not equivalent to independent academic learning through that language. School foreign-language thresholds, census declarations, commercial indices, bibliometric publication language, and discipline-specific reading are different measures. The evidence register therefore keeps academic-language access missing unless the source matches the target population, stage, task, and denominator.</w:t>
      </w:r>
    </w:p>
    <w:p>
      <w:pPr>
        <w:widowControl/>
      </w:pPr>
      <w:r>
        <w:t>This rule matters for large national languages as much as for minoritized ones. Available evidence identifies substantial school-stage English thresholds in Japan and Korea, English assessment burdens in the Philippines, foundational English gaps in parts of South Asia, and large reading-time burdens for researchers working outside their strongest language (Amano et al., 2023). None supplies one global academic-English percentage. Missing academic-language data increases uncertainty; it does not reduce need.</w:t>
      </w:r>
    </w:p>
    <w:p>
      <w:pPr>
        <w:pStyle w:val="Heading2"/>
        <w:widowControl/>
      </w:pPr>
      <w:r>
        <w:t>3.5 Existing resources and openness</w:t>
      </w:r>
    </w:p>
    <w:p>
      <w:pPr>
        <w:widowControl/>
      </w:pPr>
      <w:r>
        <w:t>The resource audit separates:</w:t>
      </w:r>
    </w:p>
    <w:p>
      <w:pPr>
        <w:pStyle w:val="ProposalList"/>
        <w:widowControl/>
        <w:numPr>
          <w:ilvl w:val="0"/>
          <w:numId w:val="12"/>
        </w:numPr>
      </w:pPr>
      <w:r>
        <w:t>localized interface or catalogue presence;</w:t>
      </w:r>
    </w:p>
    <w:p>
      <w:pPr>
        <w:pStyle w:val="ProposalList"/>
        <w:widowControl/>
        <w:numPr>
          <w:ilvl w:val="0"/>
          <w:numId w:val="12"/>
        </w:numPr>
      </w:pPr>
      <w:r>
        <w:t>usable components;</w:t>
      </w:r>
    </w:p>
    <w:p>
      <w:pPr>
        <w:pStyle w:val="ProposalList"/>
        <w:widowControl/>
        <w:numPr>
          <w:ilvl w:val="0"/>
          <w:numId w:val="12"/>
        </w:numPr>
      </w:pPr>
      <w:r>
        <w:t>coherent courses or sequences;</w:t>
      </w:r>
    </w:p>
    <w:p>
      <w:pPr>
        <w:pStyle w:val="ProposalList"/>
        <w:widowControl/>
        <w:numPr>
          <w:ilvl w:val="0"/>
          <w:numId w:val="12"/>
        </w:numPr>
      </w:pPr>
      <w:r>
        <w:t>stage-wide or cross-stage functional routes;</w:t>
      </w:r>
    </w:p>
    <w:p>
      <w:pPr>
        <w:pStyle w:val="ProposalList"/>
        <w:widowControl/>
        <w:numPr>
          <w:ilvl w:val="0"/>
          <w:numId w:val="12"/>
        </w:numPr>
      </w:pPr>
      <w:r>
        <w:t>no-cost access;</w:t>
      </w:r>
    </w:p>
    <w:p>
      <w:pPr>
        <w:pStyle w:val="ProposalList"/>
        <w:widowControl/>
        <w:numPr>
          <w:ilvl w:val="0"/>
          <w:numId w:val="12"/>
        </w:numPr>
      </w:pPr>
      <w:r>
        <w:t>unchanged redistribution;</w:t>
      </w:r>
    </w:p>
    <w:p>
      <w:pPr>
        <w:pStyle w:val="ProposalList"/>
        <w:widowControl/>
        <w:numPr>
          <w:ilvl w:val="0"/>
          <w:numId w:val="12"/>
        </w:numPr>
      </w:pPr>
      <w:r>
        <w:t>adaptation and redistribution rights;</w:t>
      </w:r>
    </w:p>
    <w:p>
      <w:pPr>
        <w:pStyle w:val="ProposalList"/>
        <w:widowControl/>
        <w:numPr>
          <w:ilvl w:val="0"/>
          <w:numId w:val="12"/>
        </w:numPr>
      </w:pPr>
      <w:r>
        <w:t>downloadable or offline operation;</w:t>
      </w:r>
    </w:p>
    <w:p>
      <w:pPr>
        <w:pStyle w:val="ProposalList"/>
        <w:widowControl/>
        <w:numPr>
          <w:ilvl w:val="0"/>
          <w:numId w:val="12"/>
        </w:numPr>
      </w:pPr>
      <w:r>
        <w:t>accessibility conformance; and</w:t>
      </w:r>
    </w:p>
    <w:p>
      <w:pPr>
        <w:pStyle w:val="ProposalList"/>
        <w:widowControl/>
        <w:numPr>
          <w:ilvl w:val="0"/>
          <w:numId w:val="12"/>
        </w:numPr>
      </w:pPr>
      <w:r>
        <w:t>independent-study completeness, including exercises, feedback, and solutions.</w:t>
      </w:r>
    </w:p>
    <w:p>
      <w:pPr>
        <w:widowControl/>
      </w:pPr>
      <w:r>
        <w:t>International catalogues are queried under identical rules, while official and country-native platforms are inspected to prevent an Anglophone catalogue from being treated as a census of local supply. Repository counts are evidence of discoverability, not curriculum coverage. Strong national supply is a negative control only for the exact stage, subject, language, and access property it demonstrates. It cannot erase open-license, offline, accessibility, advanced, vocational, adult, or research gaps.</w:t>
      </w:r>
    </w:p>
    <w:p>
      <w:pPr>
        <w:widowControl/>
      </w:pPr>
      <w:r>
        <w:t>Open availability is mandatory for newly commissioned packages. UNESCO’s OER Recommendation defines the legal capability sought: no-cost access together with reuse, repurposing, adaptation, and redistribution (UNESCO, 2019). Technical usability is audited separately.</w:t>
      </w:r>
    </w:p>
    <w:p>
      <w:pPr>
        <w:pStyle w:val="Heading2"/>
        <w:widowControl/>
      </w:pPr>
      <w:r>
        <w:t>3.6 Connectivity and accessibility</w:t>
      </w:r>
    </w:p>
    <w:p>
      <w:pPr>
        <w:widowControl/>
      </w:pPr>
      <w:r>
        <w:t>Connectivity, device ownership, electricity, bandwidth, digital skills, and storage are distinct constraints. ITU estimated roughly 2.2 billion people offline in 2025, while the SDG 7 monitoring consortium estimated 666 million people without basic electricity access in 2023 (International Telecommunication Union, 2025; International Energy Agency et al., 2025). These groups overlap and cannot be added. Coverage also does not imply a personal device, affordable data, reliable charging, or the ability to store and navigate a large corpus.</w:t>
      </w:r>
    </w:p>
    <w:p>
      <w:pPr>
        <w:widowControl/>
      </w:pPr>
      <w:r>
        <w:t>Delivery is therefore modeled as separate branches: semantic static HTML with MathML, accessible EPUB, tagged and print-ready PDF, low-data audio with transcripts, plain-language editions, downloadable chapter bundles, local-server or removable-media packages, and named sign-language video where applicable. Disability prevalence is not copied into a format-specific beneficiary count. The relevant denominator is the exact functional barrier and intervention, and overlapping accessibility needs remain nonadditive.</w:t>
      </w:r>
    </w:p>
    <w:p>
      <w:pPr>
        <w:pStyle w:val="Heading1"/>
        <w:widowControl/>
      </w:pPr>
      <w:r>
        <w:t>4. Estimation method</w:t>
      </w:r>
    </w:p>
    <w:p>
      <w:pPr>
        <w:pStyle w:val="Heading2"/>
        <w:widowControl/>
      </w:pPr>
      <w:r>
        <w:t>4.1 Common baseline unmet-need estimand</w:t>
      </w:r>
    </w:p>
    <w:p>
      <w:pPr>
        <w:widowControl/>
      </w:pPr>
      <w:r>
        <w:t xml:space="preserve">For an exact language target </w:t>
      </w:r>
      <m:oMath xmlns:a="http://schemas.openxmlformats.org/drawingml/2006/main" xmlns:pic="http://schemas.openxmlformats.org/drawingml/2006/picture">
        <m:r>
          <m:t>l</m:t>
        </m:r>
      </m:oMath>
      <w:r>
        <w:t xml:space="preserve">, let </w:t>
      </w:r>
      <m:oMath xmlns:a="http://schemas.openxmlformats.org/drawingml/2006/main" xmlns:pic="http://schemas.openxmlformats.org/drawingml/2006/picture">
        <m:r>
          <m:t>h</m:t>
        </m:r>
      </m:oMath>
      <w:r>
        <w:t xml:space="preserve"> index mutually exclusive cells defined by territory, complete strong-language and script-literacy profile, learner stage, subject/canon atom, and baseline access endpoint. Let </w:t>
      </w:r>
      <m:oMath xmlns:a="http://schemas.openxmlformats.org/drawingml/2006/main" xmlns:pic="http://schemas.openxmlformats.org/drawingml/2006/picture">
        <m:sSub>
          <m:e>
            <m:r>
              <m:t>D</m:t>
            </m:r>
          </m:e>
          <m:sub>
            <m:r>
              <m:t>h</m:t>
            </m:r>
          </m:sub>
        </m:sSub>
      </m:oMath>
      <w:r>
        <w:t xml:space="preserve"> be the public person denominator and let </w:t>
      </w:r>
      <m:oMath xmlns:a="http://schemas.openxmlformats.org/drawingml/2006/main" xmlns:pic="http://schemas.openxmlformats.org/drawingml/2006/picture">
        <m:sSub>
          <m:e>
            <m:r>
              <m:t>Y</m:t>
            </m:r>
          </m:e>
          <m:sub>
            <m:r>
              <m:t>h</m:t>
            </m:r>
          </m:sub>
        </m:sSub>
        <m:r>
          <m:rPr>
            <m:sty m:val="p"/>
          </m:rPr>
          <m:t>=</m:t>
        </m:r>
        <m:r>
          <m:t>1</m:t>
        </m:r>
      </m:oMath>
      <w:r>
        <w:t xml:space="preserve"> mean that the person fails the fixed functional educational-access threshold. The needs-only quantity is</w:t>
      </w:r>
    </w:p>
    <w:p>
      <w:pPr>
        <w:pStyle w:val="Equation"/>
        <w:widowControl/>
      </w:pPr>
      <m:oMathPara xmlns:a="http://schemas.openxmlformats.org/drawingml/2006/main" xmlns:pic="http://schemas.openxmlformats.org/drawingml/2006/picture">
        <m:oMathParaPr>
          <m:jc m:val="center"/>
        </m:oMathParaPr>
        <m:oMath>
          <m:sSub>
            <m:e>
              <m:r>
                <m:t>U</m:t>
              </m:r>
            </m:e>
            <m:sub>
              <m:r>
                <m:t>l</m:t>
              </m:r>
            </m:sub>
          </m:sSub>
          <m:r>
            <m:rPr>
              <m:sty m:val="p"/>
            </m:rPr>
            <m:t>=</m:t>
          </m:r>
          <m:nary>
            <m:naryPr>
              <m:chr m:val="∑"/>
              <m:limLoc m:val="undOvr"/>
              <m:subHide m:val="off"/>
              <m:supHide m:val="on"/>
            </m:naryPr>
            <m:sub>
              <m:r>
                <m:t>h</m:t>
              </m:r>
            </m:sub>
            <m:sup>
              <m:r>
                <m:t>​</m:t>
              </m:r>
            </m:sup>
            <m:e>
              <m:sSub>
                <m:e>
                  <m:r>
                    <m:t>a</m:t>
                  </m:r>
                </m:e>
                <m:sub>
                  <m:r>
                    <m:t>h</m:t>
                  </m:r>
                  <m:r>
                    <m:t>l</m:t>
                  </m:r>
                </m:sub>
              </m:sSub>
            </m:e>
          </m:nary>
          <m:sSub>
            <m:e>
              <m:r>
                <m:t>D</m:t>
              </m:r>
            </m:e>
            <m:sub>
              <m:r>
                <m:t>h</m:t>
              </m:r>
            </m:sub>
          </m:sSub>
          <m:sSub>
            <m:e>
              <m:r>
                <m:t>θ</m:t>
              </m:r>
            </m:e>
            <m:sub>
              <m:r>
                <m:t>h</m:t>
              </m:r>
            </m:sub>
          </m:sSub>
          <m:r>
            <m:rPr>
              <m:sty m:val="p"/>
            </m:rPr>
            <m:t>,</m:t>
          </m:r>
        </m:oMath>
      </m:oMathPara>
    </w:p>
    <w:p>
      <w:pPr>
        <w:widowControl/>
      </w:pPr>
      <w:r>
        <w:t xml:space="preserve">where </w:t>
      </w:r>
      <m:oMath xmlns:a="http://schemas.openxmlformats.org/drawingml/2006/main" xmlns:pic="http://schemas.openxmlformats.org/drawingml/2006/picture">
        <m:sSub>
          <m:e>
            <m:r>
              <m:t>θ</m:t>
            </m:r>
          </m:e>
          <m:sub>
            <m:r>
              <m:t>h</m:t>
            </m:r>
          </m:sub>
        </m:sSub>
        <m:r>
          <m:rPr>
            <m:sty m:val="p"/>
          </m:rPr>
          <m:t>=</m:t>
        </m:r>
        <m:r>
          <m:t>P</m:t>
        </m:r>
        <m:r>
          <m:rPr>
            <m:sty m:val="p"/>
          </m:rPr>
          <m:t>(</m:t>
        </m:r>
        <m:sSub>
          <m:e>
            <m:r>
              <m:t>Y</m:t>
            </m:r>
          </m:e>
          <m:sub>
            <m:r>
              <m:t>h</m:t>
            </m:r>
          </m:sub>
        </m:sSub>
        <m:r>
          <m:rPr>
            <m:sty m:val="p"/>
          </m:rPr>
          <m:t>=</m:t>
        </m:r>
        <m:r>
          <m:t>1</m:t>
        </m:r>
        <m:r>
          <m:rPr>
            <m:sty m:val="p"/>
          </m:rPr>
          <m:t>)</m:t>
        </m:r>
      </m:oMath>
      <w:r>
        <w:t xml:space="preserve"> and </w:t>
      </w:r>
      <m:oMath xmlns:a="http://schemas.openxmlformats.org/drawingml/2006/main" xmlns:pic="http://schemas.openxmlformats.org/drawingml/2006/picture">
        <m:sSub>
          <m:e>
            <m:r>
              <m:t>a</m:t>
            </m:r>
          </m:e>
          <m:sub>
            <m:r>
              <m:t>h</m:t>
            </m:r>
            <m:r>
              <m:t>l</m:t>
            </m:r>
          </m:sub>
        </m:sSub>
      </m:oMath>
      <w:r>
        <w:t xml:space="preserve"> assigns each person-stage atom to one exact language target in each bound or uncertainty draw. Assignment shares sum to one; overlapping language totals are not independent beneficiaries. A directly measured stage cohort is a valid denominator, so absence of a whole-language speaker census does not erase Japanese academic-language learners, written-Chinese stage cohorts, signed-language users, or any other directly defined population.</w:t>
      </w:r>
    </w:p>
    <w:p>
      <w:pPr>
        <w:widowControl/>
      </w:pPr>
      <w:r>
        <w:t xml:space="preserve">No package proposal, format branch, expected intervention effect, compute, local inventory, prior completion, or production history enters </w:t>
      </w:r>
      <m:oMath xmlns:a="http://schemas.openxmlformats.org/drawingml/2006/main" xmlns:pic="http://schemas.openxmlformats.org/drawingml/2006/picture">
        <m:sSub>
          <m:e>
            <m:r>
              <m:t>U</m:t>
            </m:r>
          </m:e>
          <m:sub>
            <m:r>
              <m:t>l</m:t>
            </m:r>
          </m:sub>
        </m:sSub>
      </m:oMath>
      <w:r>
        <w:t>. This is an aggregate access-burden estimand, not a moral ranking and not automatically a count of unique lifetime persons. Rights, vitality, cultural survival, prestige-domain value, and minimum-service principles are reported as separate decision lenses rather than hidden weights.</w:t>
      </w:r>
    </w:p>
    <w:p>
      <w:pPr>
        <w:widowControl/>
      </w:pPr>
      <w:r>
        <w:t>The study reports three versions of this same outcome. They differ in what the evidence identifies, not in whose need is valued.</w:t>
      </w:r>
    </w:p>
    <w:p>
      <w:pPr>
        <w:pStyle w:val="Heading2"/>
        <w:widowControl/>
      </w:pPr>
      <w:r>
        <w:t>4.2 L-C: direct conditional-chain identification</w:t>
      </w:r>
    </w:p>
    <w:p>
      <w:pPr>
        <w:widowControl/>
      </w:pPr>
      <w:r>
        <w:t>The strict lane accepts a product such as</w:t>
      </w:r>
    </w:p>
    <w:p>
      <w:pPr>
        <w:pStyle w:val="Equation"/>
        <w:widowControl/>
      </w:pPr>
      <m:oMathPara xmlns:a="http://schemas.openxmlformats.org/drawingml/2006/main" xmlns:pic="http://schemas.openxmlformats.org/drawingml/2006/picture">
        <m:oMathParaPr>
          <m:jc m:val="center"/>
        </m:oMathParaPr>
        <m:oMath>
          <m:sSub>
            <m:e>
              <m:r>
                <m:t>D</m:t>
              </m:r>
            </m:e>
            <m:sub>
              <m:r>
                <m:t>h</m:t>
              </m:r>
            </m:sub>
          </m:sSub>
          <m:r>
            <m:t>P</m:t>
          </m:r>
          <m:r>
            <m:rPr>
              <m:sty m:val="p"/>
            </m:rPr>
            <m:t>(</m:t>
          </m:r>
          <m:sSub>
            <m:e>
              <m:r>
                <m:t>E</m:t>
              </m:r>
            </m:e>
            <m:sub>
              <m:r>
                <m:t>1</m:t>
              </m:r>
            </m:sub>
          </m:sSub>
          <m:r>
            <m:rPr>
              <m:sty m:val="p"/>
            </m:rPr>
            <m:t>∣</m:t>
          </m:r>
          <m:r>
            <m:t>h</m:t>
          </m:r>
          <m:r>
            <m:rPr>
              <m:sty m:val="p"/>
            </m:rPr>
            <m:t>)</m:t>
          </m:r>
          <m:r>
            <m:t>P</m:t>
          </m:r>
          <m:r>
            <m:rPr>
              <m:sty m:val="p"/>
            </m:rPr>
            <m:t>(</m:t>
          </m:r>
          <m:sSub>
            <m:e>
              <m:r>
                <m:t>E</m:t>
              </m:r>
            </m:e>
            <m:sub>
              <m:r>
                <m:t>2</m:t>
              </m:r>
            </m:sub>
          </m:sSub>
          <m:r>
            <m:rPr>
              <m:sty m:val="p"/>
            </m:rPr>
            <m:t>∣</m:t>
          </m:r>
          <m:sSub>
            <m:e>
              <m:r>
                <m:t>E</m:t>
              </m:r>
            </m:e>
            <m:sub>
              <m:r>
                <m:t>1</m:t>
              </m:r>
            </m:sub>
          </m:sSub>
          <m:r>
            <m:rPr>
              <m:sty m:val="p"/>
            </m:rPr>
            <m:t>,</m:t>
          </m:r>
          <m:r>
            <m:t>h</m:t>
          </m:r>
          <m:r>
            <m:rPr>
              <m:sty m:val="p"/>
            </m:rPr>
            <m:t>)</m:t>
          </m:r>
          <m:r>
            <m:rPr>
              <m:sty m:val="p"/>
            </m:rPr>
            <m:t>⋯</m:t>
          </m:r>
          <m:r>
            <m:t>P</m:t>
          </m:r>
          <m:r>
            <m:rPr>
              <m:sty m:val="p"/>
            </m:rPr>
            <m:t>(</m:t>
          </m:r>
          <m:sSub>
            <m:e>
              <m:r>
                <m:t>Y</m:t>
              </m:r>
            </m:e>
            <m:sub>
              <m:r>
                <m:t>h</m:t>
              </m:r>
            </m:sub>
          </m:sSub>
          <m:r>
            <m:rPr>
              <m:sty m:val="p"/>
            </m:rPr>
            <m:t>∣</m:t>
          </m:r>
          <m:sSub>
            <m:e>
              <m:r>
                <m:t>E</m:t>
              </m:r>
            </m:e>
            <m:sub>
              <m:r>
                <m:t>k</m:t>
              </m:r>
              <m:r>
                <m:rPr>
                  <m:sty m:val="p"/>
                </m:rPr>
                <m:t>−</m:t>
              </m:r>
              <m:r>
                <m:t>1</m:t>
              </m:r>
            </m:sub>
          </m:sSub>
          <m:r>
            <m:rPr>
              <m:sty m:val="p"/>
            </m:rPr>
            <m:t>,</m:t>
          </m:r>
          <m:r>
            <m:rPr>
              <m:sty m:val="p"/>
            </m:rPr>
            <m:t>…</m:t>
          </m:r>
          <m:r>
            <m:rPr>
              <m:sty m:val="p"/>
            </m:rPr>
            <m:t>,</m:t>
          </m:r>
          <m:sSub>
            <m:e>
              <m:r>
                <m:t>E</m:t>
              </m:r>
            </m:e>
            <m:sub>
              <m:r>
                <m:t>1</m:t>
              </m:r>
            </m:sub>
          </m:sSub>
          <m:r>
            <m:rPr>
              <m:sty m:val="p"/>
            </m:rPr>
            <m:t>,</m:t>
          </m:r>
          <m:r>
            <m:t>h</m:t>
          </m:r>
          <m:r>
            <m:rPr>
              <m:sty m:val="p"/>
            </m:rPr>
            <m:t>)</m:t>
          </m:r>
        </m:oMath>
      </m:oMathPara>
    </w:p>
    <w:p>
      <w:pPr>
        <w:widowControl/>
      </w:pPr>
      <w:r>
        <w:t>only when every source supplies the required nested numerator, denominator, event identity, and immediate parent. This lane is useful for direct cohorts and genuine sequential filters. It rejects unrelated marginals and keeps the original executable safeguards.</w:t>
      </w:r>
    </w:p>
    <w:p>
      <w:pPr>
        <w:widowControl/>
      </w:pPr>
      <w:r>
        <w:t>The current evidence contains no globally complete L-C row. Learning shortfalls, nonattendance, language-of-instruction mismatch, lack of a usable resource, academic-language non-overlap, and delivery exclusion are usually overlapping mechanisms rather than a naturally nested sequence. Removing the conditionality checks merely to obtain 100 numbers would create fabricated precision. L-C therefore remains a high-evidence result and a validation benchmark, not the sole global ordering engine.</w:t>
      </w:r>
    </w:p>
    <w:p>
      <w:pPr>
        <w:pStyle w:val="Heading2"/>
        <w:widowControl/>
      </w:pPr>
      <w:r>
        <w:t>4.3 L-ID: assumption-light partial identification</w:t>
      </w:r>
    </w:p>
    <w:p>
      <w:pPr>
        <w:widowControl/>
      </w:pPr>
      <w:r>
        <w:t xml:space="preserve">Direct endpoint counts enter as direct burden observations and are not multiplied by missing component factors. Compatible component marginals yield Fréchet-Hoeffding union or intersection bounds; ecological or broader-cohort evidence does not enter an exact target without a declared transport relationship. For every target, cell bounds aggregate to </w:t>
      </w:r>
      <m:oMath xmlns:a="http://schemas.openxmlformats.org/drawingml/2006/main" xmlns:pic="http://schemas.openxmlformats.org/drawingml/2006/picture">
        <m:r>
          <m:rPr>
            <m:sty m:val="p"/>
          </m:rPr>
          <m:t>[</m:t>
        </m:r>
        <m:sSubSup>
          <m:e>
            <m:r>
              <m:t>U</m:t>
            </m:r>
          </m:e>
          <m:sub>
            <m:r>
              <m:t>l</m:t>
            </m:r>
          </m:sub>
          <m:sup>
            <m:r>
              <m:rPr>
                <m:sty m:val="p"/>
              </m:rPr>
              <m:t>−</m:t>
            </m:r>
          </m:sup>
        </m:sSubSup>
        <m:r>
          <m:rPr>
            <m:sty m:val="p"/>
          </m:rPr>
          <m:t>,</m:t>
        </m:r>
        <m:sSubSup>
          <m:e>
            <m:r>
              <m:t>U</m:t>
            </m:r>
          </m:e>
          <m:sub>
            <m:r>
              <m:t>l</m:t>
            </m:r>
          </m:sub>
          <m:sup>
            <m:r>
              <m:rPr>
                <m:sty m:val="p"/>
              </m:rPr>
              <m:t>+</m:t>
            </m:r>
          </m:sup>
        </m:sSubSup>
        <m:r>
          <m:rPr>
            <m:sty m:val="p"/>
          </m:rPr>
          <m:t>]</m:t>
        </m:r>
      </m:oMath>
      <w:r>
        <w:t>. Conservative rank bounds are</w:t>
      </w:r>
    </w:p>
    <w:p>
      <w:pPr>
        <w:pStyle w:val="Equation"/>
        <w:widowControl/>
      </w:pPr>
      <m:oMathPara xmlns:a="http://schemas.openxmlformats.org/drawingml/2006/main" xmlns:pic="http://schemas.openxmlformats.org/drawingml/2006/picture">
        <m:oMathParaPr>
          <m:jc m:val="center"/>
        </m:oMathParaPr>
        <m:oMath>
          <m:sSub>
            <m:e>
              <m:r>
                <m:rPr>
                  <m:sty m:val="p"/>
                </m:rPr>
                <m:t>best</m:t>
              </m:r>
            </m:e>
            <m:sub>
              <m:r>
                <m:t>l</m:t>
              </m:r>
            </m:sub>
          </m:sSub>
          <m:r>
            <m:rPr>
              <m:sty m:val="p"/>
            </m:rPr>
            <m:t>=</m:t>
          </m:r>
          <m:r>
            <m:t>1</m:t>
          </m:r>
          <m:r>
            <m:rPr>
              <m:sty m:val="p"/>
            </m:rPr>
            <m:t>+</m:t>
          </m:r>
          <m:r>
            <m:rPr>
              <m:sty m:val="p"/>
            </m:rPr>
            <m:t>#</m:t>
          </m:r>
          <m:r>
            <m:rPr>
              <m:sty m:val="p"/>
            </m:rPr>
            <m:t>{</m:t>
          </m:r>
          <m:r>
            <m:t>j</m:t>
          </m:r>
          <m:r>
            <m:rPr>
              <m:sty m:val="p"/>
            </m:rPr>
            <m:t>:</m:t>
          </m:r>
          <m:sSubSup>
            <m:e>
              <m:r>
                <m:t>U</m:t>
              </m:r>
            </m:e>
            <m:sub>
              <m:r>
                <m:t>j</m:t>
              </m:r>
            </m:sub>
            <m:sup>
              <m:r>
                <m:rPr>
                  <m:sty m:val="p"/>
                </m:rPr>
                <m:t>−</m:t>
              </m:r>
            </m:sup>
          </m:sSubSup>
          <m:r>
            <m:rPr>
              <m:sty m:val="p"/>
            </m:rPr>
            <m:t>&gt;</m:t>
          </m:r>
          <m:sSubSup>
            <m:e>
              <m:r>
                <m:t>U</m:t>
              </m:r>
            </m:e>
            <m:sub>
              <m:r>
                <m:t>l</m:t>
              </m:r>
            </m:sub>
            <m:sup>
              <m:r>
                <m:rPr>
                  <m:sty m:val="p"/>
                </m:rPr>
                <m:t>+</m:t>
              </m:r>
            </m:sup>
          </m:sSubSup>
          <m:r>
            <m:rPr>
              <m:sty m:val="p"/>
            </m:rPr>
            <m:t>}</m:t>
          </m:r>
          <m:r>
            <m:rPr>
              <m:sty m:val="p"/>
            </m:rPr>
            <m:t>,</m:t>
          </m:r>
        </m:oMath>
      </m:oMathPara>
    </w:p>
    <w:p>
      <w:pPr>
        <w:pStyle w:val="Equation"/>
        <w:widowControl/>
      </w:pPr>
      <m:oMathPara xmlns:a="http://schemas.openxmlformats.org/drawingml/2006/main" xmlns:pic="http://schemas.openxmlformats.org/drawingml/2006/picture">
        <m:oMathParaPr>
          <m:jc m:val="center"/>
        </m:oMathParaPr>
        <m:oMath>
          <m:sSub>
            <m:e>
              <m:r>
                <m:rPr>
                  <m:sty m:val="p"/>
                </m:rPr>
                <m:t>worst</m:t>
              </m:r>
            </m:e>
            <m:sub>
              <m:r>
                <m:t>l</m:t>
              </m:r>
            </m:sub>
          </m:sSub>
          <m:r>
            <m:rPr>
              <m:sty m:val="p"/>
            </m:rPr>
            <m:t>=</m:t>
          </m:r>
          <m:r>
            <m:t>n</m:t>
          </m:r>
          <m:r>
            <m:rPr>
              <m:sty m:val="p"/>
            </m:rPr>
            <m:t>−</m:t>
          </m:r>
          <m:r>
            <m:rPr>
              <m:sty m:val="p"/>
            </m:rPr>
            <m:t>#</m:t>
          </m:r>
          <m:r>
            <m:rPr>
              <m:sty m:val="p"/>
            </m:rPr>
            <m:t>{</m:t>
          </m:r>
          <m:r>
            <m:t>j</m:t>
          </m:r>
          <m:r>
            <m:rPr>
              <m:sty m:val="p"/>
            </m:rPr>
            <m:t>:</m:t>
          </m:r>
          <m:sSubSup>
            <m:e>
              <m:r>
                <m:t>U</m:t>
              </m:r>
            </m:e>
            <m:sub>
              <m:r>
                <m:t>j</m:t>
              </m:r>
            </m:sub>
            <m:sup>
              <m:r>
                <m:rPr>
                  <m:sty m:val="p"/>
                </m:rPr>
                <m:t>+</m:t>
              </m:r>
            </m:sup>
          </m:sSubSup>
          <m:r>
            <m:rPr>
              <m:sty m:val="p"/>
            </m:rPr>
            <m:t>&lt;</m:t>
          </m:r>
          <m:sSubSup>
            <m:e>
              <m:r>
                <m:t>U</m:t>
              </m:r>
            </m:e>
            <m:sub>
              <m:r>
                <m:t>l</m:t>
              </m:r>
            </m:sub>
            <m:sup>
              <m:r>
                <m:rPr>
                  <m:sty m:val="p"/>
                </m:rPr>
                <m:t>−</m:t>
              </m:r>
            </m:sup>
          </m:sSubSup>
          <m:r>
            <m:rPr>
              <m:sty m:val="p"/>
            </m:rPr>
            <m:t>}</m:t>
          </m:r>
          <m:r>
            <m:rPr>
              <m:sty m:val="p"/>
            </m:rPr>
            <m:t>.</m:t>
          </m:r>
        </m:oMath>
      </m:oMathPara>
    </w:p>
    <w:p>
      <w:pPr>
        <w:widowControl/>
      </w:pPr>
      <w:r>
        <w:t>The paper reports definite, possible, and outside Top-10/Top-100 membership under these bounds. Wide ties and overlapping rank sets are substantive findings about the evidence. They are not resolved through target names, region, evidence volume, or convenience.</w:t>
      </w:r>
    </w:p>
    <w:p>
      <w:pPr>
        <w:pStyle w:val="Heading2"/>
        <w:widowControl/>
      </w:pPr>
      <w:r>
        <w:t>4.4 L-M: common hierarchical model-conditional order</w:t>
      </w:r>
    </w:p>
    <w:p>
      <w:pPr>
        <w:widowControl/>
      </w:pPr>
      <w:r>
        <w:t xml:space="preserve">An ordered decision slate requires assumptions beyond the available direct cross-tabs. The reference model therefore treats </w:t>
      </w:r>
      <m:oMath xmlns:a="http://schemas.openxmlformats.org/drawingml/2006/main" xmlns:pic="http://schemas.openxmlformats.org/drawingml/2006/picture">
        <m:sSub>
          <m:e>
            <m:r>
              <m:t>θ</m:t>
            </m:r>
          </m:e>
          <m:sub>
            <m:r>
              <m:t>h</m:t>
            </m:r>
          </m:sub>
        </m:sSub>
      </m:oMath>
      <w:r>
        <w:t xml:space="preserve"> as a latent parameter and uses the same stage-by-endpoint likelihood families, hyperpriors, measurement models, transport rules, and missingness model for every exact target. Direct assessments, construct-aligned counts, curriculum measures, language-of-instruction evidence, resource-route coverage, academic-language assessments, and delivery measures enter through source-specific observation models with their sampling and measurement error. Shared surveys and denominators retain correlated uncertainty.</w:t>
      </w:r>
    </w:p>
    <w:p>
      <w:pPr>
        <w:widowControl/>
      </w:pPr>
      <w:r>
        <w:t xml:space="preserve">In the current executable v3 snapshot, many country learning and connectivity fields are transported as an explicitly labelled ecological proxy: the model averages the available country indicators for the target's country and does not claim a target-language or target-stage cross-tab. The complete rule is recorded in </w:t>
      </w:r>
      <w:r>
        <w:rPr>
          <w:rFonts w:ascii="Consolas" w:hAnsi="Consolas" w:eastAsia="Consolas" w:cs="Consolas"/>
          <w:color w:val="31465A"/>
          <w:sz w:val="21"/>
        </w:rPr>
        <w:t>structured/FACTOR_TRANSPORT_REGISTRY_v1.json</w:t>
      </w:r>
      <w:r>
        <w:t>. This transport supplies a model-conditional planning value only; the assumption-light L-ID result leaves the corresponding exact factor unidentified.</w:t>
      </w:r>
    </w:p>
    <w:p>
      <w:pPr>
        <w:widowControl/>
      </w:pPr>
      <w:r>
        <w:t xml:space="preserve">Target label, region, country-income class, prestige, official status, political status, evidence quantity, catalogue visibility, and project status are not predictors. Evidence tiers describe provenance and prior dependence; they do not change the prior mean or subtract from need. In the assumption-light L-ID lane, a blank observation remains unidentified and is not assigned zero or a midpoint. In the explicitly labelled L-M model-conditional lane, missing endpoint cells retain the preregistered common latent prior distribution; factor-level default values (for example, 0.5 for unresolved OER and accessibility, 0.4 for schooling-language and academic non-overlap, and 0.35 where no learning-context fields exist) are pinned in </w:t>
      </w:r>
      <w:r>
        <w:rPr>
          <w:rFonts w:ascii="Consolas" w:hAnsi="Consolas" w:eastAsia="Consolas" w:cs="Consolas"/>
          <w:color w:val="31465A"/>
          <w:sz w:val="21"/>
        </w:rPr>
        <w:t>structured/FACTOR_TRANSPORT_REGISTRY_v1.json</w:t>
      </w:r>
      <w:r>
        <w:t xml:space="preserve"> and are modelling assumptions, not observed values. A territorial ceiling constrains a latent membership share but is not relabelled as a reader count.</w:t>
      </w:r>
    </w:p>
    <w:p>
      <w:pPr>
        <w:widowControl/>
      </w:pPr>
      <w:r>
        <w:t xml:space="preserve">All target burdens and ranks are calculated jointly in each draw. The model-conditional Top K selects the K largest posterior expected burdens; exact ties crossing the boundary produce the complete tie set rather than an arbitrary target-ID order. For each of the 204 rankable person targets, the L-M output reports posterior mean, median, P05/P95 burden, L-ID bounds/status, model rank, Top-10 and Top-100 inclusion probabilities, evidence tier, and model status. The 2 exact stage-opportunity targets report model-conditional burden fields in their separate lane but no person-order rank or Top-K probability; the 871 unranked/context targets retain identity, source/authorization, and explicit status while rank/posterior fields remain blank. The persisted v3 sensitivity outputs report rank changes across four paired common-prior families and seven factor-removal/reference scenarios. This output is labelled a </w:t>
      </w:r>
      <w:r>
        <w:rPr>
          <w:rFonts w:ascii="Calibri" w:hAnsi="Calibri" w:eastAsia="Calibri" w:cs="Calibri"/>
          <w:b/>
        </w:rPr>
        <w:t>model-conditional expected-need decision order</w:t>
      </w:r>
      <w:r>
        <w:t>, not a table of directly measured global facts (Manski, 2003; Imbens &amp; Manski, 2004; Gelman et al., 2013; Little &amp; Rubin, 2019).</w:t>
      </w:r>
    </w:p>
    <w:p>
      <w:pPr>
        <w:pStyle w:val="Heading2"/>
        <w:widowControl/>
      </w:pPr>
      <w:r>
        <w:t>4.5 Package-specific access gain</w:t>
      </w:r>
    </w:p>
    <w:p>
      <w:pPr>
        <w:widowControl/>
      </w:pPr>
      <w:r>
        <w:t xml:space="preserve">For candidate package </w:t>
      </w:r>
      <m:oMath xmlns:a="http://schemas.openxmlformats.org/drawingml/2006/main" xmlns:pic="http://schemas.openxmlformats.org/drawingml/2006/picture">
        <m:r>
          <m:t>c</m:t>
        </m:r>
      </m:oMath>
      <w:r>
        <w:t xml:space="preserve">, standardized horizon </w:t>
      </w:r>
      <m:oMath xmlns:a="http://schemas.openxmlformats.org/drawingml/2006/main" xmlns:pic="http://schemas.openxmlformats.org/drawingml/2006/picture">
        <m:r>
          <m:t>H</m:t>
        </m:r>
      </m:oMath>
      <w:r>
        <w:t xml:space="preserve">, and stratum </w:t>
      </w:r>
      <m:oMath xmlns:a="http://schemas.openxmlformats.org/drawingml/2006/main" xmlns:pic="http://schemas.openxmlformats.org/drawingml/2006/picture">
        <m:r>
          <m:t>g</m:t>
        </m:r>
      </m:oMath>
      <w:r>
        <w:t>:</w:t>
      </w:r>
    </w:p>
    <w:p>
      <w:pPr>
        <w:pStyle w:val="Equation"/>
        <w:widowControl/>
      </w:pPr>
      <m:oMathPara xmlns:a="http://schemas.openxmlformats.org/drawingml/2006/main" xmlns:pic="http://schemas.openxmlformats.org/drawingml/2006/picture">
        <m:oMathParaPr>
          <m:jc m:val="center"/>
        </m:oMathParaPr>
        <m:oMath>
          <m:r>
            <m:t>G</m:t>
          </m:r>
          <m:r>
            <m:rPr>
              <m:sty m:val="p"/>
            </m:rPr>
            <m:t>(</m:t>
          </m:r>
          <m:r>
            <m:t>c</m:t>
          </m:r>
          <m:r>
            <m:rPr>
              <m:sty m:val="p"/>
            </m:rPr>
            <m:t>)</m:t>
          </m:r>
          <m:r>
            <m:rPr>
              <m:sty m:val="p"/>
            </m:rPr>
            <m:t>=</m:t>
          </m:r>
          <m:nary>
            <m:naryPr>
              <m:chr m:val="∑"/>
              <m:limLoc m:val="undOvr"/>
              <m:subHide m:val="off"/>
              <m:supHide m:val="on"/>
            </m:naryPr>
            <m:sub>
              <m:r>
                <m:t>g</m:t>
              </m:r>
            </m:sub>
            <m:sup>
              <m:r>
                <m:t>​</m:t>
              </m:r>
            </m:sup>
            <m:e>
              <m:r>
                <m:t>P</m:t>
              </m:r>
            </m:e>
          </m:nary>
          <m:r>
            <m:rPr>
              <m:sty m:val="p"/>
            </m:rPr>
            <m:t>(</m:t>
          </m:r>
          <m:r>
            <m:t>g</m:t>
          </m:r>
          <m:r>
            <m:rPr>
              <m:sty m:val="p"/>
            </m:rPr>
            <m:t>)</m:t>
          </m:r>
          <m:r>
            <m:t> </m:t>
          </m:r>
          <m:r>
            <m:t>E</m:t>
          </m:r>
          <m:d>
            <m:dPr>
              <m:begChr m:val="["/>
              <m:sepChr m:val=""/>
              <m:endChr m:val="]"/>
              <m:grow/>
            </m:dPr>
            <m:e>
              <m:r>
                <m:t>N</m:t>
              </m:r>
              <m:r>
                <m:rPr>
                  <m:sty m:val="p"/>
                </m:rPr>
                <m:t>(</m:t>
              </m:r>
              <m:r>
                <m:t>i</m:t>
              </m:r>
              <m:r>
                <m:rPr>
                  <m:sty m:val="p"/>
                </m:rPr>
                <m:t>)</m:t>
              </m:r>
              <m:r>
                <m:rPr>
                  <m:sty m:val="p"/>
                </m:rPr>
                <m:t>{</m:t>
              </m:r>
              <m:sSub>
                <m:e>
                  <m:r>
                    <m:t>A</m:t>
                  </m:r>
                </m:e>
                <m:sub>
                  <m:r>
                    <m:t>c</m:t>
                  </m:r>
                </m:sub>
              </m:sSub>
              <m:r>
                <m:rPr>
                  <m:sty m:val="p"/>
                </m:rPr>
                <m:t>(</m:t>
              </m:r>
              <m:r>
                <m:t>i</m:t>
              </m:r>
              <m:r>
                <m:rPr>
                  <m:sty m:val="p"/>
                </m:rPr>
                <m:t>,</m:t>
              </m:r>
              <m:r>
                <m:t>H</m:t>
              </m:r>
              <m:r>
                <m:rPr>
                  <m:sty m:val="p"/>
                </m:rPr>
                <m:t>)</m:t>
              </m:r>
              <m:r>
                <m:rPr>
                  <m:sty m:val="p"/>
                </m:rPr>
                <m:t>−</m:t>
              </m:r>
              <m:sSub>
                <m:e>
                  <m:r>
                    <m:t>A</m:t>
                  </m:r>
                </m:e>
                <m:sub>
                  <m:r>
                    <m:t>0</m:t>
                  </m:r>
                </m:sub>
              </m:sSub>
              <m:r>
                <m:rPr>
                  <m:sty m:val="p"/>
                </m:rPr>
                <m:t>(</m:t>
              </m:r>
              <m:r>
                <m:t>i</m:t>
              </m:r>
              <m:r>
                <m:rPr>
                  <m:sty m:val="p"/>
                </m:rPr>
                <m:t>,</m:t>
              </m:r>
              <m:r>
                <m:t>H</m:t>
              </m:r>
              <m:r>
                <m:rPr>
                  <m:sty m:val="p"/>
                </m:rPr>
                <m:t>)</m:t>
              </m:r>
              <m:r>
                <m:rPr>
                  <m:sty m:val="p"/>
                </m:rPr>
                <m:t>}</m:t>
              </m:r>
              <m:r>
                <m:rPr>
                  <m:sty m:val="p"/>
                </m:rPr>
                <m:t>∣</m:t>
              </m:r>
              <m:r>
                <m:t>g</m:t>
              </m:r>
            </m:e>
          </m:d>
          <m:r>
            <m:rPr>
              <m:sty m:val="p"/>
            </m:rPr>
            <m:t>.</m:t>
          </m:r>
        </m:oMath>
      </m:oMathPara>
    </w:p>
    <w:p>
      <w:pPr>
        <w:widowControl/>
      </w:pPr>
      <m:oMath xmlns:a="http://schemas.openxmlformats.org/drawingml/2006/main" xmlns:pic="http://schemas.openxmlformats.org/drawingml/2006/picture">
        <m:r>
          <m:t>N</m:t>
        </m:r>
        <m:r>
          <m:rPr>
            <m:sty m:val="p"/>
          </m:rPr>
          <m:t>(</m:t>
        </m:r>
        <m:r>
          <m:t>i</m:t>
        </m:r>
        <m:r>
          <m:rPr>
            <m:sty m:val="p"/>
          </m:rPr>
          <m:t>)</m:t>
        </m:r>
      </m:oMath>
      <w:r>
        <w:t xml:space="preserve"> is a prespecified binary need event or bounded severity measure. </w:t>
      </w:r>
      <m:oMath xmlns:a="http://schemas.openxmlformats.org/drawingml/2006/main" xmlns:pic="http://schemas.openxmlformats.org/drawingml/2006/picture">
        <m:sSub>
          <m:e>
            <m:r>
              <m:t>A</m:t>
            </m:r>
          </m:e>
          <m:sub>
            <m:r>
              <m:t>0</m:t>
            </m:r>
          </m:sub>
        </m:sSub>
      </m:oMath>
      <w:r>
        <w:t xml:space="preserve"> and </w:t>
      </w:r>
      <m:oMath xmlns:a="http://schemas.openxmlformats.org/drawingml/2006/main" xmlns:pic="http://schemas.openxmlformats.org/drawingml/2006/picture">
        <m:sSub>
          <m:e>
            <m:r>
              <m:t>A</m:t>
            </m:r>
          </m:e>
          <m:sub>
            <m:r>
              <m:t>c</m:t>
            </m:r>
          </m:sub>
        </m:sSub>
      </m:oMath>
      <w:r>
        <w:t xml:space="preserve"> are baseline and supplied-package functional access under the same endpoint. Access gain may differ across worked examples, definition-heavy prose, proof prose, word problems, laboratory instructions, or research reference use. A language’s need rank cannot be changed by proposing more packages.</w:t>
      </w:r>
    </w:p>
    <w:p>
      <w:pPr>
        <w:pStyle w:val="Heading2"/>
        <w:widowControl/>
      </w:pPr>
      <w:r>
        <w:t>4.6 Standardized new-compute efficiency</w:t>
      </w:r>
    </w:p>
    <w:p>
      <w:pPr>
        <w:widowControl/>
      </w:pPr>
      <w:r>
        <w:t xml:space="preserve">For a fixed package </w:t>
      </w:r>
      <m:oMath xmlns:a="http://schemas.openxmlformats.org/drawingml/2006/main" xmlns:pic="http://schemas.openxmlformats.org/drawingml/2006/picture">
        <m:r>
          <m:t>p</m:t>
        </m:r>
      </m:oMath>
      <w:r>
        <w:t xml:space="preserve"> and delivery branch </w:t>
      </w:r>
      <m:oMath xmlns:a="http://schemas.openxmlformats.org/drawingml/2006/main" xmlns:pic="http://schemas.openxmlformats.org/drawingml/2006/picture">
        <m:r>
          <m:t>f</m:t>
        </m:r>
      </m:oMath>
      <w:r>
        <w:t>:</w:t>
      </w:r>
    </w:p>
    <w:p>
      <w:pPr>
        <w:pStyle w:val="Equation"/>
        <w:widowControl/>
      </w:pPr>
      <m:oMathPara xmlns:a="http://schemas.openxmlformats.org/drawingml/2006/main" xmlns:pic="http://schemas.openxmlformats.org/drawingml/2006/picture">
        <m:oMathParaPr>
          <m:jc m:val="center"/>
        </m:oMathParaPr>
        <m:oMath>
          <m:r>
            <m:t>E</m:t>
          </m:r>
          <m:r>
            <m:rPr>
              <m:sty m:val="p"/>
            </m:rPr>
            <m:t>(</m:t>
          </m:r>
          <m:r>
            <m:t>c</m:t>
          </m:r>
          <m:r>
            <m:rPr>
              <m:sty m:val="p"/>
            </m:rPr>
            <m:t>,</m:t>
          </m:r>
          <m:r>
            <m:t>p</m:t>
          </m:r>
          <m:r>
            <m:rPr>
              <m:sty m:val="p"/>
            </m:rPr>
            <m:t>,</m:t>
          </m:r>
          <m:r>
            <m:t>f</m:t>
          </m:r>
          <m:r>
            <m:rPr>
              <m:sty m:val="p"/>
            </m:rPr>
            <m:t>)</m:t>
          </m:r>
          <m:r>
            <m:rPr>
              <m:sty m:val="p"/>
            </m:rPr>
            <m:t>=</m:t>
          </m:r>
          <m:f>
            <m:fPr>
              <m:type m:val="bar"/>
            </m:fPr>
            <m:num>
              <m:r>
                <m:t>G</m:t>
              </m:r>
              <m:r>
                <m:rPr>
                  <m:sty m:val="p"/>
                </m:rPr>
                <m:t>(</m:t>
              </m:r>
              <m:r>
                <m:t>c</m:t>
              </m:r>
              <m:r>
                <m:rPr>
                  <m:sty m:val="p"/>
                </m:rPr>
                <m:t>,</m:t>
              </m:r>
              <m:r>
                <m:t>p</m:t>
              </m:r>
              <m:r>
                <m:rPr>
                  <m:sty m:val="p"/>
                </m:rPr>
                <m:t>,</m:t>
              </m:r>
              <m:r>
                <m:t>f</m:t>
              </m:r>
              <m:r>
                <m:rPr>
                  <m:sty m:val="p"/>
                </m:rPr>
                <m:t>)</m:t>
              </m:r>
            </m:num>
            <m:den>
              <m:sSub>
                <m:e>
                  <m:r>
                    <m:t>C</m:t>
                  </m:r>
                </m:e>
                <m:sub>
                  <m:r>
                    <m:rPr>
                      <m:nor/>
                      <m:sty m:val="p"/>
                    </m:rPr>
                    <m:t>new</m:t>
                  </m:r>
                </m:sub>
              </m:sSub>
              <m:r>
                <m:rPr>
                  <m:sty m:val="p"/>
                </m:rPr>
                <m:t>(</m:t>
              </m:r>
              <m:r>
                <m:t>c</m:t>
              </m:r>
              <m:r>
                <m:rPr>
                  <m:sty m:val="p"/>
                </m:rPr>
                <m:t>,</m:t>
              </m:r>
              <m:r>
                <m:t>p</m:t>
              </m:r>
              <m:r>
                <m:rPr>
                  <m:sty m:val="p"/>
                </m:rPr>
                <m:t>,</m:t>
              </m:r>
              <m:r>
                <m:t>f</m:t>
              </m:r>
              <m:r>
                <m:rPr>
                  <m:sty m:val="p"/>
                </m:rPr>
                <m:t>)</m:t>
              </m:r>
            </m:den>
          </m:f>
          <m:r>
            <m:rPr>
              <m:sty m:val="p"/>
            </m:rPr>
            <m:t>.</m:t>
          </m:r>
        </m:oMath>
      </m:oMathPara>
    </w:p>
    <w:p>
      <w:pPr>
        <w:widowControl/>
      </w:pPr>
      <m:oMath xmlns:a="http://schemas.openxmlformats.org/drawingml/2006/main" xmlns:pic="http://schemas.openxmlformats.org/drawingml/2006/picture">
        <m:sSub>
          <m:e>
            <m:r>
              <m:t>C</m:t>
            </m:r>
          </m:e>
          <m:sub>
            <m:r>
              <m:rPr>
                <m:nor/>
                <m:sty m:val="p"/>
              </m:rPr>
              <m:t>new</m:t>
            </m:r>
          </m:sub>
        </m:sSub>
      </m:oMath>
      <w:r>
        <w:t xml:space="preserve"> is a standardized from-scratch fresh-equivalent compute estimate. It may depend on public, prospective production features: source size, target expansion under a pinned tokenizer, script and segmentation behavior, terminology density, formula and table density, diagrams, modality, accessibility branches, independent model-audit passes, deterministic QA, and rendering. Cached gross token counters are not converted directly into money, and prior completion or reusable local infrastructure is not an input.</w:t>
      </w:r>
    </w:p>
    <w:p>
      <w:pPr>
        <w:widowControl/>
      </w:pPr>
      <w:r>
        <w:t xml:space="preserve">The executable v3 comparison cannot identify </w:t>
      </w:r>
      <m:oMath xmlns:a="http://schemas.openxmlformats.org/drawingml/2006/main" xmlns:pic="http://schemas.openxmlformats.org/drawingml/2006/picture">
        <m:r>
          <m:t>G</m:t>
        </m:r>
      </m:oMath>
      <w:r>
        <w:t xml:space="preserve"> because no common causal effect of supplying the fixed package has been observed across the target populations. Its published </w:t>
      </w:r>
      <w:r>
        <w:rPr>
          <w:rFonts w:ascii="Consolas" w:hAnsi="Consolas" w:eastAsia="Consolas" w:cs="Consolas"/>
          <w:color w:val="31465A"/>
          <w:sz w:val="21"/>
        </w:rPr>
        <w:t>access_gain_per_compute_median</w:t>
      </w:r>
      <w:r>
        <w:t xml:space="preserve"> field is therefore a legacy field name for the explicitly model-conditional proxy </w:t>
      </w:r>
      <m:oMath xmlns:a="http://schemas.openxmlformats.org/drawingml/2006/main" xmlns:pic="http://schemas.openxmlformats.org/drawingml/2006/picture">
        <m:sSub>
          <m:e>
            <m:r>
              <m:t>U</m:t>
            </m:r>
          </m:e>
          <m:sub>
            <m:r>
              <m:t>l</m:t>
            </m:r>
          </m:sub>
        </m:sSub>
        <m:r>
          <m:rPr>
            <m:sty m:val="p"/>
          </m:rPr>
          <m:t>/</m:t>
        </m:r>
        <m:sSub>
          <m:e>
            <m:r>
              <m:t>C</m:t>
            </m:r>
          </m:e>
          <m:sub>
            <m:r>
              <m:rPr>
                <m:nor/>
                <m:sty m:val="p"/>
              </m:rPr>
              <m:t>new</m:t>
            </m:r>
          </m:sub>
        </m:sSub>
      </m:oMath>
      <w:r>
        <w:t xml:space="preserve">: unmet-need equivalent per standardized compute. It can compare planning envelopes while package effects remain unknown, but it must not be interpreted as observed learners helped, causal educational gain, or money saved. A later package-specific evaluation can replace </w:t>
      </w:r>
      <m:oMath xmlns:a="http://schemas.openxmlformats.org/drawingml/2006/main" xmlns:pic="http://schemas.openxmlformats.org/drawingml/2006/picture">
        <m:sSub>
          <m:e>
            <m:r>
              <m:t>U</m:t>
            </m:r>
          </m:e>
          <m:sub>
            <m:r>
              <m:t>l</m:t>
            </m:r>
          </m:sub>
        </m:sSub>
      </m:oMath>
      <w:r>
        <w:t xml:space="preserve"> with a source-supported </w:t>
      </w:r>
      <m:oMath xmlns:a="http://schemas.openxmlformats.org/drawingml/2006/main" xmlns:pic="http://schemas.openxmlformats.org/drawingml/2006/picture">
        <m:r>
          <m:t>G</m:t>
        </m:r>
        <m:r>
          <m:rPr>
            <m:sty m:val="p"/>
          </m:rPr>
          <m:t>(</m:t>
        </m:r>
        <m:r>
          <m:t>c</m:t>
        </m:r>
        <m:r>
          <m:rPr>
            <m:sty m:val="p"/>
          </m:rPr>
          <m:t>,</m:t>
        </m:r>
        <m:r>
          <m:t>p</m:t>
        </m:r>
        <m:r>
          <m:rPr>
            <m:sty m:val="p"/>
          </m:rPr>
          <m:t>,</m:t>
        </m:r>
        <m:r>
          <m:t>f</m:t>
        </m:r>
        <m:r>
          <m:rPr>
            <m:sty m:val="p"/>
          </m:rPr>
          <m:t>)</m:t>
        </m:r>
      </m:oMath>
      <w:r>
        <w:t xml:space="preserve"> without changing the needs-only order.</w:t>
      </w:r>
    </w:p>
    <w:p>
      <w:pPr>
        <w:widowControl/>
      </w:pPr>
      <w:r>
        <w:t xml:space="preserve">Compute evidence is classified on two axes. A </w:t>
      </w:r>
      <w:r>
        <w:rPr>
          <w:rFonts w:ascii="Calibri" w:hAnsi="Calibri" w:eastAsia="Calibri" w:cs="Calibri"/>
          <w:b/>
        </w:rPr>
        <w:t>profile-input class</w:t>
      </w:r>
      <w:r>
        <w:t xml:space="preserve"> states whether the target representation itself has a directly aligned tokenizer measurement, a proved partial-identification set, a model-conditional prediction, no usable profile, or a mode for which written tokenization is inapplicable. A separate </w:t>
      </w:r>
      <w:r>
        <w:rPr>
          <w:rFonts w:ascii="Calibri" w:hAnsi="Calibri" w:eastAsia="Calibri" w:cs="Calibri"/>
          <w:b/>
        </w:rPr>
        <w:t>total-cost class</w:t>
      </w:r>
      <w:r>
        <w:t xml:space="preserve"> states whether the entire standardized workflow cost was directly observed, partially identified by valid component bounds, or generated under a declared planning or predictive model. Direct measurement of a token-expansion ratio does not make an end-to-end translation, checking, accessibility, rendering, and packaging workload directly measured.</w:t>
      </w:r>
    </w:p>
    <w:p>
      <w:pPr>
        <w:widowControl/>
      </w:pPr>
      <w:r>
        <w:t xml:space="preserve">The current benchmark contains 203 non-English FLORES language-script profiles measured against one pinned corpus and tokenizer protocol. It contains zero directly executed end-to-end standardized package costs and zero total-cost rows with valid mathematical lower and upper bounds. Its 3,654 profile/canon/package totals combine a direct representation anchor with declared process scenarios and are therefore </w:t>
      </w:r>
      <w:r>
        <w:rPr>
          <w:rFonts w:ascii="Calibri" w:hAnsi="Calibri" w:eastAsia="Calibri" w:cs="Calibri"/>
          <w:b/>
        </w:rPr>
        <w:t>measurement-anchored, model-conditional planning estimates</w:t>
      </w:r>
      <w:r>
        <w:t>. The 18 cross-language p10/p50/p90 envelope cases are sensitivity controls, not target estimates or bounds. They receive no target key and cannot enter a point order.</w:t>
      </w:r>
    </w:p>
    <w:p>
      <w:pPr>
        <w:widowControl/>
      </w:pPr>
      <w:r>
        <w:t>Every final target receives exactly one profile-binding status. Exact variety, script or orthography, mode, and representation scope must match a pinned measurement row; a neighbouring language, macrolanguage, different script, or generic envelope cannot be substituted. Targets without an exact direct profile remain explicitly unavailable in the direct-profile subset. A complete model-conditional compute order may include them only through one frozen predictive protocol applied to the entire roster, with target labels, population, need, region, income, prestige, evidence quantity, local work, and project state excluded from the cost predictors. Predictive intervals remain predictive rather than being relabelled as bounds.</w:t>
      </w:r>
    </w:p>
    <w:p>
      <w:pPr>
        <w:widowControl/>
      </w:pPr>
      <w:r>
        <w:t>The compute order compares only interventions with a common benefit unit and complete common uncertainty draws. Partial favorable draws cannot create point ranks. Accessibility, audio, and signed-video branches have distinct production factors rather than being treated as free by-products of plain text.</w:t>
      </w:r>
    </w:p>
    <w:p>
      <w:pPr>
        <w:pStyle w:val="Heading2"/>
        <w:widowControl/>
      </w:pPr>
      <w:r>
        <w:t>4.7 Missing data, sensitivity, and value of information</w:t>
      </w:r>
    </w:p>
    <w:p>
      <w:pPr>
        <w:widowControl/>
      </w:pPr>
      <w:r>
        <w:t>Each empirical value has low, base, and high fields, source, denominator, reference year, geography, measure class, and confidence. Missing base values are not imputed with zero or a midpoint. In L-ID, interval-only candidates receive rank bounds but no point rank; in L-M, the same interval is sampled under the stated triangular model to produce a model-conditional point order while the raw interval remains visible. Candidates with no defensible interval remain visible in a data-priority lane.</w:t>
      </w:r>
    </w:p>
    <w:p>
      <w:pPr>
        <w:widowControl/>
      </w:pPr>
      <w:r>
        <w:t>The persisted v3 sensitivity outputs contain four paired common-prior families (816 rows) and seven factor-removal/reference scenarios (1,428 rows) over the 204 person targets. The release also publishes a target-level min/max-rank summary and scenario rank correlations. These analyses do not resolve missing target-specific factors; they show which conclusions are stable under the declared common-prior perturbations. A candidate is described as robust or definitely within a Top-K only when those claims follow from the supplied universe and uncertainty model.</w:t>
      </w:r>
    </w:p>
    <w:p>
      <w:pPr>
        <w:widowControl/>
      </w:pPr>
      <w:r>
        <w:t xml:space="preserve">The specification defines a value-of-information (VOI) evidence-acquisition schema/skeleton; its synthetic fixture is explicitly </w:t>
      </w:r>
      <w:r>
        <w:rPr>
          <w:rFonts w:ascii="Consolas" w:hAnsi="Consolas" w:eastAsia="Consolas" w:cs="Consolas"/>
          <w:color w:val="31465A"/>
          <w:sz w:val="21"/>
        </w:rPr>
        <w:t>SKELETON_NOT_COMPUTED_REQUIRES_PROSPECTIVE_DESIGN</w:t>
      </w:r>
      <w:r>
        <w:t>, and no production VOI table is present in this v3 snapshot. This report therefore makes no claim that missing measurements have been ranked by expected regret, set uncertainty, or rank-interval reduction. A computed VOI order remains a prospective next artifact and would not rank people or languages.</w:t>
      </w:r>
    </w:p>
    <w:p>
      <w:pPr>
        <w:pStyle w:val="Heading1"/>
        <w:widowControl/>
      </w:pPr>
      <w:r>
        <w:t>5. Equal-treatment safeguards</w:t>
      </w:r>
    </w:p>
    <w:p>
      <w:pPr>
        <w:widowControl/>
      </w:pPr>
      <w:r>
        <w:t>The executable implementation rejects the following cases before any empirical rank is produced:</w:t>
      </w:r>
    </w:p>
    <w:p>
      <w:pPr>
        <w:pStyle w:val="ProposalList"/>
        <w:widowControl/>
        <w:numPr>
          <w:ilvl w:val="0"/>
          <w:numId w:val="13"/>
        </w:numPr>
      </w:pPr>
      <w:r>
        <w:t>a structural-zero or insufficient-evidence row carrying a conflicting positive score;</w:t>
      </w:r>
    </w:p>
    <w:p>
      <w:pPr>
        <w:pStyle w:val="ProposalList"/>
        <w:widowControl/>
        <w:numPr>
          <w:ilvl w:val="0"/>
          <w:numId w:val="13"/>
        </w:numPr>
      </w:pPr>
      <w:r>
        <w:t>repeated population source and denominator identities presented as additive cells, even when the estimates differ;</w:t>
      </w:r>
    </w:p>
    <w:p>
      <w:pPr>
        <w:pStyle w:val="ProposalList"/>
        <w:widowControl/>
        <w:numPr>
          <w:ilvl w:val="0"/>
          <w:numId w:val="13"/>
        </w:numPr>
      </w:pPr>
      <w:r>
        <w:t>duplicate event identifiers, self-conditioning, or cycles;</w:t>
      </w:r>
    </w:p>
    <w:p>
      <w:pPr>
        <w:pStyle w:val="ProposalList"/>
        <w:widowControl/>
        <w:numPr>
          <w:ilvl w:val="0"/>
          <w:numId w:val="13"/>
        </w:numPr>
      </w:pPr>
      <w:r>
        <w:t>marginal factors labeled as conditional without numerator, denominator, and parent-event evidence;</w:t>
      </w:r>
    </w:p>
    <w:p>
      <w:pPr>
        <w:pStyle w:val="ProposalList"/>
        <w:widowControl/>
        <w:numPr>
          <w:ilvl w:val="0"/>
          <w:numId w:val="13"/>
        </w:numPr>
      </w:pPr>
      <w:r>
        <w:t>different need chains summed into one language target;</w:t>
      </w:r>
    </w:p>
    <w:p>
      <w:pPr>
        <w:pStyle w:val="ProposalList"/>
        <w:widowControl/>
        <w:numPr>
          <w:ilvl w:val="0"/>
          <w:numId w:val="13"/>
        </w:numPr>
      </w:pPr>
      <w:r>
        <w:t>persons and learner-years placed in one competition without a versioned conversion;</w:t>
      </w:r>
    </w:p>
    <w:p>
      <w:pPr>
        <w:pStyle w:val="ProposalList"/>
        <w:widowControl/>
        <w:numPr>
          <w:ilvl w:val="0"/>
          <w:numId w:val="13"/>
        </w:numPr>
      </w:pPr>
      <w:r>
        <w:t>a resource-gap scalar not derived from the exact verified audit bytes;</w:t>
      </w:r>
    </w:p>
    <w:p>
      <w:pPr>
        <w:pStyle w:val="ProposalList"/>
        <w:widowControl/>
        <w:numPr>
          <w:ilvl w:val="0"/>
          <w:numId w:val="13"/>
        </w:numPr>
      </w:pPr>
      <w:r>
        <w:t>a compute value not reproduced from the closed registry and exact normalized inputs;</w:t>
      </w:r>
    </w:p>
    <w:p>
      <w:pPr>
        <w:pStyle w:val="ProposalList"/>
        <w:widowControl/>
        <w:numPr>
          <w:ilvl w:val="0"/>
          <w:numId w:val="13"/>
        </w:numPr>
      </w:pPr>
      <w:r>
        <w:t>incomplete joint gain or compute draws used for a point rank;</w:t>
      </w:r>
    </w:p>
    <w:p>
      <w:pPr>
        <w:pStyle w:val="ProposalList"/>
        <w:widowControl/>
        <w:numPr>
          <w:ilvl w:val="0"/>
          <w:numId w:val="13"/>
        </w:numPr>
      </w:pPr>
      <w:r>
        <w:t>qualitative beneficiary overlap presented as a quantified portfolio gain;</w:t>
      </w:r>
    </w:p>
    <w:p>
      <w:pPr>
        <w:pStyle w:val="ProposalList"/>
        <w:widowControl/>
        <w:numPr>
          <w:ilvl w:val="0"/>
          <w:numId w:val="13"/>
        </w:numPr>
      </w:pPr>
      <w:r>
        <w:t>project status, local holdings, prior translation completion, sunk compute, national income, prestige, region, or demographic quotas entering the model; and</w:t>
      </w:r>
    </w:p>
    <w:p>
      <w:pPr>
        <w:pStyle w:val="ProposalList"/>
        <w:widowControl/>
        <w:numPr>
          <w:ilvl w:val="0"/>
          <w:numId w:val="13"/>
        </w:numPr>
      </w:pPr>
      <w:r>
        <w:t>unresolved targets or missing evidence silently disappearing from the universe.</w:t>
      </w:r>
    </w:p>
    <w:p>
      <w:pPr>
        <w:widowControl/>
      </w:pPr>
      <w:r>
        <w:t>These controls create procedural equality, but procedural equality alone is insufficient. Target granularity, evidence availability, census definitions, and ecological proxies can still affect who is measurable. The study therefore publishes the ranked and unranked universes together and audits every macro/child, spoken/written, script, territory, and stage relation.</w:t>
      </w:r>
    </w:p>
    <w:p>
      <w:pPr>
        <w:pStyle w:val="Heading1"/>
        <w:widowControl/>
      </w:pPr>
      <w:r>
        <w:t>6. Results: inclusion first, then comparable orders</w:t>
      </w:r>
    </w:p>
    <w:p>
      <w:pPr>
        <w:pStyle w:val="Heading2"/>
        <w:widowControl/>
      </w:pPr>
      <w:r>
        <w:t>6.1 What the global sweep contains</w:t>
      </w:r>
    </w:p>
    <w:p>
      <w:pPr>
        <w:widowControl/>
      </w:pPr>
      <w:r>
        <w:t>The evidence freeze represents 1,077 exact, unresolved, regional, and intervention authority targets. Of these, 204 exact targets have source-authorized person denominators and enter the direct-person model; 2 targets enter a separate stage-opportunity order; and 871 remain explicitly unranked or contextual. Among the unranked rows, 775 lack a source-bounded person denominator. The public-safe score table leaves those population and score fields empty rather than displaying a synthetic country or world ceiling.</w:t>
      </w:r>
    </w:p>
    <w:p>
      <w:pPr>
        <w:widowControl/>
      </w:pPr>
      <w:r>
        <w:t>The high-consequence sentinel audit contains 145 checks: 136 have an exact target, 1 has only a broader base-language target, 6 have a context stratum but no exact edition target, and 2 remain missing. The two unresolved exact-target gaps are Algerian Amazigh varieties and Hmong varieties; neither receives a fabricated unified language identity or population. The context-only checks include major English and French education-language contexts that need exact comfort, stage, and resource endpoints before they can be compared.</w:t>
      </w:r>
    </w:p>
    <w:p>
      <w:pPr>
        <w:widowControl/>
      </w:pPr>
      <w:r>
        <w:t>This is a global gap map, not an assertion that all human languages have been observed. Its release condition is narrower and operational: no known high-consequence population is allowed to disappear merely because its available measure is incompatible with a speaker rank. Every such case must appear as a direct row, stage cohort, context/value-of-information row, structural portfolio, or named evidence gap.</w:t>
      </w:r>
    </w:p>
    <w:p>
      <w:pPr>
        <w:pStyle w:val="Heading2"/>
        <w:widowControl/>
      </w:pPr>
      <w:r>
        <w:t>6.2 Direct-person comparable order</w:t>
      </w:r>
    </w:p>
    <w:p>
      <w:pPr>
        <w:widowControl/>
      </w:pPr>
      <w:r>
        <w:t>The reference L-M order contains 204 source-authorized person-language targets. The table below shows the first ten; Appendix A prints all 100 leading rows. Of the Top 100, 89 have point constructs and 11 retain non-degenerate source intervals. A point constructed from a published count is not presented as a confidence interval; a range from a different construct is never attached as its low or high endpoint.</w:t>
      </w:r>
    </w:p>
    <w:tbl>
      <w:tblPr>
        <w:jc w:val="left"/>
        <w:tblLook w:firstColumn="1" w:firstRow="1" w:lastColumn="0" w:lastRow="0" w:noHBand="0" w:noVBand="1" w:val="04A0"/>
        <w:tblW w:w="93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106"/>
        <w:gridCol w:w="2626"/>
        <w:gridCol w:w="1791"/>
        <w:gridCol w:w="2008"/>
        <w:gridCol w:w="1829"/>
      </w:tblGrid>
      <w:tr>
        <w:trPr>
          <w:tblHeader w:val="true"/>
          <w:cantSplit w:val="true"/>
        </w:trPr>
        <w:tc>
          <w:tcPr>
            <w:tcW w:type="dxa" w:w="110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Rank</w:t>
            </w:r>
          </w:p>
        </w:tc>
        <w:tc>
          <w:tcPr>
            <w:tcW w:type="dxa" w:w="262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Exact target</w:t>
            </w:r>
          </w:p>
        </w:tc>
        <w:tc>
          <w:tcPr>
            <w:tcW w:type="dxa" w:w="179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Source population</w:t>
            </w:r>
          </w:p>
        </w:tc>
        <w:tc>
          <w:tcPr>
            <w:tcW w:type="dxa" w:w="2008"/>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Model median unmet need</w:t>
            </w:r>
          </w:p>
        </w:tc>
        <w:tc>
          <w:tcPr>
            <w:tcW w:type="dxa" w:w="182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Top-10 probability</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Hindi (</w:t>
            </w:r>
            <w:r>
              <w:rPr>
                <w:rFonts w:ascii="Calibri" w:hAnsi="Calibri" w:eastAsia="Calibri" w:cs="Calibri"/>
                <w:color w:val="31465A"/>
                <w:sz w:val="17"/>
              </w:rPr>
              <w:t>hi-Deva-IN</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322,230,097</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119,286,966</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100.0%</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Bahasa Indonesia (</w:t>
            </w:r>
            <w:r>
              <w:rPr>
                <w:rFonts w:ascii="Calibri" w:hAnsi="Calibri" w:eastAsia="Calibri" w:cs="Calibri"/>
                <w:color w:val="31465A"/>
                <w:sz w:val="17"/>
              </w:rPr>
              <w:t>id-Latn-ID</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248,501,794</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87,463,029</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100.0%</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Russian  -  Russian Federation (</w:t>
            </w:r>
            <w:r>
              <w:rPr>
                <w:rFonts w:ascii="Calibri" w:hAnsi="Calibri" w:eastAsia="Calibri" w:cs="Calibri"/>
                <w:color w:val="31465A"/>
                <w:sz w:val="17"/>
              </w:rPr>
              <w:t>ru-Cyrl-RU</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134,319,233</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48,028,115</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100.0%</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Punjabi (Pakistan standard) (</w:t>
            </w:r>
            <w:r>
              <w:rPr>
                <w:rFonts w:ascii="Calibri" w:hAnsi="Calibri" w:eastAsia="Calibri" w:cs="Calibri"/>
                <w:color w:val="31465A"/>
                <w:sz w:val="17"/>
              </w:rPr>
              <w:t>pnb-Arab-PK</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88,915,544</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38,667,896</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100.0%</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5</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Bengali (India standard) (</w:t>
            </w:r>
            <w:r>
              <w:rPr>
                <w:rFonts w:ascii="Calibri" w:hAnsi="Calibri" w:eastAsia="Calibri" w:cs="Calibri"/>
                <w:color w:val="31465A"/>
                <w:sz w:val="17"/>
              </w:rPr>
              <w:t>bn-Beng-IN</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96,177,835</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35,118,380</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98.0%</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Marathi (</w:t>
            </w:r>
            <w:r>
              <w:rPr>
                <w:rFonts w:ascii="Calibri" w:hAnsi="Calibri" w:eastAsia="Calibri" w:cs="Calibri"/>
                <w:color w:val="31465A"/>
                <w:sz w:val="17"/>
              </w:rPr>
              <w:t>mr-Deva-IN</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82,801,140</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30,978,380</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96.5%</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Telugu (</w:t>
            </w:r>
            <w:r>
              <w:rPr>
                <w:rFonts w:ascii="Calibri" w:hAnsi="Calibri" w:eastAsia="Calibri" w:cs="Calibri"/>
                <w:color w:val="31465A"/>
                <w:sz w:val="17"/>
              </w:rPr>
              <w:t>te-Telu-IN</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81,127,740</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30,332,495</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94.9%</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Tamil (India standard) (</w:t>
            </w:r>
            <w:r>
              <w:rPr>
                <w:rFonts w:ascii="Calibri" w:hAnsi="Calibri" w:eastAsia="Calibri" w:cs="Calibri"/>
                <w:color w:val="31465A"/>
                <w:sz w:val="17"/>
              </w:rPr>
              <w:t>ta-Taml-IN</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68,888,839</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25,238,208</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80.1%</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9</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Javanese (</w:t>
            </w:r>
            <w:r>
              <w:rPr>
                <w:rFonts w:ascii="Calibri" w:hAnsi="Calibri" w:eastAsia="Calibri" w:cs="Calibri"/>
                <w:color w:val="31465A"/>
                <w:sz w:val="17"/>
              </w:rPr>
              <w:t>jv-Latn-ID</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68,044,660</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24,717,315</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75.4%</w:t>
            </w:r>
          </w:p>
        </w:tc>
      </w:tr>
      <w:tr>
        <w:trPr>
          <w:cantSplit w:val="true"/>
        </w:trPr>
        <w:tc>
          <w:tcPr>
            <w:tcW w:type="dxa" w:w="110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10</w:t>
            </w:r>
          </w:p>
        </w:tc>
        <w:tc>
          <w:tcPr>
            <w:tcW w:type="dxa" w:w="262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Central Thai (</w:t>
            </w:r>
            <w:r>
              <w:rPr>
                <w:rFonts w:ascii="Calibri" w:hAnsi="Calibri" w:eastAsia="Calibri" w:cs="Calibri"/>
                <w:color w:val="31465A"/>
                <w:sz w:val="17"/>
              </w:rPr>
              <w:t>th-Thai-TH</w:t>
            </w:r>
            <w:r>
              <w:rPr>
                <w:rFonts w:ascii="Calibri" w:hAnsi="Calibri" w:eastAsia="Calibri" w:cs="Calibri"/>
                <w:sz w:val="17"/>
              </w:rPr>
              <w:t>)</w:t>
            </w:r>
          </w:p>
        </w:tc>
        <w:tc>
          <w:tcPr>
            <w:tcW w:type="dxa" w:w="179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64,080,191</w:t>
            </w:r>
          </w:p>
        </w:tc>
        <w:tc>
          <w:tcPr>
            <w:tcW w:type="dxa" w:w="20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21,854,153</w:t>
            </w:r>
          </w:p>
        </w:tc>
        <w:tc>
          <w:tcPr>
            <w:tcW w:type="dxa" w:w="182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7"/>
              </w:rPr>
              <w:t>47.3%</w:t>
            </w:r>
          </w:p>
        </w:tc>
      </w:tr>
    </w:tbl>
    <w:p>
      <w:pPr>
        <w:widowControl/>
        <w:spacing w:before="0" w:after="40"/>
      </w:pPr>
    </w:p>
    <w:p>
      <w:pPr>
        <w:widowControl/>
      </w:pPr>
      <w:r>
        <w:t>These are model-conditional expected-need ranks, not directly observed global facts. Target-specific open-resource scarcity remains unmeasured for the scored universe, so all 206 direct-person and stage rows use the same 0.5 resource prior. Schooling-language gap uses the 0.4 common prior for 178 of 206 rows; academic-language non-overlap uses 0.4 for 201; and accessibility uses 0.5 for 204. Country learning/completion and delivery context provide more variation, but they remain ecological proxies where no target-specific cross-tab exists.</w:t>
      </w:r>
    </w:p>
    <w:p>
      <w:pPr>
        <w:widowControl/>
      </w:pPr>
      <w:r>
        <w:t>That evidence structure is visible in the sensitivity result. The Spearman correlation between model rank and the descending model-population point is 0.9989. Across four common-prior families and seven factor-removal/reference scenarios, nine targets remain in every Top 10: Hindi, Bahasa Indonesia, Russian  -  Russian Federation, Punjabi (Pakistan standard), Bengali (India standard), Marathi, Telugu, Tamil (India standard), Javanese. The union of possible Top-10 members adds Central Thai, Gujarati, Pashto (Pakistan curriculum pack). In the reference run Central Thai is tenth; under the scenario set the boundary can instead admit Gujarati or Pashto. Scenario rank correlations with the reference range from 0.9996 to 0.9999.</w:t>
      </w:r>
    </w:p>
    <w:p>
      <w:pPr>
        <w:widowControl/>
      </w:pPr>
      <w:r>
        <w:t>The correct funding interpretation is therefore two-part. The stable high ranks identify large source-bounded populations for which an open package could have high absolute reach. They do not prove that the same package, stage, or subject is missing in each language. Production should proceed with a target-specific resource and stage audit embedded in the same commission, while the value-of-information lane measures factors capable of changing the order.</w:t>
      </w:r>
    </w:p>
    <w:p>
      <w:pPr>
        <w:widowControl/>
        <w:sectPr>
          <w:headerReference w:type="default" r:id="rId11"/>
          <w:footerReference w:type="default" r:id="rId12"/>
          <w:pgSz w:w="12240" w:h="15840"/>
          <w:pgMar w:top="1440" w:right="1440" w:bottom="1440" w:left="1440" w:header="708" w:footer="708" w:gutter="0"/>
          <w:cols w:space="720"/>
          <w:docGrid w:linePitch="360"/>
          <w:pgNumType w:start="1"/>
        </w:sectPr>
      </w:pPr>
    </w:p>
    <w:p>
      <w:pPr>
        <w:widowControl/>
        <w:ind w:right="1800" w:left="1800"/>
      </w:pPr>
      <w:r>
        <w:t>Taiwan's official 2020 table reports current primary-or-secondary use by 21,090,192 resident nationals aged six or older for Mandarin, 18,728,839 for Taiwanese/Taigi, and 1,193,332 for Hakka. These appear at ranks 32, 33, and 67 as standalone interventions, but overlap and cannot be summed as 41,012,363 unique people; Traditional written Chinese is a different access endpoint (Directorate-General of Budget, Accounting and Statistics, 2020).</w:t>
      </w:r>
    </w:p>
    <w:p>
      <w:pPr>
        <w:pStyle w:val="Heading2"/>
        <w:widowControl/>
        <w:ind w:right="1800" w:left="1800"/>
      </w:pPr>
      <w:r>
        <w:t>6.3 Standardized new-compute planning order</w:t>
      </w:r>
    </w:p>
    <w:p>
      <w:pPr>
        <w:widowControl/>
        <w:ind w:right="1800" w:left="1800"/>
      </w:pPr>
      <w:r>
        <w:t>The second primary order divides the same model-conditional unmet-need burden by the standardized fresh-equivalent compute estimate for one fixed from-scratch package. Because no common package-effect estimate is available, this is a burden-per-compute planning proxy, not an estimate of causal access gained. It does not convert tokens to money, estimate a contractor budget, or claim that an end-to-end job has been observed. Every row in the present order uses a model-conditional script envelope; differences are therefore planning assumptions to be stress-tested, not measured production advantages.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044"/>
        <w:gridCol w:w="1707"/>
        <w:gridCol w:w="3137"/>
        <w:gridCol w:w="3307"/>
        <w:gridCol w:w="2765"/>
      </w:tblGrid>
      <w:tr>
        <w:trPr>
          <w:tblHeader w:val="true"/>
          <w:cantSplit w:val="true"/>
        </w:trPr>
        <w:tc>
          <w:tcPr>
            <w:tcW w:type="dxa" w:w="204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Efficiency rank</w:t>
            </w:r>
          </w:p>
        </w:tc>
        <w:tc>
          <w:tcPr>
            <w:tcW w:type="dxa" w:w="170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Need rank</w:t>
            </w:r>
          </w:p>
        </w:tc>
        <w:tc>
          <w:tcPr>
            <w:tcW w:type="dxa" w:w="313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Exact target</w:t>
            </w:r>
          </w:p>
        </w:tc>
        <w:tc>
          <w:tcPr>
            <w:tcW w:type="dxa" w:w="330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Model median unmet-need equivalent per million FECU</w:t>
            </w:r>
          </w:p>
        </w:tc>
        <w:tc>
          <w:tcPr>
            <w:tcW w:type="dxa" w:w="276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Compute class</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Hindi (</w:t>
            </w:r>
            <w:r>
              <w:rPr>
                <w:rFonts w:ascii="Calibri" w:hAnsi="Calibri" w:eastAsia="Calibri" w:cs="Calibri"/>
                <w:color w:val="31465A"/>
                <w:sz w:val="16"/>
              </w:rPr>
              <w:t>hi-Deva-IN</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97,776,202</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Bahasa Indonesia (</w:t>
            </w:r>
            <w:r>
              <w:rPr>
                <w:rFonts w:ascii="Calibri" w:hAnsi="Calibri" w:eastAsia="Calibri" w:cs="Calibri"/>
                <w:color w:val="31465A"/>
                <w:sz w:val="16"/>
              </w:rPr>
              <w:t>id-Latn-ID</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87,463,029</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  Russian Federation (</w:t>
            </w:r>
            <w:r>
              <w:rPr>
                <w:rFonts w:ascii="Calibri" w:hAnsi="Calibri" w:eastAsia="Calibri" w:cs="Calibri"/>
                <w:color w:val="31465A"/>
                <w:sz w:val="16"/>
              </w:rPr>
              <w:t>ru-Cyrl-RU</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44,470,477</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Punjabi (Pakistan standard) (</w:t>
            </w:r>
            <w:r>
              <w:rPr>
                <w:rFonts w:ascii="Calibri" w:hAnsi="Calibri" w:eastAsia="Calibri" w:cs="Calibri"/>
                <w:color w:val="31465A"/>
                <w:sz w:val="16"/>
              </w:rPr>
              <w:t>pnb-Arab-PK</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33,919,207</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Bengali (India standard) (</w:t>
            </w:r>
            <w:r>
              <w:rPr>
                <w:rFonts w:ascii="Calibri" w:hAnsi="Calibri" w:eastAsia="Calibri" w:cs="Calibri"/>
                <w:color w:val="31465A"/>
                <w:sz w:val="16"/>
              </w:rPr>
              <w:t>bn-Beng-IN</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28,094,704</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Marathi (</w:t>
            </w:r>
            <w:r>
              <w:rPr>
                <w:rFonts w:ascii="Calibri" w:hAnsi="Calibri" w:eastAsia="Calibri" w:cs="Calibri"/>
                <w:color w:val="31465A"/>
                <w:sz w:val="16"/>
              </w:rPr>
              <w:t>mr-Deva-IN</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25,392,114</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Javanese (</w:t>
            </w:r>
            <w:r>
              <w:rPr>
                <w:rFonts w:ascii="Calibri" w:hAnsi="Calibri" w:eastAsia="Calibri" w:cs="Calibri"/>
                <w:color w:val="31465A"/>
                <w:sz w:val="16"/>
              </w:rPr>
              <w:t>jv-Latn-ID</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24,717,315</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Telugu (</w:t>
            </w:r>
            <w:r>
              <w:rPr>
                <w:rFonts w:ascii="Calibri" w:hAnsi="Calibri" w:eastAsia="Calibri" w:cs="Calibri"/>
                <w:color w:val="31465A"/>
                <w:sz w:val="16"/>
              </w:rPr>
              <w:t>te-Telu-IN</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24,265,996</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Tamil (India standard) (</w:t>
            </w:r>
            <w:r>
              <w:rPr>
                <w:rFonts w:ascii="Calibri" w:hAnsi="Calibri" w:eastAsia="Calibri" w:cs="Calibri"/>
                <w:color w:val="31465A"/>
                <w:sz w:val="16"/>
              </w:rPr>
              <w:t>ta-Taml-IN</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20,353,394</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r>
        <w:trPr>
          <w:cantSplit w:val="true"/>
        </w:trPr>
        <w:tc>
          <w:tcPr>
            <w:tcW w:type="dxa" w:w="204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17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313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Central Thai (</w:t>
            </w:r>
            <w:r>
              <w:rPr>
                <w:rFonts w:ascii="Calibri" w:hAnsi="Calibri" w:eastAsia="Calibri" w:cs="Calibri"/>
                <w:color w:val="31465A"/>
                <w:sz w:val="16"/>
              </w:rPr>
              <w:t>th-Thai-TH</w:t>
            </w:r>
            <w:r>
              <w:rPr>
                <w:rFonts w:ascii="Calibri" w:hAnsi="Calibri" w:eastAsia="Calibri" w:cs="Calibri"/>
                <w:sz w:val="16"/>
              </w:rPr>
              <w:t>)</w:t>
            </w:r>
          </w:p>
        </w:tc>
        <w:tc>
          <w:tcPr>
            <w:tcW w:type="dxa" w:w="330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18,520,469</w:t>
            </w:r>
          </w:p>
        </w:tc>
        <w:tc>
          <w:tcPr>
            <w:tcW w:type="dxa" w:w="27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MODEL_CONDITIONAL_SCRIPT_ENVELOPE</w:t>
            </w:r>
          </w:p>
        </w:tc>
      </w:tr>
    </w:tbl>
    <w:p>
      <w:pPr>
        <w:widowControl/>
        <w:spacing w:before="0" w:after="40"/>
      </w:pPr>
    </w:p>
    <w:p>
      <w:pPr>
        <w:widowControl/>
        <w:ind w:right="1800" w:left="1800"/>
      </w:pPr>
      <w:r>
        <w:t>The efficiency and need orders are close because the current script-envelope estimates vary far less than the source-bounded population denominators. Javanese moves from need rank 9 to efficiency rank 7 under the Latin-script envelope, while Telugu and Tamil move down one position under their declared envelopes. This movement is useful for planning but is not evidence that one community's need matters more. The complete Top 100 efficiency order appears in Appendix A.2 and as a machine-readable CSV.</w:t>
      </w:r>
    </w:p>
    <w:p>
      <w:pPr>
        <w:pStyle w:val="Heading2"/>
        <w:widowControl/>
        <w:ind w:right="1800" w:left="1800"/>
      </w:pPr>
      <w:r>
        <w:t>6.4 Stage opportunities: Chinese and Japanese</w:t>
      </w:r>
    </w:p>
    <w:p>
      <w:pPr>
        <w:widowControl/>
        <w:ind w:right="1800" w:left="1800"/>
      </w:pPr>
      <w:r>
        <w:t>Some very large educational opportunities are observed as learner cohorts rather than whole-language readerships. They are not excluded; they are ordered in their own unit:</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735"/>
        <w:gridCol w:w="2900"/>
        <w:gridCol w:w="1793"/>
        <w:gridCol w:w="1849"/>
        <w:gridCol w:w="4683"/>
      </w:tblGrid>
      <w:tr>
        <w:trPr>
          <w:tblHeader w:val="true"/>
          <w:cantSplit w:val="true"/>
        </w:trPr>
        <w:tc>
          <w:tcPr>
            <w:tcW w:type="dxa" w:w="173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Stage rank</w:t>
            </w:r>
          </w:p>
        </w:tc>
        <w:tc>
          <w:tcPr>
            <w:tcW w:type="dxa" w:w="290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Exact opportunity</w:t>
            </w:r>
          </w:p>
        </w:tc>
        <w:tc>
          <w:tcPr>
            <w:tcW w:type="dxa" w:w="179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Cohort</w:t>
            </w:r>
          </w:p>
        </w:tc>
        <w:tc>
          <w:tcPr>
            <w:tcW w:type="dxa" w:w="184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Model median</w:t>
            </w:r>
          </w:p>
        </w:tc>
        <w:tc>
          <w:tcPr>
            <w:tcW w:type="dxa" w:w="468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Definition</w:t>
            </w:r>
          </w:p>
        </w:tc>
      </w:tr>
      <w:tr>
        <w:trPr>
          <w:cantSplit w:val="true"/>
        </w:trPr>
        <w:tc>
          <w:tcPr>
            <w:tcW w:type="dxa" w:w="173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29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Written Chinese (</w:t>
            </w:r>
            <w:r>
              <w:rPr>
                <w:rFonts w:ascii="Calibri" w:hAnsi="Calibri" w:eastAsia="Calibri" w:cs="Calibri"/>
                <w:color w:val="31465A"/>
                <w:sz w:val="16"/>
              </w:rPr>
              <w:t>zh-Hans-CN</w:t>
            </w:r>
            <w:r>
              <w:rPr>
                <w:rFonts w:ascii="Calibri" w:hAnsi="Calibri" w:eastAsia="Calibri" w:cs="Calibri"/>
                <w:sz w:val="16"/>
              </w:rPr>
              <w:t>)</w:t>
            </w:r>
          </w:p>
        </w:tc>
        <w:tc>
          <w:tcPr>
            <w:tcW w:type="dxa" w:w="179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280,404,300</w:t>
            </w:r>
          </w:p>
        </w:tc>
        <w:tc>
          <w:tcPr>
            <w:tcW w:type="dxa" w:w="184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91,804,506</w:t>
            </w:r>
          </w:p>
        </w:tc>
        <w:tc>
          <w:tcPr>
            <w:tcW w:type="dxa" w:w="468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All formal-education enrolments reported by MOE in 2025; a stage-opportunity universe, not a count needing new Chinese material.</w:t>
            </w:r>
          </w:p>
        </w:tc>
      </w:tr>
      <w:tr>
        <w:trPr>
          <w:cantSplit w:val="true"/>
        </w:trPr>
        <w:tc>
          <w:tcPr>
            <w:tcW w:type="dxa" w:w="173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29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Japanese (</w:t>
            </w:r>
            <w:r>
              <w:rPr>
                <w:rFonts w:ascii="Calibri" w:hAnsi="Calibri" w:eastAsia="Calibri" w:cs="Calibri"/>
                <w:color w:val="31465A"/>
                <w:sz w:val="16"/>
              </w:rPr>
              <w:t>ja-Jpan-JP</w:t>
            </w:r>
            <w:r>
              <w:rPr>
                <w:rFonts w:ascii="Calibri" w:hAnsi="Calibri" w:eastAsia="Calibri" w:cs="Calibri"/>
                <w:sz w:val="16"/>
              </w:rPr>
              <w:t>)</w:t>
            </w:r>
          </w:p>
        </w:tc>
        <w:tc>
          <w:tcPr>
            <w:tcW w:type="dxa" w:w="179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2,922,969</w:t>
            </w:r>
          </w:p>
        </w:tc>
        <w:tc>
          <w:tcPr>
            <w:tcW w:type="dxa" w:w="184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1,291,650</w:t>
            </w:r>
          </w:p>
        </w:tc>
        <w:tc>
          <w:tcPr>
            <w:tcW w:type="dxa" w:w="468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2,645,837 undergraduates plus 277,132 graduate/professional-degree students.</w:t>
            </w:r>
          </w:p>
        </w:tc>
      </w:tr>
    </w:tbl>
    <w:p>
      <w:pPr>
        <w:widowControl/>
        <w:spacing w:before="0" w:after="40"/>
      </w:pPr>
    </w:p>
    <w:p>
      <w:pPr>
        <w:widowControl/>
        <w:ind w:right="1800" w:left="1800"/>
      </w:pPr>
      <w:r>
        <w:t>The Mainland Chinese row makes Simplified Standard Written Chinese one of the largest immediately visible educational opportunities in the study. The relevant first commissions are not a generic claim that China lacks textbooks. They are open and adaptable advanced STEM, research methods, reproducibility, open science, accessible semantic formats, vocational/adult routes, and targeted rural, migrant, disability, or field-specific gaps. Spoken Putonghua and written literacy remain separate constructs.</w:t>
      </w:r>
    </w:p>
    <w:p>
      <w:pPr>
        <w:widowControl/>
        <w:ind w:right="1800" w:left="1800"/>
      </w:pPr>
      <w:r>
        <w:t>Japan is not a negative control for educational worth. Its strong general educational system narrows the likely marginal package: research and postgraduate reading/writing, open science and reproducibility, accessible advanced STEM, specialist professional material, international terminology bridges, and exact support cohorts. The 2,922,969 opportunity row is tertiary enrolment, not the Japanese-speaking population; other directly recorded cohorts remain in the evidence register. A smaller stage denominator can still support high-leverage research or accessibility work.</w:t>
      </w:r>
    </w:p>
    <w:p>
      <w:pPr>
        <w:pStyle w:val="Heading2"/>
        <w:widowControl/>
        <w:ind w:right="1800" w:left="1800"/>
      </w:pPr>
      <w:r>
        <w:t>6.5 The funding portfolio</w:t>
      </w:r>
    </w:p>
    <w:p>
      <w:pPr>
        <w:widowControl/>
        <w:ind w:right="1800" w:left="1800"/>
      </w:pPr>
      <w:r>
        <w:t>No responsible allocation can be made from the direct-person Top 100 alone. The release therefore exposes four coequal decision lanes: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3371"/>
        <w:gridCol w:w="700"/>
        <w:gridCol w:w="3774"/>
        <w:gridCol w:w="5115"/>
      </w:tblGrid>
      <w:tr>
        <w:trPr>
          <w:tblHeader w:val="true"/>
          <w:cantSplit w:val="true"/>
        </w:trPr>
        <w:tc>
          <w:tcPr>
            <w:tcW w:type="dxa" w:w="337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Decision lane</w:t>
            </w:r>
          </w:p>
        </w:tc>
        <w:tc>
          <w:tcPr>
            <w:tcW w:type="dxa" w:w="70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Rows</w:t>
            </w:r>
          </w:p>
        </w:tc>
        <w:tc>
          <w:tcPr>
            <w:tcW w:type="dxa" w:w="377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What can be compared</w:t>
            </w:r>
          </w:p>
        </w:tc>
        <w:tc>
          <w:tcPr>
            <w:tcW w:type="dxa" w:w="511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Immediate use</w:t>
            </w:r>
          </w:p>
        </w:tc>
      </w:tr>
      <w:tr>
        <w:trPr>
          <w:cantSplit w:val="true"/>
        </w:trPr>
        <w:tc>
          <w:tcPr>
            <w:tcW w:type="dxa" w:w="3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1. Direct-person comparable</w:t>
            </w:r>
          </w:p>
        </w:tc>
        <w:tc>
          <w:tcPr>
            <w:tcW w:type="dxa" w:w="7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w:t>
            </w:r>
          </w:p>
        </w:tc>
        <w:tc>
          <w:tcPr>
            <w:tcW w:type="dxa" w:w="37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Source-authorized person-language rows under the same model</w:t>
            </w:r>
          </w:p>
        </w:tc>
        <w:tc>
          <w:tcPr>
            <w:tcW w:type="dxa" w:w="511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High-reach package and evidence prioritization</w:t>
            </w:r>
          </w:p>
        </w:tc>
      </w:tr>
      <w:tr>
        <w:trPr>
          <w:cantSplit w:val="true"/>
        </w:trPr>
        <w:tc>
          <w:tcPr>
            <w:tcW w:type="dxa" w:w="3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 Stage opportunity</w:t>
            </w:r>
          </w:p>
        </w:tc>
        <w:tc>
          <w:tcPr>
            <w:tcW w:type="dxa" w:w="7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7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 learner/sector cohorts with each other</w:t>
            </w:r>
          </w:p>
        </w:tc>
        <w:tc>
          <w:tcPr>
            <w:tcW w:type="dxa" w:w="511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Stage-specific commissioning without inventing whole-language readers</w:t>
            </w:r>
          </w:p>
        </w:tc>
      </w:tr>
      <w:tr>
        <w:trPr>
          <w:cantSplit w:val="true"/>
        </w:trPr>
        <w:tc>
          <w:tcPr>
            <w:tcW w:type="dxa" w:w="3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3. Mandatory context and value of information</w:t>
            </w:r>
          </w:p>
        </w:tc>
        <w:tc>
          <w:tcPr>
            <w:tcW w:type="dxa" w:w="7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37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 cross-row unmet-need rank</w:t>
            </w:r>
          </w:p>
        </w:tc>
        <w:tc>
          <w:tcPr>
            <w:tcW w:type="dxa" w:w="511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Keep high-scale and undermeasured populations visible; collect allocation-changing evidence</w:t>
            </w:r>
          </w:p>
        </w:tc>
      </w:tr>
      <w:tr>
        <w:trPr>
          <w:cantSplit w:val="true"/>
        </w:trPr>
        <w:tc>
          <w:tcPr>
            <w:tcW w:type="dxa" w:w="3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4. Structural access portfolio</w:t>
            </w:r>
          </w:p>
        </w:tc>
        <w:tc>
          <w:tcPr>
            <w:tcW w:type="dxa" w:w="7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65</w:t>
            </w:r>
          </w:p>
        </w:tc>
        <w:tc>
          <w:tcPr>
            <w:tcW w:type="dxa" w:w="37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Only within exact compatible units</w:t>
            </w:r>
          </w:p>
        </w:tc>
        <w:tc>
          <w:tcPr>
            <w:tcW w:type="dxa" w:w="511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Named sign languages, accessibility/offline modes, host-specific displacement continuity, and bounded bridge experiments</w:t>
            </w:r>
          </w:p>
        </w:tc>
      </w:tr>
    </w:tbl>
    <w:p>
      <w:pPr>
        <w:widowControl/>
        <w:spacing w:before="0" w:after="40"/>
      </w:pPr>
    </w:p>
    <w:p>
      <w:pPr>
        <w:widowControl/>
        <w:ind w:right="1800" w:left="1800"/>
      </w:pPr>
      <w:r>
        <w:t>For an initial high-reach compute programme, the first direct-person slate is the nine scenario-robust targets, with Thai, Gujarati, and Pashto treated as the empirically unresolved tenth-position set rather than separated by a cosmetic tie-break. This is a priority for fitted open packages, not a recommendation to translate one identical book into each language. Simplified written Chinese should be commissioned simultaneously through its stage lane because the 280.4-million formal-education cohort is too large to disappear from a speaker-only table. Japan receives a narrower advanced/research/accessibility programme. Named sign-language and accessibility modes receive a minimum-service lane even where population measurement is weak. Displaced learners receive host-specific source-language continuity, host-language acquisition, credential, stage, and offline packages. Bridge and interlanguage work is funded as measured comprehension experiments and shared production infrastructure, not as unverified population substitution.</w:t>
      </w:r>
    </w:p>
    <w:p>
      <w:pPr>
        <w:pStyle w:val="Heading2"/>
        <w:widowControl/>
        <w:ind w:right="1800" w:left="1800"/>
      </w:pPr>
      <w:r>
        <w:t>6.6 What educational material is needed</w:t>
      </w:r>
    </w:p>
    <w:p>
      <w:pPr>
        <w:widowControl/>
        <w:ind w:right="1800" w:left="1800"/>
      </w:pPr>
      <w:r>
        <w:t>The programme must distinguish early childhood, primary, secondary, vocational/adult, undergraduate, postgraduate, and research access. “Education” includes frontier monographs, research methods, standards, software and data documentation, and specialist professional learning; those resources serve smaller cohorts but can have high institutional leverage. The evidence-based first and second package classes for leading routes are: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825"/>
        <w:gridCol w:w="3010"/>
        <w:gridCol w:w="2777"/>
        <w:gridCol w:w="2801"/>
        <w:gridCol w:w="2547"/>
      </w:tblGrid>
      <w:tr>
        <w:trPr>
          <w:tblHeader w:val="true"/>
          <w:cantSplit w:val="true"/>
        </w:trPr>
        <w:tc>
          <w:tcPr>
            <w:tcW w:type="dxa" w:w="182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Population or route</w:t>
            </w:r>
          </w:p>
        </w:tc>
        <w:tc>
          <w:tcPr>
            <w:tcW w:type="dxa" w:w="301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Stage order</w:t>
            </w:r>
          </w:p>
        </w:tc>
        <w:tc>
          <w:tcPr>
            <w:tcW w:type="dxa" w:w="277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First package classes</w:t>
            </w:r>
          </w:p>
        </w:tc>
        <w:tc>
          <w:tcPr>
            <w:tcW w:type="dxa" w:w="280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Then expand to</w:t>
            </w:r>
          </w:p>
        </w:tc>
        <w:tc>
          <w:tcPr>
            <w:tcW w:type="dxa" w:w="254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Delivery</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Standard Hindi</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computing/data; finance; TVET; degree spines; research methods; advanced material</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offline/print/mobile; solutions; bilingual academic terminology</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Indonesian</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 -&gt; early-childhood</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mastery literacy/numeracy; complete mathematics/science; health; climate/disaster; teacher education</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TVET; computing/data; finance/management; degree spines; research methods; advanced research</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 HTML/EPUB/PDF; small chapters; audio; print; solutions; local code/data</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Russian</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accessibility</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open science; current methods; accessible advanced STEM</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frontier monographs; computing/data; specialist professional updates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source/HTML/MathML; bilingual metadata; offline code/data</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Punjabi; Shahmukhi</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Urdu bridge; health</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agriculture; climate/disaster; enterprise finance; secondary scaffold</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audio/print; bilingual Punjabi-Urdu; offline; locale-tagged</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Bangla</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 -&gt; early-childhood</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 climate/disaster</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garment/manufacturing TVET; agriculture; finance; computing/data; degree spines; research methods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offline/mobile/print; chapter downloads; audio; full solutions; local practicals</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Marathi</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industry/TVET; finance/management; computing; degree spines; research methods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offline/print/mobile; worked solutions; bilingual terminology</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Telugu</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computing/data; agriculture; industry TVET; degree spines; research methods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offline/print/mobile; code/data local; bilingual academic terms</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Tamil</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industry/TVET; computing/data; degree and advanced research spines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offline/print/mobile; MathML; bilingual metadata</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Javanese; Latin core</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oral/literacy/numeracy foundation; Indonesian bridge; health; disaster</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selected secondary STEM terminology; agriculture; business/finance; teacher support</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audio plus print; dialect-tagged; bilingual glossary; small offline units</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Standard Thai</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lower-secondary -&gt; upper-secondary -&gt; vocational-adult -&gt; undergraduate -&gt; postgraduate -&gt; research</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mathematics/science progression; health; digital/financial capability</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TVET; computing/data; degree and research methods; open science</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offline/source/print; worked solutions; bilingual academic terms</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Mandarin; Simplified Chinese</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postgraduate -&gt; research -&gt; undergraduate -&gt; vocational-adult -&gt; upper-secondary</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methods; reproducibility; open science; accessible STEM reference</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advanced mathematics and science; computing/data/AI; health professional; selected frontier monographs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searchable HTML; source; MathML; EPUB/PDF; local code/data; bilingual search terms</w:t>
            </w:r>
          </w:p>
        </w:tc>
      </w:tr>
      <w:tr>
        <w:trPr>
          <w:cantSplit w:val="true"/>
        </w:trPr>
        <w:tc>
          <w:tcPr>
            <w:tcW w:type="dxa" w:w="182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Japanese</w:t>
            </w:r>
          </w:p>
        </w:tc>
        <w:tc>
          <w:tcPr>
            <w:tcW w:type="dxa" w:w="301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accessibility</w:t>
            </w:r>
          </w:p>
        </w:tc>
        <w:tc>
          <w:tcPr>
            <w:tcW w:type="dxa" w:w="277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reading/writing; open science; reproducibility; accessible advanced STEM</w:t>
            </w:r>
          </w:p>
        </w:tc>
        <w:tc>
          <w:tcPr>
            <w:tcW w:type="dxa" w:w="280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frontier mathematics/science; specialist professional material; international terminology bridges</w:t>
            </w:r>
          </w:p>
        </w:tc>
        <w:tc>
          <w:tcPr>
            <w:tcW w:type="dxa" w:w="254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source-available HTML/PDF/EPUB; MathML; bilingual metadata; local code/data</w:t>
            </w:r>
          </w:p>
        </w:tc>
      </w:tr>
    </w:tbl>
    <w:p>
      <w:pPr>
        <w:widowControl/>
        <w:spacing w:before="0" w:after="40"/>
      </w:pPr>
    </w:p>
    <w:p>
      <w:pPr>
        <w:widowControl/>
        <w:ind w:right="1800" w:left="1800"/>
      </w:pPr>
      <w:r>
        <w:t>For Bengali in India, the source-authorized population row is exact but the present stage-subject map is not country-specific enough to borrow Bangladesh's learning and climate profile. The shared Bangla semantic source can lower production cost, while India and Bangladesh retain separate curriculum, terminology, examples, standards, and outcome evidence. Taiwan Mandarin, Taigi, and Hakka likewise need separate spoken/written and literacy endpoints before one package is treated as coverage for another.</w:t>
      </w:r>
    </w:p>
    <w:p>
      <w:pPr>
        <w:widowControl/>
        <w:ind w:right="1800" w:left="1800"/>
      </w:pPr>
      <w:r>
        <w:t>Across the wider Top 100, the recurring high-utility bundles are: foundational literacy/numeracy/science with cumulative practice and complete solutions; planned strongest-language-to-school-language bridges; secondary STEM and prerequisite recovery; health; agriculture, water, climate, and disaster resilience; computing and data; household and enterprise finance; management and cooperative governance; teacher/facilitator education; vocational safety and measurement; undergraduate gateway sequences; research methods and open science; and advanced specialist corpora. Appendix A identifies who is in the comparable orders; Appendix E prints the 63-row stage-subject recommendation register used for the leading and structurally important routes.</w:t>
      </w:r>
    </w:p>
    <w:p>
      <w:pPr>
        <w:pStyle w:val="Heading2"/>
        <w:widowControl/>
        <w:ind w:right="1800" w:left="1800"/>
      </w:pPr>
      <w:r>
        <w:t>6.7 Open and autonomous delivery</w:t>
      </w:r>
    </w:p>
    <w:p>
      <w:pPr>
        <w:widowControl/>
        <w:ind w:right="1800" w:left="1800"/>
      </w:pPr>
      <w:r>
        <w:t>Open licensing is an operational requirement: newly commissioned materials must be lawful to download, retain, copy, adapt, translate, and redistribute (UNESCO, 2019). Autonomous packages must not assume a teacher, continuous connectivity, a laptop, or a paid service; they require prerequisite maps, diagnostics, explanation, practice, reasoned answers, mastery checks, and a route forward. Delivery branches remain independent: semantic HTML with MathML, accessible EPUB/PDF, low-data audio with transcripts, captioned or named-sign-language video, plain-language companions, and small offline bundles. OpenStax's 73-title catalogue is a strong upper-secondary/introductory-tertiary baseline, not a complete world curriculum; the 45 complementary records cover early learning, computing, health, agriculture, climate, research methods, open science, and advanced reference (OpenStax, n.d.).</w:t>
      </w:r>
    </w:p>
    <w:p>
      <w:pPr>
        <w:widowControl/>
        <w:sectPr>
          <w:headerReference w:type="default" r:id="rId13"/>
          <w:footerReference w:type="default" r:id="rId14"/>
          <w:pgSz w:w="15840" w:h="12240" w:orient="landscape"/>
          <w:pgMar w:top="1440" w:right="1440" w:bottom="1440" w:left="1440" w:header="708" w:footer="708" w:gutter="0"/>
          <w:cols w:space="720"/>
          <w:docGrid w:linePitch="360"/>
        </w:sectPr>
      </w:pPr>
    </w:p>
    <w:p>
      <w:pPr>
        <w:pStyle w:val="Heading1"/>
        <w:widowControl/>
      </w:pPr>
      <w:r>
        <w:t>7. Material priorities</w:t>
      </w:r>
    </w:p>
    <w:p>
      <w:pPr>
        <w:widowControl/>
      </w:pPr>
      <w:r>
        <w:t>The educational package map treats OpenStax as a transparent, exercise-rich baseline rather than a definition of need. Its catalogue is strongest for upper-secondary and introductory tertiary subjects. Complementary open resources are required for early learning, teacher education, computing and data, health, agriculture and climate, vocational education, research methods, open science, and advanced reference.</w:t>
      </w:r>
    </w:p>
    <w:p>
      <w:pPr>
        <w:widowControl/>
      </w:pPr>
      <w:r>
        <w:t>Across high-learning-poverty and high-language-mismatch settings, priority often begins with first-language or strongest-language literacy, numeracy, science foundations, diagnosis, cumulative practice, teacher or caregiver guidance, and offline/audio/print delivery. Large secondary and adult populations add prerequisite recovery, applied mathematics, computing, health, finance, management, agriculture, climate and disaster resilience, and vocational safety or measurement. Tertiary systems require complete gateway sequences, not isolated textbook chapters. Postgraduate and research users require methods, statistics, reproducibility, literature navigation, scholarly writing, terminology, open science, and advanced specialist texts.</w:t>
      </w:r>
    </w:p>
    <w:p>
      <w:pPr>
        <w:widowControl/>
      </w:pPr>
      <w:r>
        <w:t>Language-specific recommendations follow local evidence. Examples include climate-smart agriculture for rural and climate-exposed communities; bookkeeping, finance, marketing, and management for informal enterprises; health literacy for rural, Indigenous, refugee, and migrant communities; bilingual teacher education where instruction transitions between home and academic languages; and research-navigation bridges in large languages whose scholars face substantial English-language burdens.</w:t>
      </w:r>
    </w:p>
    <w:p>
      <w:pPr>
        <w:widowControl/>
        <w:sectPr>
          <w:headerReference w:type="default" r:id="rId15"/>
          <w:footerReference w:type="default" r:id="rId16"/>
          <w:pgSz w:w="12240" w:h="15840"/>
          <w:pgMar w:top="1440" w:right="1440" w:bottom="1440" w:left="1440" w:header="708" w:footer="708" w:gutter="0"/>
          <w:cols w:space="720"/>
          <w:docGrid w:linePitch="360"/>
        </w:sectPr>
      </w:pPr>
    </w:p>
    <w:p>
      <w:pPr>
        <w:pStyle w:val="Heading2"/>
        <w:widowControl/>
        <w:ind w:right="1800" w:left="1800"/>
      </w:pPr>
      <w:r>
        <w:t>7.1 A stage-complete educational ladder</w:t>
      </w:r>
    </w:p>
    <w:p>
      <w:pPr>
        <w:widowControl/>
        <w:ind w:right="1800" w:left="1800"/>
      </w:pPr>
      <w:r>
        <w:t>Educational access is not synonymous with primary school access. The intervention census therefore distinguishes eight stages. A language can have strong compulsory-school provision and still have a serious university, professional, or research-language gap; conversely, a translated specialist monograph cannot substitute for missing foundational literacy or numeracy. Stage populations are kept disjoint in the quantitative model, and recommendations are allowed to differ by stage within the same language.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911"/>
        <w:gridCol w:w="3685"/>
        <w:gridCol w:w="3682"/>
        <w:gridCol w:w="3682"/>
      </w:tblGrid>
      <w:tr>
        <w:trPr>
          <w:tblHeader w:val="true"/>
          <w:cantSplit w:val="true"/>
        </w:trPr>
        <w:tc>
          <w:tcPr>
            <w:tcW w:type="dxa" w:w="191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Stage</w:t>
            </w:r>
          </w:p>
        </w:tc>
        <w:tc>
          <w:tcPr>
            <w:tcW w:type="dxa" w:w="368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First-line open package</w:t>
            </w:r>
          </w:p>
        </w:tc>
        <w:tc>
          <w:tcPr>
            <w:tcW w:type="dxa" w:w="368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Additional package</w:t>
            </w:r>
          </w:p>
        </w:tc>
        <w:tc>
          <w:tcPr>
            <w:tcW w:type="dxa" w:w="368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Autonomous and offline form</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Early childhood</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Strong-language conversation, stories, vocabulary, counting, comparison, shape, pattern, hygiene, nutrition, and safety</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Play-based observation, prediction, local environment, and social-emotional routines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One-page caregiver cues, picture-story activities, basic-phone audio, and everyday-object alternatives; no literate adult is presumed</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Primary</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Reading and writing in the learner's strongest route, an explicit bridge to the later instructional language, arithmetic, fractions, measurement, geometry, inquiry science, health/WASH, and local climate or hazard basics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Unplugged computing, digital safety, household numeracy and money, food systems, and environmental observation</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Short mastery units, worked examples, complete explanatory answers, cumulative review, print-first completeness, and audio/visual alternatives</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Lower secondary</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Proportional reasoning and algebra, statistics, integrated biology/chemistry/physics, reading-to-learn, health and sexual/reproductive health, and climate/disaster readiness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Programming and data, cybersecurity, personal finance, design and making, and evaluation of claims and evidence</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Worked-example/problem pairs, low-cost practicals, answer keys with reasoning, downloadable simulations, and print fallbacks</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Upper secondary</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Pathway mathematics and statistics, biology, chemistry, physics, technical and academic writing, digital security, health, and water/energy/climate systems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Calculus, computer science, data science, economics, accounting, entrepreneurship, and supervised or autonomous research projects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Modular academic and technical routes with shared prerequisite maps, offline code/data notebooks, complete solutions, and exam-independent mastery checks</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Vocational and adult</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Functional literacy and numeracy, occupational safety, health, financial and digital capability, and job-specific competencies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Entrepreneurship, bookkeeping, pricing, inventory, marketing, project and cooperative management, climate-smart production, and recognition-of-prior-learning packs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Demonstration-practice-performance sequences, illustrated or audio guides, local units and tools, short stackable modules, and explicit update dates</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Undergraduate</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First-year mathematics, statistics, writing and study bridges; core discipline texts; computing/data; and research literacy</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Complete open degree spines in mathematics, science, engineering, health, agriculture, economics, management, education, and social science</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Downloadable books with exercises and solutions, executable local examples, bilingual terminology, prerequisite maps, and accessible HTML/EPUB/PDF</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Postgraduate</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Advanced theory, quantitative and qualitative methods, scholarly reading and writing, research ethics, data management, and reproducible workflows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Specialist monographs, frontier methods, research software, project/grant management, and disciplinary literature maps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Source-available books, datasets and code, problem sets, stable citations, searchable terminology, and versioned updates</w:t>
            </w:r>
          </w:p>
        </w:tc>
      </w:tr>
      <w:tr>
        <w:trPr>
          <w:cantSplit w:val="true"/>
        </w:trPr>
        <w:tc>
          <w:tcPr>
            <w:tcW w:type="dxa" w:w="191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and professional</w:t>
            </w:r>
          </w:p>
        </w:tc>
        <w:tc>
          <w:tcPr>
            <w:tcW w:type="dxa" w:w="36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Current reviews, standards, methods, software and data documentation, open science, professional safety, and decision tools</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Frontier monographs and research corpora selected by field need rather than school-age population</w:t>
            </w:r>
          </w:p>
        </w:tc>
        <w:tc>
          <w:tcPr>
            <w:tcW w:type="dxa" w:w="36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Searchable semantic HTML, source files, structured data, formula-safe PDF and MathML, downloadable reference bundles, and explicit update paths</w:t>
            </w:r>
          </w:p>
        </w:tc>
      </w:tr>
    </w:tbl>
    <w:p>
      <w:pPr>
        <w:widowControl/>
        <w:spacing w:before="0" w:after="40"/>
      </w:pPr>
    </w:p>
    <w:p>
      <w:pPr>
        <w:widowControl/>
        <w:ind w:right="1800" w:left="1800"/>
      </w:pPr>
      <w:r>
        <w:t>This ladder prevents two opposite allocation errors. It does not send advanced research texts to populations whose binding constraint is foundational access; it also does not treat researchers, professionals, instructors, or postgraduate learners as already served merely because compulsory schooling exists in their language. Research is an educational process, and translation of advanced theory, methods, standards, and research navigation can have high system leverage even when its direct audience is smaller.</w:t>
      </w:r>
    </w:p>
    <w:p>
      <w:pPr>
        <w:widowControl/>
        <w:sectPr>
          <w:headerReference w:type="default" r:id="rId17"/>
          <w:footerReference w:type="default" r:id="rId18"/>
          <w:pgSz w:w="15840" w:h="12240" w:orient="landscape"/>
          <w:pgMar w:top="1440" w:right="1440" w:bottom="1440" w:left="1440" w:header="708" w:footer="708" w:gutter="0"/>
          <w:cols w:space="720"/>
          <w:docGrid w:linePitch="360"/>
        </w:sectPr>
      </w:pPr>
    </w:p>
    <w:p>
      <w:pPr>
        <w:pStyle w:val="Heading2"/>
        <w:widowControl/>
      </w:pPr>
      <w:r>
        <w:t>7.2 Subject bundles and population-specific utility</w:t>
      </w:r>
    </w:p>
    <w:p>
      <w:pPr>
        <w:widowControl/>
      </w:pPr>
      <w:r>
        <w:t>The common canon is not mathematics-only. Mathematics is retained as a particularly reusable and auditable domain - formal notation, worked problems, executable checks, and answer verification lower some production and validation costs - but the need analysis covers the wider educational system.</w:t>
      </w:r>
    </w:p>
    <w:tbl>
      <w:tblPr>
        <w:jc w:val="left"/>
        <w:tblLook w:firstColumn="1" w:firstRow="1" w:lastColumn="0" w:lastRow="0" w:noHBand="0" w:noVBand="1" w:val="04A0"/>
        <w:tblW w:w="93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530"/>
        <w:gridCol w:w="3416"/>
        <w:gridCol w:w="3414"/>
      </w:tblGrid>
      <w:tr>
        <w:trPr>
          <w:tblHeader w:val="true"/>
          <w:cantSplit w:val="true"/>
        </w:trPr>
        <w:tc>
          <w:tcPr>
            <w:tcW w:type="dxa" w:w="253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Bundle</w:t>
            </w:r>
          </w:p>
        </w:tc>
        <w:tc>
          <w:tcPr>
            <w:tcW w:type="dxa" w:w="341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Minimum coherent content</w:t>
            </w:r>
          </w:p>
        </w:tc>
        <w:tc>
          <w:tcPr>
            <w:tcW w:type="dxa" w:w="341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Conditions producing outsized marginal value</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Literacy, mathematics, and statistics</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Strong-language literacy; planned bridge literacy; numeracy through algebra, calculus, probability, statistics, modelling, and formal reasoning</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Learning-poverty settings, language-of-instruction mismatch, secondary re-entry, vocational transitions, first-year quantitative bottlenecks, and research-method deficits</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Biology, chemistry, physics, and earth/environmental science</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Conceptual sequences, quantitative problem solving, low-cost practicals, laboratory and field safety, measurement, data interpretation, and local examples</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Weak secondary progression; health, agriculture, engineering and climate pathways; laboratories with limited equipment; first-year remediation</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7"/>
              </w:rPr>
              <w:t>Health</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Prevention, maternal and child health, infectious and noncommunicable disease, mental health, sexual and reproductive health, medicine safety, risk interpretation, and service navigation</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Rural and remote communities, Indigenous and minority-language users, displaced populations, community health workers, and low-health-literacy adult cohorts</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Agriculture, water, climate, and disaster resilience</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Soil and water, crops and livestock, pest management, weather and market information, adaptation, biodiversity, coastal and flood risk, and disaster planning</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Smallholders, pastoralists, fishers, coastal/delta/island populations, climate migrants, rural women, and disaster-exposed regions</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Computing and data</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Device and information literacy, privacy, scams and cybersecurity, spreadsheets, programming, databases, data cleaning and analysis, visualization, AI limits, provenance, and evaluation</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School-to-work transitions, low computer ownership, mobile-first users, public-service access, small enterprises, tertiary study, and research communities dependent on English-language tooling</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Economics, finance, and management</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Household finance, consumer protection, digital payments, bookkeeping, pricing, inventory, marketing, entrepreneurship, cooperative governance, operations, and project management</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Underbanked adults, informal enterprises, farmers and fishers, women-owned and rural businesses, vocational learners, and local public or nonprofit organizations</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Teacher and facilitator education</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Subject knowledge, structured pedagogy, diagnosis and targeted instruction, multilingual teaching, inclusion, accessibility, low-cost practicals, and assessment interpretation</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Multilingual systems, conflict or displacement, underqualified-teacher systems, home-to-school language transitions, and rapid expansion of secondary or tertiary provision</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Research methods and open science</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Research design, measurement, probability and statistics, causal and qualitative methods, coding, data/software management, ethics, reproducibility, citation, peer review, open licensing, and scientific communication</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Every research community not fully comfortable in the dominant international literature; growing tertiary systems; local health, agriculture, climate, engineering, and policy research</w:t>
            </w:r>
          </w:p>
        </w:tc>
      </w:tr>
      <w:tr>
        <w:trPr>
          <w:cantSplit w:val="true"/>
        </w:trPr>
        <w:tc>
          <w:tcPr>
            <w:tcW w:type="dxa" w:w="253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Advanced research</w:t>
            </w:r>
          </w:p>
        </w:tc>
        <w:tc>
          <w:tcPr>
            <w:tcW w:type="dxa" w:w="34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Complete specialist monographs, rigorous problem sets, current reviews, standards, research software documentation, and frontier corpora</w:t>
            </w:r>
          </w:p>
        </w:tc>
        <w:tc>
          <w:tcPr>
            <w:tcW w:type="dxa" w:w="341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Concentrated research and instructor communities, including languages with strong school systems but substantial English or other academic-lingua-franca burdens</w:t>
            </w:r>
          </w:p>
        </w:tc>
      </w:tr>
    </w:tbl>
    <w:p>
      <w:pPr>
        <w:widowControl/>
        <w:spacing w:before="0" w:after="40"/>
      </w:pPr>
    </w:p>
    <w:p>
      <w:pPr>
        <w:widowControl/>
      </w:pPr>
      <w:r>
        <w:t>The ordered package for a target is selected from measured constraints, not from national income or an assumption that every population wants the same book. High foundational learning gaps move complete literacy, numeracy, science, and teacher/facilitator packages forward. Large adult livelihood cohorts can move finance, management, health, agriculture, climate, safety, or computing packages forward. Large tertiary and research cohorts with thin open native-language sequences can move gateway, methods, and advanced work forward even when school outcomes are strong.</w:t>
      </w:r>
    </w:p>
    <w:p>
      <w:pPr>
        <w:pStyle w:val="Heading2"/>
        <w:widowControl/>
      </w:pPr>
      <w:r>
        <w:t>7.3 Open, autonomous, and accessible by construction</w:t>
      </w:r>
    </w:p>
    <w:p>
      <w:pPr>
        <w:widowControl/>
      </w:pPr>
      <w:r>
        <w:t>For the intended access outcome, open availability is a functional requirement. A package that cannot lawfully be downloaded, retained, copied, adapted, translated, and redistributed cannot support a global language programme on equal terms. “Free to read,” “openly licensed,” “complete for self-study,” “available offline,” and “accessible” are therefore separate audited properties; none is inferred from another.</w:t>
      </w:r>
    </w:p>
    <w:p>
      <w:pPr>
        <w:widowControl/>
      </w:pPr>
      <w:r>
        <w:t>The current canon audit makes the supply boundary concrete. The language-neutral canon contains 118 records: 73 OpenStax single-course textbooks and 45 complementary open or reference resources. The OpenStax records are concentrated at upper-secondary and introductory tertiary levels (65 records at ISCED 5 and 64 at ISCED 6); it has no level-0, level-1, level-7, or level-8 record and only one level-2 record. The eight Open Logic records form a narrow formal-logic and research pathway rather than a general curriculum. Domain and ISCED memberships are overlapping descriptive classifications generated from catalogue/title fields, not unique-title counts, importance weights, or proof of target-language coverage. These counts are catalogue records, not proof that a target language has a usable translated route.</w:t>
      </w:r>
    </w:p>
    <w:p>
      <w:pPr>
        <w:widowControl/>
      </w:pPr>
      <w:r>
        <w:t xml:space="preserve">In the exact target-stage-canon sweep, 148 target profiles were crossed with seven stages (E0-E6) and five controlled subject canons, producing 5,180 cells. Only 32 cells were </w:t>
      </w:r>
      <w:r>
        <w:rPr>
          <w:rFonts w:ascii="Consolas" w:hAnsi="Consolas" w:eastAsia="Consolas" w:cs="Consolas"/>
          <w:color w:val="31465A"/>
          <w:sz w:val="21"/>
        </w:rPr>
        <w:t>RESOURCE_FOUND</w:t>
      </w:r>
      <w:r>
        <w:t xml:space="preserve">; all 32 are Hindi or Urdu NCERT/ePathshala routes at selected stages and canons. They establish free access at those endpoints but fail the audited open-adaptation/redistribution tests. The remaining 5,148 cells are </w:t>
      </w:r>
      <w:r>
        <w:rPr>
          <w:rFonts w:ascii="Consolas" w:hAnsi="Consolas" w:eastAsia="Consolas" w:cs="Consolas"/>
          <w:color w:val="31465A"/>
          <w:sz w:val="21"/>
        </w:rPr>
        <w:t>SEARCH_UNRESOLVED</w:t>
      </w:r>
      <w:r>
        <w:t xml:space="preserve"> (4,852 F0 and 296 F1), not evidence that no resource exists. No numeric resource-scarcity value is imputed from either state. The matrix uses </w:t>
      </w:r>
      <w:r>
        <w:rPr>
          <w:rFonts w:ascii="Consolas" w:hAnsi="Consolas" w:eastAsia="Consolas" w:cs="Consolas"/>
          <w:color w:val="31465A"/>
          <w:sz w:val="21"/>
        </w:rPr>
        <w:t>lang:zh-Hans-CX</w:t>
      </w:r>
      <w:r>
        <w:t xml:space="preserve"> for its Chinese route while the population target is </w:t>
      </w:r>
      <w:r>
        <w:rPr>
          <w:rFonts w:ascii="Consolas" w:hAnsi="Consolas" w:eastAsia="Consolas" w:cs="Consolas"/>
          <w:color w:val="31465A"/>
          <w:sz w:val="21"/>
        </w:rPr>
        <w:t>zh-Hans-CN</w:t>
      </w:r>
      <w:r>
        <w:t xml:space="preserve">, and its </w:t>
      </w:r>
      <w:r>
        <w:rPr>
          <w:rFonts w:ascii="Consolas" w:hAnsi="Consolas" w:eastAsia="Consolas" w:cs="Consolas"/>
          <w:color w:val="31465A"/>
          <w:sz w:val="21"/>
        </w:rPr>
        <w:t>lang:id-Latn-ID</w:t>
      </w:r>
      <w:r>
        <w:t xml:space="preserve"> rows are not the separate national SIBI evidence route; these are explicit crosswalk gaps, not evidence of absence or proof of coverage. The exact-cell matrix and validation receipt are therefore part of the paper’s evidence, not a hidden assumption behind its ranking.</w:t>
      </w:r>
    </w:p>
    <w:p>
      <w:pPr>
        <w:widowControl/>
      </w:pPr>
      <w:r>
        <w:t>The supply-fit implications are staged rather than language-blind:</w:t>
      </w:r>
    </w:p>
    <w:tbl>
      <w:tblPr>
        <w:jc w:val="left"/>
        <w:tblLook w:firstColumn="1" w:firstRow="1" w:lastColumn="0" w:lastRow="0" w:noHBand="0" w:noVBand="1" w:val="04A0"/>
        <w:tblW w:w="93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679"/>
        <w:gridCol w:w="3196"/>
        <w:gridCol w:w="3485"/>
      </w:tblGrid>
      <w:tr>
        <w:trPr>
          <w:tblHeader w:val="true"/>
          <w:cantSplit w:val="true"/>
        </w:trPr>
        <w:tc>
          <w:tcPr>
            <w:tcW w:type="dxa" w:w="267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Need band</w:t>
            </w:r>
          </w:p>
        </w:tc>
        <w:tc>
          <w:tcPr>
            <w:tcW w:type="dxa" w:w="319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Strongest current open components</w:t>
            </w:r>
          </w:p>
        </w:tc>
        <w:tc>
          <w:tcPr>
            <w:tcW w:type="dxa" w:w="348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7"/>
              </w:rPr>
              <w:t>What remains an unmet commissioning task</w:t>
            </w:r>
          </w:p>
        </w:tc>
      </w:tr>
      <w:tr>
        <w:trPr>
          <w:cantSplit w:val="true"/>
        </w:trPr>
        <w:tc>
          <w:tcPr>
            <w:tcW w:type="dxa" w:w="26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E0-E1 foundation and early numeracy</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African Storybook, Global Digital Library early-reading/early-math candidates</w:t>
            </w:r>
          </w:p>
        </w:tc>
        <w:tc>
          <w:tcPr>
            <w:tcW w:type="dxa" w:w="34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Complete diagnostic/mastery spine, planned language bridge, answers, and verified accessibility/offline route</w:t>
            </w:r>
          </w:p>
        </w:tc>
      </w:tr>
      <w:tr>
        <w:trPr>
          <w:cantSplit w:val="true"/>
        </w:trPr>
        <w:tc>
          <w:tcPr>
            <w:tcW w:type="dxa" w:w="26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E1-E3 primary/lower-secondary STEM and device-light computing</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Siyavula mathematics/science, CS Unplugged, PhET, selected OpenStax supplements</w:t>
            </w:r>
          </w:p>
        </w:tc>
        <w:tc>
          <w:tcPr>
            <w:tcW w:type="dxa" w:w="34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Whole-school sequence, local-language examples, complete feedback, and rights/format checks</w:t>
            </w:r>
          </w:p>
        </w:tc>
      </w:tr>
      <w:tr>
        <w:trPr>
          <w:cantSplit w:val="true"/>
        </w:trPr>
        <w:tc>
          <w:tcPr>
            <w:tcW w:type="dxa" w:w="26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E3-E6 quantitative STEM and formal reasoning</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OpenStax algebra/statistics/calculus/science, OpenIntro, Active Calculus, forallx/Open Logic</w:t>
            </w:r>
          </w:p>
        </w:tc>
        <w:tc>
          <w:tcPr>
            <w:tcW w:type="dxa" w:w="34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Prerequisite map, localized terminology/examples, complete solutions, and target-language evidence</w:t>
            </w:r>
          </w:p>
        </w:tc>
      </w:tr>
      <w:tr>
        <w:trPr>
          <w:cantSplit w:val="true"/>
        </w:trPr>
        <w:tc>
          <w:tcPr>
            <w:tcW w:type="dxa" w:w="26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E4-E7 health, agriculture, climate, and TVET</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Open RN, OpenStax nursing, soil/environmental texts, FAO manuals, Carpentries/Turing Way</w:t>
            </w:r>
          </w:p>
        </w:tc>
        <w:tc>
          <w:tcPr>
            <w:tcW w:type="dxa" w:w="34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Community-language self-study spine, clinical/jurisdictional updating, occupational practice and assessment</w:t>
            </w:r>
          </w:p>
        </w:tc>
      </w:tr>
      <w:tr>
        <w:trPr>
          <w:cantSplit w:val="true"/>
        </w:trPr>
        <w:tc>
          <w:tcPr>
            <w:tcW w:type="dxa" w:w="26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E5-E8 advanced research</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Open Logic, selected MIT OCW, Stacks Project, research-methods and open-science resources</w:t>
            </w:r>
          </w:p>
        </w:tc>
        <w:tc>
          <w:tcPr>
            <w:tcW w:type="dxa" w:w="34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7"/>
              </w:rPr>
              <w:t>Broad specialist corpus, multilingual research navigation, source completeness, and accessible semantic delivery</w:t>
            </w:r>
          </w:p>
        </w:tc>
      </w:tr>
    </w:tbl>
    <w:p>
      <w:pPr>
        <w:widowControl/>
        <w:spacing w:before="0" w:after="40"/>
      </w:pPr>
    </w:p>
    <w:p>
      <w:pPr>
        <w:widowControl/>
      </w:pPr>
      <w:r>
        <w:t>The mapping is a conditional supply inventory. It does not claim that a catalogue title is available in a target language, that a free download is adaptable, or that a component forms a complete autonomous curriculum. A many-to-many stage/subject crosswalk is retained because the needs map uses 63 material-priority rows while the exact-cell canon uses 5,180 target-stage-canon rows.</w:t>
      </w:r>
    </w:p>
    <w:p>
      <w:pPr>
        <w:widowControl/>
      </w:pPr>
      <w:r>
        <w:t>Every core learner package should include a prerequisite map and entry diagnostic; short explanations with explicit worked models; guided and independent practice; complete answers with reasoning; mastery checks and cumulative review; a glossary connecting the learner's strong language, national bridge language, and international search terminology; low-bandwidth downloadable source; accessibility alternatives carrying the same essential content; and a route to the next stage. A teacher or facilitator edition can add lesson routines, diagnostic guidance, common misconceptions, multilingual pedagogy, and low-cost practicals, but teacher availability is not a prerequisite for learner access.</w:t>
      </w:r>
    </w:p>
    <w:p>
      <w:pPr>
        <w:widowControl/>
      </w:pPr>
      <w:r>
        <w:t>Delivery is evaluated as a set of independent routes: semantic HTML and MathML for screen-reader and reflow use; EPUB; tagged PDF; print-ready files; captioned or signed video; audio/DAISY where the content permits it; plain-language companions; and small, mirrorable offline bundles for phone, local server, USB, or memory card. Essential mathematics, diagrams, or instructions may not be trapped in unlabelled images. Code and data examples must run without a mandatory paid service. Health, agriculture, finance, law, safety, and other time-sensitive material requires visible jurisdiction, version date, and maintenance route.</w:t>
      </w:r>
    </w:p>
    <w:p>
      <w:pPr>
        <w:pStyle w:val="Heading1"/>
        <w:widowControl/>
      </w:pPr>
      <w:r>
        <w:t>8. Interlanguages and bridge designs</w:t>
      </w:r>
    </w:p>
    <w:p>
      <w:pPr>
        <w:widowControl/>
      </w:pPr>
      <w:r>
        <w:t>An interlanguage can be valuable below perfect comprehension. The relevant outcome is functional increase in comprehension at a stated stage and genre, net of training burden and overlap with existing editions. Its name or family affiliation supplies no population evidence.</w:t>
      </w:r>
    </w:p>
    <w:p>
      <w:pPr>
        <w:widowControl/>
      </w:pPr>
      <w:r>
        <w:t>Mathematics deserves a domain-specific treatment. Formal notation can carry relations for readers who already possess sufficient mathematical background, which may make symbol-dense worked examples or formulas more accessible across related languages than ordinary prose. It does not remove the language burden of definitions, hypotheses, quantifiers, proof structure, explanations, word problems, or pedagogy. The study therefore distinguishes worked examples, definitions, proof prose, word problems, and research reference use rather than assigning one comprehension multiplier to “mathematics.”</w:t>
      </w:r>
    </w:p>
    <w:p>
      <w:pPr>
        <w:widowControl/>
      </w:pPr>
      <w:r>
        <w:t>The literature supports a conditional bridge advantage rather than either blanket dismissal or blanket coverage. Formula-plus-text or formula-plus-graphic representations can help when their roles and notation are familiar, while symbol-bearing conceptual text can also increase reading difficulty. Exact numerical knowledge can remain tied to the language in which it was learned, and language proficiency predicts contextual or word-problem performance more strongly than bare computation (Österholm, 2006; Ott et al., 2018; Malone et al., 2020; Spelke &amp; Tsivkin, 2001; Hahn et al., 2019; Hickendorff, 2013; Trakulphadetkrai et al., 2020). The plausible breakpoint is therefore an interaction among prior mathematical knowledge, notation familiarity, technical lexicon, prose density, learner stage, and task purpose. Advanced readers consulting a familiar argument can exploit partial prose recovery more effectively than beginners learning a definition or solving a contextual problem.</w:t>
      </w:r>
    </w:p>
    <w:p>
      <w:pPr>
        <w:widowControl/>
      </w:pPr>
      <w:r>
        <w:t>No reviewed profile currently has a representative estimate of mathematical learning gained through an interlanguage or receptive bridge. General cloze, word recognition, short-text comprehension, training studies, and technical-lexicon comparisons justify experiments and production sharing, but they do not identify proof comprehension, transfer, or family-wide reach. The current bridge lane consequently distinguishes: (1) shared-source parallel natural standards that can be deployed while preserving labels, scripts, and terminology; (2) natural receptive pairs and learned intercomprehension strategies warranting direct mathematics experiments; (3) learned regional or international languages serving measured proficient users; and (4) speculative constructed codes that remain hypotheses. Missing mathematics-specific gain remains unidentified rather than being assigned zero.</w:t>
      </w:r>
    </w:p>
    <w:p>
      <w:pPr>
        <w:widowControl/>
      </w:pPr>
      <w:r>
        <w:t>The bridge matrix records exact communities, script and orthography, comprehension without prior study where measured, learned exposure, shared-source standardization, overlap with English or native editions, displaced or diaspora use, non-served groups, and uncertainty. It includes evidence and hypotheses for Interslavic, Romance intercomprehension and constructed Romance designs, Turkic parallel or bridge designs, Persian-Dari-Tajik, Hindi-Urdu, Scandinavian receptive multilingualism, Kiswahili, Modern Standard Arabic, West African Pidgin varieties, Esperanto, International Sign, and possible Germanic profiles. Constructed Inter-Germanic remains a research hypothesis; a pan-Germanic register is not assumed to serve Low German, Plautdietsch, Pennsylvania Dutch, Hutterisch, Frisian, Afrikaans, Yiddish, Scots, Faroese, or other communities without direct evidence.</w:t>
      </w:r>
    </w:p>
    <w:p>
      <w:pPr>
        <w:widowControl/>
      </w:pPr>
      <w:r>
        <w:t>Production efficiency and beneficiary reach remain separate. A shared semantic source, terminology layer, or script-conversion pipeline can reduce compute for several editions even when no reader understands the common source directly. Conversely, demonstrated no-study comprehension can increase reach but may still require separate scripts, terminology, examples, or curriculum overlays.</w:t>
      </w:r>
    </w:p>
    <w:p>
      <w:pPr>
        <w:widowControl/>
        <w:sectPr>
          <w:headerReference w:type="default" r:id="rId19"/>
          <w:footerReference w:type="default" r:id="rId20"/>
          <w:pgSz w:w="12240" w:h="15840"/>
          <w:pgMar w:top="1440" w:right="1440" w:bottom="1440" w:left="1440" w:header="708" w:footer="708" w:gutter="0"/>
          <w:cols w:space="720"/>
          <w:docGrid w:linePitch="360"/>
        </w:sectPr>
      </w:pPr>
    </w:p>
    <w:p>
      <w:pPr>
        <w:pStyle w:val="Heading1"/>
        <w:widowControl/>
        <w:ind w:right="1800" w:left="1800"/>
      </w:pPr>
      <w:r>
        <w:t>9. Reproducibility and release design</w:t>
      </w:r>
    </w:p>
    <w:p>
      <w:pPr>
        <w:widowControl/>
        <w:ind w:right="1800" w:left="1800"/>
      </w:pPr>
      <w:r>
        <w:t>The public package separates authority, evidence, modeling, and decision outputs. The authority contains 1,077 targets. The evidence authorization ledger has 850 records and admits 259 population observations to 204 direct-person targets; three stage observations collapse to 2 stage targets. The source-to-score crosswalk contains 850 rows. The public-safe score table contains 1,077 rows and suppresses non-empirical population values for 871 unranked targets.</w:t>
      </w:r>
    </w:p>
    <w:p>
      <w:pPr>
        <w:widowControl/>
        <w:ind w:right="1800" w:left="1800"/>
      </w:pPr>
      <w:r>
        <w:t xml:space="preserve">The direct-person source-trace audit passes all target, authorization, source, bound-normalization, forbidden-predictor, and rank-sequence checks. The territory-binding audit checks 921 valid BCP-47 region rows and 87 unresolved identities with zero mismatches. The portfolio audit contains 186 rows across the direct, stage, context/value-of-information, structural, displacement, and bridge lanes. The inclusion audit reports </w:t>
      </w:r>
      <w:r>
        <w:rPr>
          <w:rFonts w:ascii="Consolas" w:hAnsi="Consolas" w:eastAsia="Consolas" w:cs="Consolas"/>
          <w:color w:val="31465A"/>
          <w:sz w:val="21"/>
        </w:rPr>
        <w:t>PASS_WITH_EXPLICIT_EVIDENCE_GAPS</w:t>
      </w:r>
      <w:r>
        <w:t>: that status is an honest description of a versioned global search, not a claim that every language has a measured denominator.</w:t>
      </w:r>
    </w:p>
    <w:p>
      <w:pPr>
        <w:widowControl/>
        <w:ind w:right="1800" w:left="1800"/>
      </w:pPr>
      <w:r>
        <w:t>Key frozen artifacts are: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5080"/>
        <w:gridCol w:w="3874"/>
        <w:gridCol w:w="4006"/>
      </w:tblGrid>
      <w:tr>
        <w:trPr>
          <w:tblHeader w:val="true"/>
          <w:cantSplit w:val="true"/>
        </w:trPr>
        <w:tc>
          <w:tcPr>
            <w:tcW w:type="dxa" w:w="508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Artifact</w:t>
            </w:r>
          </w:p>
        </w:tc>
        <w:tc>
          <w:tcPr>
            <w:tcW w:type="dxa" w:w="387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Purpose</w:t>
            </w:r>
          </w:p>
        </w:tc>
        <w:tc>
          <w:tcPr>
            <w:tcW w:type="dxa" w:w="400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SHA-256</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structured/GLOBAL_TARGET_SCORE_TABLE_PUBLIC_v3.csv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Public-safe all-target score and disposition table</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08845507E3EB0B1963249B5227A657913503093BA00B823F2D383FA19ECE0313</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structured/TOP100_NEEDS_ONLY_v3.csv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Full direct-person Top 100</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B97EF9CD8322226C20F5BEDE8BCD8E7E19BD7995C2D2DB7169D5BBD40E38D183</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structured/GLOBAL_FUNDING_PORTFOLIO_v1.csv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Multi-lane allocation portfolio</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126114DE07AE1A86471E448AB76C9D6AE409656C89930414CDFA87E4A91CEDB3</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structured/GLOBAL_INCLUSION_DISPOSITION_REGISTER_v1.csv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Full authority/context/structural/bridge/sentinel disposition</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96EBED123BC08AEC801FAC87508506D04A3D96A820B1FE1026F28FAB88DFDB67</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structured/SOURCE_TO_SCORE_CROSSWALK_v1.csv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Source-record disposition crosswalk</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9ED049D05D47A0DED2842E9A74966A939FEDB2F7DA7A60D3AA9D27611AAB719A</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structured/RANK_SENSITIVITY_SUMMARY_v1.csv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Prior and factor-removal rank stability</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2EB2DCDD66AC0055CFABEA900A4DA76F47F765B4415A4688B79257BF4280CE3D</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structured/TOP100_COMPUTE_EFFICIENCY_v3.csv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Standardized new-compute Top 100 planning order</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C98A2C2CAF1ABF972EB277CE8656C2C5E5CCDB698AABE4039D918F1595B41E11</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agent_reports/STAGE_SUBJECT_NEEDS_MAPPING.csv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Population-stage-subject recommendations</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EC5E15932D9EE33CC4ACCD25F6B85C81D992660195C7FB753849437964C98132</w:t>
            </w:r>
          </w:p>
        </w:tc>
      </w:tr>
      <w:tr>
        <w:trPr>
          <w:cantSplit w:val="true"/>
        </w:trPr>
        <w:tc>
          <w:tcPr>
            <w:tcW w:type="dxa" w:w="508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agent_reports/INTERLANGUAGE_STRUCTURED_EVIDENCE_MATRIX.csv</w:t>
            </w:r>
          </w:p>
        </w:tc>
        <w:tc>
          <w:tcPr>
            <w:tcW w:type="dxa" w:w="38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Bridge/interlanguage evidence and non-served groups</w:t>
            </w:r>
          </w:p>
        </w:tc>
        <w:tc>
          <w:tcPr>
            <w:tcW w:type="dxa" w:w="400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color w:val="31465A"/>
                <w:sz w:val="16"/>
              </w:rPr>
              <w:t>BD5D2128A69A042069D74AD27906FA9A08A27A2E8A9F8EC93845BA8827E118CF</w:t>
            </w:r>
          </w:p>
        </w:tc>
      </w:tr>
    </w:tbl>
    <w:p>
      <w:pPr>
        <w:widowControl/>
        <w:spacing w:before="0" w:after="40"/>
      </w:pPr>
    </w:p>
    <w:p>
      <w:pPr>
        <w:widowControl/>
        <w:ind w:right="1800" w:left="1800"/>
      </w:pPr>
      <w:r>
        <w:t>The executable model retains fixed target-set equality, source and row hashes, a forbidden-predictor scan, deterministic SHA-256-addressed draws, L-ID partial-identification bounds, four prior families, seven factor-removal scenarios, and explicit script-envelope compute assumptions. The compute comparison is a fresh-equivalent planning unit, not a price conversion. Local holdings, prior project completion, sunk compute, personal preferences, national income, prestige, and demographic quotas are absent from the model and the portfolio builder.</w:t>
      </w:r>
    </w:p>
    <w:p>
      <w:pPr>
        <w:widowControl/>
        <w:ind w:right="1800" w:left="1800"/>
      </w:pPr>
      <w:r>
        <w:t xml:space="preserve">The canonical public repository is </w:t>
      </w:r>
      <w:hyperlink r:id="rId23">
        <w:r>
          <w:rPr>
            <w:rFonts w:ascii="Calibri" w:hAnsi="Calibri" w:eastAsia="Calibri" w:cs="Calibri"/>
            <w:color w:val="2E74B5"/>
            <w:u w:val="single"/>
          </w:rPr>
          <w:t xml:space="preserve">https://github.com/KokunoYumeto/allocating-ai-translation-compute-for-educational-access</w:t>
        </w:r>
      </w:hyperlink>
      <w:r>
        <w:t>.</w:t>
      </w:r>
      <w:r>
        <w:t xml:space="preserve"> The release includes this paper as PDF, DOCX, Markdown, and readable offline HTML together with the machine-readable tables, sources, scripts, and sanitized QA receipts. Public-byte readback is required after both GitHub and Zenodo publication.</w:t>
      </w:r>
    </w:p>
    <w:p>
      <w:pPr>
        <w:pStyle w:val="Heading1"/>
        <w:widowControl/>
        <w:spacing w:before="80" w:after="40"/>
        <w:ind w:right="1800" w:left="1800"/>
      </w:pPr>
      <w:r>
        <w:t>10. Limitations</w:t>
      </w:r>
    </w:p>
    <w:p>
      <w:pPr>
        <w:widowControl/>
        <w:ind w:right="0" w:left="1800"/>
      </w:pPr>
      <w:r>
        <w:t>Academic-language comprehension, community-specific learning outcomes, open-resource coverage, overlapping access constraints, production feasibility, mathematics-specific interlanguage performance, and causal package effects remain incompletely measured. Official status and exposure do not establish proficiency. These gaps govern uncertainty, rankability, and evidence acquisition; they do not justify convenient proxies or excluding underdocumented populations. Every claim retains its denominator, and unsupported quantities remain missing.</w:t>
      </w:r>
    </w:p>
    <w:p>
      <w:pPr>
        <w:pStyle w:val="Heading1"/>
        <w:pageBreakBefore/>
        <w:widowControl/>
        <w:ind w:right="1800" w:left="1800"/>
      </w:pPr>
      <w:r>
        <w:t>Appendix A. Full direct-person and standardized-compute orders</w:t>
      </w:r>
    </w:p>
    <w:p>
      <w:pPr>
        <w:pStyle w:val="Heading2"/>
        <w:widowControl/>
        <w:ind w:right="1800" w:left="1800"/>
      </w:pPr>
      <w:r>
        <w:t>A.1 Direct-person Top 100</w:t>
      </w:r>
    </w:p>
    <w:p>
      <w:pPr>
        <w:widowControl/>
        <w:ind w:right="1800" w:left="1800"/>
      </w:pPr>
      <w:r>
        <w:t xml:space="preserve">The table is complete for the comparable reference need order. Population entries retain points or source intervals; model medians are rounded display values. Exact definitions, sources, URLs, hashes, uncertainty fields, and compute estimates are in </w:t>
      </w:r>
      <w:r>
        <w:rPr>
          <w:rFonts w:ascii="Consolas" w:hAnsi="Consolas" w:eastAsia="Consolas" w:cs="Consolas"/>
          <w:color w:val="31465A"/>
          <w:sz w:val="21"/>
        </w:rPr>
        <w:t>structured/GLOBAL_FUNDING_PORTFOLIO_v1.csv</w:t>
      </w:r>
      <w:r>
        <w:t xml:space="preserve"> and </w:t>
      </w:r>
      <w:r>
        <w:rPr>
          <w:rFonts w:ascii="Consolas" w:hAnsi="Consolas" w:eastAsia="Consolas" w:cs="Consolas"/>
          <w:color w:val="31465A"/>
          <w:sz w:val="21"/>
        </w:rPr>
        <w:t>structured/TOP100_NEEDS_ONLY_v3.csv</w:t>
      </w:r>
      <w:r>
        <w:t>. Rows are standalone interventions and must not be summed without a disjoint-person crosswalk.</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136"/>
        <w:gridCol w:w="3365"/>
        <w:gridCol w:w="2405"/>
        <w:gridCol w:w="2516"/>
        <w:gridCol w:w="1621"/>
        <w:gridCol w:w="1917"/>
      </w:tblGrid>
      <w:tr>
        <w:trPr>
          <w:tblHeader w:val="true"/>
          <w:cantSplit w:val="true"/>
        </w:trPr>
        <w:tc>
          <w:tcPr>
            <w:tcW w:type="dxa" w:w="113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Rank</w:t>
            </w:r>
          </w:p>
        </w:tc>
        <w:tc>
          <w:tcPr>
            <w:tcW w:type="dxa" w:w="336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Exact target</w:t>
            </w:r>
          </w:p>
        </w:tc>
        <w:tc>
          <w:tcPr>
            <w:tcW w:type="dxa" w:w="240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Source population</w:t>
            </w:r>
          </w:p>
        </w:tc>
        <w:tc>
          <w:tcPr>
            <w:tcW w:type="dxa" w:w="251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Reference year</w:t>
            </w:r>
          </w:p>
        </w:tc>
        <w:tc>
          <w:tcPr>
            <w:tcW w:type="dxa" w:w="162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Model median</w:t>
            </w:r>
          </w:p>
        </w:tc>
        <w:tc>
          <w:tcPr>
            <w:tcW w:type="dxa" w:w="191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Top-100 probability</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Hindi (</w:t>
            </w:r>
            <w:r>
              <w:rPr>
                <w:rFonts w:ascii="Calibri" w:hAnsi="Calibri" w:eastAsia="Calibri" w:cs="Calibri"/>
                <w:color w:val="31465A"/>
                <w:sz w:val="16"/>
              </w:rPr>
              <w:t>hi-Deva-IN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322,230,097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119,286,966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Bahasa Indonesia (</w:t>
            </w:r>
            <w:r>
              <w:rPr>
                <w:rFonts w:ascii="Calibri" w:hAnsi="Calibri" w:eastAsia="Calibri" w:cs="Calibri"/>
                <w:color w:val="31465A"/>
                <w:sz w:val="16"/>
              </w:rPr>
              <w:t>id-Latn-ID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248,501,794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87,463,029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  Russian Federation (</w:t>
            </w:r>
            <w:r>
              <w:rPr>
                <w:rFonts w:ascii="Calibri" w:hAnsi="Calibri" w:eastAsia="Calibri" w:cs="Calibri"/>
                <w:color w:val="31465A"/>
                <w:sz w:val="16"/>
              </w:rPr>
              <w:t>ru-Cyrl-RU</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134,319,233</w:t>
            </w:r>
          </w:p>
        </w:tc>
        <w:tc>
          <w:tcPr>
            <w:tcW w:type="dxa" w:w="251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2020 Census; reference date 2021-10-01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48,028,115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Punjabi (Pakistan standard) (</w:t>
            </w:r>
            <w:r>
              <w:rPr>
                <w:rFonts w:ascii="Calibri" w:hAnsi="Calibri" w:eastAsia="Calibri" w:cs="Calibri"/>
                <w:color w:val="31465A"/>
                <w:sz w:val="16"/>
              </w:rPr>
              <w:t>pnb-Arab-PK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88,915,544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38,667,896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Bengali (India standard) (</w:t>
            </w:r>
            <w:r>
              <w:rPr>
                <w:rFonts w:ascii="Calibri" w:hAnsi="Calibri" w:eastAsia="Calibri" w:cs="Calibri"/>
                <w:color w:val="31465A"/>
                <w:sz w:val="16"/>
              </w:rPr>
              <w:t>bn-Beng-IN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96,177,835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35,118,380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Marathi (</w:t>
            </w:r>
            <w:r>
              <w:rPr>
                <w:rFonts w:ascii="Calibri" w:hAnsi="Calibri" w:eastAsia="Calibri" w:cs="Calibri"/>
                <w:color w:val="31465A"/>
                <w:sz w:val="16"/>
              </w:rPr>
              <w:t>mr-Deva-IN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82,801,140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30,978,380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Telugu (</w:t>
            </w:r>
            <w:r>
              <w:rPr>
                <w:rFonts w:ascii="Calibri" w:hAnsi="Calibri" w:eastAsia="Calibri" w:cs="Calibri"/>
                <w:color w:val="31465A"/>
                <w:sz w:val="16"/>
              </w:rPr>
              <w:t>te-Telu-IN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81,127,740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30,332,495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Tamil (India standard) (</w:t>
            </w:r>
            <w:r>
              <w:rPr>
                <w:rFonts w:ascii="Calibri" w:hAnsi="Calibri" w:eastAsia="Calibri" w:cs="Calibri"/>
                <w:color w:val="31465A"/>
                <w:sz w:val="16"/>
              </w:rPr>
              <w:t>ta-Taml-IN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68,888,839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25,238,208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Javanese (</w:t>
            </w:r>
            <w:r>
              <w:rPr>
                <w:rFonts w:ascii="Calibri" w:hAnsi="Calibri" w:eastAsia="Calibri" w:cs="Calibri"/>
                <w:color w:val="31465A"/>
                <w:sz w:val="16"/>
              </w:rPr>
              <w:t>jv-Latn-ID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68,044,660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24,717,315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Central Thai (</w:t>
            </w:r>
            <w:r>
              <w:rPr>
                <w:rFonts w:ascii="Calibri" w:hAnsi="Calibri" w:eastAsia="Calibri" w:cs="Calibri"/>
                <w:color w:val="31465A"/>
                <w:sz w:val="16"/>
              </w:rPr>
              <w:t>th-Thai-TH</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64,080,191</w:t>
            </w:r>
          </w:p>
        </w:tc>
        <w:tc>
          <w:tcPr>
            <w:tcW w:type="dxa" w:w="251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2010-09-01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21,854,153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Gujarati (</w:t>
            </w:r>
            <w:r>
              <w:rPr>
                <w:rFonts w:ascii="Calibri" w:hAnsi="Calibri" w:eastAsia="Calibri" w:cs="Calibri"/>
                <w:color w:val="31465A"/>
                <w:sz w:val="16"/>
              </w:rPr>
              <w:t>gu-Gujr-IN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55,036,204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20,261,192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Pashto (Pakistan curriculum pack) (</w:t>
            </w:r>
            <w:r>
              <w:rPr>
                <w:rFonts w:ascii="Calibri" w:hAnsi="Calibri" w:eastAsia="Calibri" w:cs="Calibri"/>
                <w:color w:val="31465A"/>
                <w:sz w:val="16"/>
              </w:rPr>
              <w:t>ps-Arab-PK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43,633,946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19,363,224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Bhojpuri (</w:t>
            </w:r>
            <w:r>
              <w:rPr>
                <w:rFonts w:ascii="Calibri" w:hAnsi="Calibri" w:eastAsia="Calibri" w:cs="Calibri"/>
                <w:color w:val="31465A"/>
                <w:sz w:val="16"/>
              </w:rPr>
              <w:t>bho-Deva-IN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50,579,447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18,937,757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w:t>
            </w:r>
            <w:r>
              <w:rPr>
                <w:rFonts w:ascii="Calibri" w:hAnsi="Calibri" w:eastAsia="Calibri" w:cs="Calibri"/>
                <w:color w:val="31465A"/>
                <w:sz w:val="16"/>
              </w:rPr>
              <w:t>ur-Arab-IN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50,725,762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18,746,774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Burmese (</w:t>
            </w:r>
            <w:r>
              <w:rPr>
                <w:rFonts w:ascii="Calibri" w:hAnsi="Calibri" w:eastAsia="Calibri" w:cs="Calibri"/>
                <w:color w:val="31465A"/>
                <w:sz w:val="16"/>
              </w:rPr>
              <w:t>my-Mymr-MM</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36,000,000-41,000,000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17,171,729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Uzbek (</w:t>
            </w:r>
            <w:r>
              <w:rPr>
                <w:rFonts w:ascii="Calibri" w:hAnsi="Calibri" w:eastAsia="Calibri" w:cs="Calibri"/>
                <w:color w:val="31465A"/>
                <w:sz w:val="16"/>
              </w:rPr>
              <w:t>uz-Latn-UZ</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35,700,000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2026</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16,913,981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Kannada (</w:t>
            </w:r>
            <w:r>
              <w:rPr>
                <w:rFonts w:ascii="Calibri" w:hAnsi="Calibri" w:eastAsia="Calibri" w:cs="Calibri"/>
                <w:color w:val="31465A"/>
                <w:sz w:val="16"/>
              </w:rPr>
              <w:t>kn-Knda-IN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43,506,272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16,061,994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Sindhi (Pakistan standard) (</w:t>
            </w:r>
            <w:r>
              <w:rPr>
                <w:rFonts w:ascii="Calibri" w:hAnsi="Calibri" w:eastAsia="Calibri" w:cs="Calibri"/>
                <w:color w:val="31465A"/>
                <w:sz w:val="16"/>
              </w:rPr>
              <w:t>sd-Arab-PK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34,401,564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15,421,635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Moroccan Arabic (</w:t>
            </w:r>
            <w:r>
              <w:rPr>
                <w:rFonts w:ascii="Calibri" w:hAnsi="Calibri" w:eastAsia="Calibri" w:cs="Calibri"/>
                <w:color w:val="31465A"/>
                <w:sz w:val="16"/>
              </w:rPr>
              <w:t>ary-Arab-MA</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34,000,000 [33,000,000-35,000,000]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2024</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14,878,712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Spanish (</w:t>
            </w:r>
            <w:r>
              <w:rPr>
                <w:rFonts w:ascii="Calibri" w:hAnsi="Calibri" w:eastAsia="Calibri" w:cs="Calibri"/>
                <w:color w:val="31465A"/>
                <w:sz w:val="16"/>
              </w:rPr>
              <w:t>es-Latn-US</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43,369,734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13,908,336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Malayalam (</w:t>
            </w:r>
            <w:r>
              <w:rPr>
                <w:rFonts w:ascii="Calibri" w:hAnsi="Calibri" w:eastAsia="Calibri" w:cs="Calibri"/>
                <w:color w:val="31465A"/>
                <w:sz w:val="16"/>
              </w:rPr>
              <w:t>ml-Mlym-IN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34,776,533</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13,036,703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Saraiki (</w:t>
            </w:r>
            <w:r>
              <w:rPr>
                <w:rFonts w:ascii="Calibri" w:hAnsi="Calibri" w:eastAsia="Calibri" w:cs="Calibri"/>
                <w:color w:val="31465A"/>
                <w:sz w:val="16"/>
              </w:rPr>
              <w:t>skr-Arab-PK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28,849,579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12,849,258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Oromo (</w:t>
            </w:r>
            <w:r>
              <w:rPr>
                <w:rFonts w:ascii="Calibri" w:hAnsi="Calibri" w:eastAsia="Calibri" w:cs="Calibri"/>
                <w:color w:val="31465A"/>
                <w:sz w:val="16"/>
              </w:rPr>
              <w:t>om-Latn-ET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24,930,424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2007</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12,790,119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Odia (</w:t>
            </w:r>
            <w:r>
              <w:rPr>
                <w:rFonts w:ascii="Calibri" w:hAnsi="Calibri" w:eastAsia="Calibri" w:cs="Calibri"/>
                <w:color w:val="31465A"/>
                <w:sz w:val="16"/>
              </w:rPr>
              <w:t>or-Orya-IN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34,059,266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12,732,595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Yoruba (</w:t>
            </w:r>
            <w:r>
              <w:rPr>
                <w:rFonts w:ascii="Calibri" w:hAnsi="Calibri" w:eastAsia="Calibri" w:cs="Calibri"/>
                <w:color w:val="31465A"/>
                <w:sz w:val="16"/>
              </w:rPr>
              <w:t>yo-Latn-NG</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30,000,000 [28,000,000-32,000,000]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2026</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12,548,589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Sundanese (</w:t>
            </w:r>
            <w:r>
              <w:rPr>
                <w:rFonts w:ascii="Calibri" w:hAnsi="Calibri" w:eastAsia="Calibri" w:cs="Calibri"/>
                <w:color w:val="31465A"/>
                <w:sz w:val="16"/>
              </w:rPr>
              <w:t>su-Latn-ID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32,412,752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11,691,959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w:t>
            </w:r>
            <w:r>
              <w:rPr>
                <w:rFonts w:ascii="Calibri" w:hAnsi="Calibri" w:eastAsia="Calibri" w:cs="Calibri"/>
                <w:color w:val="31465A"/>
                <w:sz w:val="16"/>
              </w:rPr>
              <w:t>mg-Latn-MG</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23,484,462 [23,472,708-23,496,217]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11,558,560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Eastern Punjabi (</w:t>
            </w:r>
            <w:r>
              <w:rPr>
                <w:rFonts w:ascii="Calibri" w:hAnsi="Calibri" w:eastAsia="Calibri" w:cs="Calibri"/>
                <w:color w:val="31465A"/>
                <w:sz w:val="16"/>
              </w:rPr>
              <w:t>pa-Guru-IN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31,144,095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11,321,067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Amharic (</w:t>
            </w:r>
            <w:r>
              <w:rPr>
                <w:rFonts w:ascii="Calibri" w:hAnsi="Calibri" w:eastAsia="Calibri" w:cs="Calibri"/>
                <w:color w:val="31465A"/>
                <w:sz w:val="16"/>
              </w:rPr>
              <w:t>am-Ethi-ET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21,634,396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2007</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10,832,145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Igbo (</w:t>
            </w:r>
            <w:r>
              <w:rPr>
                <w:rFonts w:ascii="Calibri" w:hAnsi="Calibri" w:eastAsia="Calibri" w:cs="Calibri"/>
                <w:color w:val="31465A"/>
                <w:sz w:val="16"/>
              </w:rPr>
              <w:t>ig-Latn-NG</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25,000,000 [23,000,000-27,000,000]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2026</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10,300,842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w:t>
            </w:r>
            <w:r>
              <w:rPr>
                <w:rFonts w:ascii="Calibri" w:hAnsi="Calibri" w:eastAsia="Calibri" w:cs="Calibri"/>
                <w:color w:val="31465A"/>
                <w:sz w:val="16"/>
              </w:rPr>
              <w:t>ur-Arab-PK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22,249,307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9,880,681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 Mandarin (Guoyu) (</w:t>
            </w:r>
            <w:r>
              <w:rPr>
                <w:rFonts w:ascii="Calibri" w:hAnsi="Calibri" w:eastAsia="Calibri" w:cs="Calibri"/>
                <w:color w:val="31465A"/>
                <w:sz w:val="16"/>
              </w:rPr>
              <w:t>cmn-Hant-TW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21,090,192</w:t>
            </w:r>
          </w:p>
        </w:tc>
        <w:tc>
          <w:tcPr>
            <w:tcW w:type="dxa" w:w="251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2020-11-08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9,109,832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Taiwanese Taigi  -  Southern Min (</w:t>
            </w:r>
            <w:r>
              <w:rPr>
                <w:rFonts w:ascii="Calibri" w:hAnsi="Calibri" w:eastAsia="Calibri" w:cs="Calibri"/>
                <w:color w:val="31465A"/>
                <w:sz w:val="16"/>
              </w:rPr>
              <w:t>nan-Hant-TW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18,728,839</w:t>
            </w:r>
          </w:p>
        </w:tc>
        <w:tc>
          <w:tcPr>
            <w:tcW w:type="dxa" w:w="251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2020-11-08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8,049,853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Kurmanji Kurdish (</w:t>
            </w:r>
            <w:r>
              <w:rPr>
                <w:rFonts w:ascii="Calibri" w:hAnsi="Calibri" w:eastAsia="Calibri" w:cs="Calibri"/>
                <w:color w:val="31465A"/>
                <w:sz w:val="16"/>
              </w:rPr>
              <w:t>kmr-Latn-001</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15,000,000-20,000,000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2025</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7,458,209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Khmer (</w:t>
            </w:r>
            <w:r>
              <w:rPr>
                <w:rFonts w:ascii="Calibri" w:hAnsi="Calibri" w:eastAsia="Calibri" w:cs="Calibri"/>
                <w:color w:val="31465A"/>
                <w:sz w:val="16"/>
              </w:rPr>
              <w:t>km-Khmr-KH</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14,893,134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2019</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6,425,051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Chhattisgarhi (</w:t>
            </w:r>
            <w:r>
              <w:rPr>
                <w:rFonts w:ascii="Calibri" w:hAnsi="Calibri" w:eastAsia="Calibri" w:cs="Calibri"/>
                <w:color w:val="31465A"/>
                <w:sz w:val="16"/>
              </w:rPr>
              <w:t>hne-Deva-IN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16,245,190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6,149,264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isiZulu (</w:t>
            </w:r>
            <w:r>
              <w:rPr>
                <w:rFonts w:ascii="Calibri" w:hAnsi="Calibri" w:eastAsia="Calibri" w:cs="Calibri"/>
                <w:color w:val="31465A"/>
                <w:sz w:val="16"/>
              </w:rPr>
              <w:t>zu-Latn-ZA</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14,613,202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6,036,704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Nepali (Nepal standard) (</w:t>
            </w:r>
            <w:r>
              <w:rPr>
                <w:rFonts w:ascii="Calibri" w:hAnsi="Calibri" w:eastAsia="Calibri" w:cs="Calibri"/>
                <w:color w:val="31465A"/>
                <w:sz w:val="16"/>
              </w:rPr>
              <w:t>ne-Deva-NP</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13,084,457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5,609,219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Assamese (</w:t>
            </w:r>
            <w:r>
              <w:rPr>
                <w:rFonts w:ascii="Calibri" w:hAnsi="Calibri" w:eastAsia="Calibri" w:cs="Calibri"/>
                <w:color w:val="31465A"/>
                <w:sz w:val="16"/>
              </w:rPr>
              <w:t>as-Beng-IN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14,816,414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5,547,295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Kazakh (</w:t>
            </w:r>
            <w:r>
              <w:rPr>
                <w:rFonts w:ascii="Calibri" w:hAnsi="Calibri" w:eastAsia="Calibri" w:cs="Calibri"/>
                <w:color w:val="31465A"/>
                <w:sz w:val="16"/>
              </w:rPr>
              <w:t>kk-Cyrl-KZ</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12,670,407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5,544,880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Maithili (India) (</w:t>
            </w:r>
            <w:r>
              <w:rPr>
                <w:rFonts w:ascii="Calibri" w:hAnsi="Calibri" w:eastAsia="Calibri" w:cs="Calibri"/>
                <w:color w:val="31465A"/>
                <w:sz w:val="16"/>
              </w:rPr>
              <w:t>mai-Deva-IN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13,353,347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4,959,628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Magahi (</w:t>
            </w:r>
            <w:r>
              <w:rPr>
                <w:rFonts w:ascii="Calibri" w:hAnsi="Calibri" w:eastAsia="Calibri" w:cs="Calibri"/>
                <w:color w:val="31465A"/>
                <w:sz w:val="16"/>
              </w:rPr>
              <w:t>mag-Deva-IN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12,706,825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4,708,245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Catalan (</w:t>
            </w:r>
            <w:r>
              <w:rPr>
                <w:rFonts w:ascii="Calibri" w:hAnsi="Calibri" w:eastAsia="Calibri" w:cs="Calibri"/>
                <w:color w:val="31465A"/>
                <w:sz w:val="16"/>
              </w:rPr>
              <w:t>ca-Latn-ES</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10,000,000 [9,000,000-11,000,000]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2026</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4,307,845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isiXhosa (</w:t>
            </w:r>
            <w:r>
              <w:rPr>
                <w:rFonts w:ascii="Calibri" w:hAnsi="Calibri" w:eastAsia="Calibri" w:cs="Calibri"/>
                <w:color w:val="31465A"/>
                <w:sz w:val="16"/>
              </w:rPr>
              <w:t>xh-Latn-ZA</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9,786,928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3,980,641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Kinyarwanda (</w:t>
            </w:r>
            <w:r>
              <w:rPr>
                <w:rFonts w:ascii="Calibri" w:hAnsi="Calibri" w:eastAsia="Calibri" w:cs="Calibri"/>
                <w:color w:val="31465A"/>
                <w:sz w:val="16"/>
              </w:rPr>
              <w:t>rw-Latn-RW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6,490,743 [6,486,597-6,494,888]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3,073,509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Marwari (</w:t>
            </w:r>
            <w:r>
              <w:rPr>
                <w:rFonts w:ascii="Calibri" w:hAnsi="Calibri" w:eastAsia="Calibri" w:cs="Calibri"/>
                <w:color w:val="31465A"/>
                <w:sz w:val="16"/>
              </w:rPr>
              <w:t>mwr-Deva-IN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7,831,749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2,977,338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Madurese (</w:t>
            </w:r>
            <w:r>
              <w:rPr>
                <w:rFonts w:ascii="Calibri" w:hAnsi="Calibri" w:eastAsia="Calibri" w:cs="Calibri"/>
                <w:color w:val="31465A"/>
                <w:sz w:val="16"/>
              </w:rPr>
              <w:t>mad-Latn-ID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7,743,533</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2,820,241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Cantonese (Yue) (</w:t>
            </w:r>
            <w:r>
              <w:rPr>
                <w:rFonts w:ascii="Calibri" w:hAnsi="Calibri" w:eastAsia="Calibri" w:cs="Calibri"/>
                <w:color w:val="31465A"/>
                <w:sz w:val="16"/>
              </w:rPr>
              <w:t>yue-Hant-HK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6,328,947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2,748,977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Turkmen (</w:t>
            </w:r>
            <w:r>
              <w:rPr>
                <w:rFonts w:ascii="Calibri" w:hAnsi="Calibri" w:eastAsia="Calibri" w:cs="Calibri"/>
                <w:color w:val="31465A"/>
                <w:sz w:val="16"/>
              </w:rPr>
              <w:t>tk-Latn-TM</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6,297,965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2,657,005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Somali (</w:t>
            </w:r>
            <w:r>
              <w:rPr>
                <w:rFonts w:ascii="Calibri" w:hAnsi="Calibri" w:eastAsia="Calibri" w:cs="Calibri"/>
                <w:color w:val="31465A"/>
                <w:sz w:val="16"/>
              </w:rPr>
              <w:t>so-Latn-ET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4,609,274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2007</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2,569,049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Sorani Kurdish (</w:t>
            </w:r>
            <w:r>
              <w:rPr>
                <w:rFonts w:ascii="Calibri" w:hAnsi="Calibri" w:eastAsia="Calibri" w:cs="Calibri"/>
                <w:color w:val="31465A"/>
                <w:sz w:val="16"/>
              </w:rPr>
              <w:t>ckb-Arab-001</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6,000,000-8,000,000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2016</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2,517,345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Kyrgyz (</w:t>
            </w:r>
            <w:r>
              <w:rPr>
                <w:rFonts w:ascii="Calibri" w:hAnsi="Calibri" w:eastAsia="Calibri" w:cs="Calibri"/>
                <w:color w:val="31465A"/>
                <w:sz w:val="16"/>
              </w:rPr>
              <w:t>ky-Cyrl-KG</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5,360,056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2,292,964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Tigrinya (</w:t>
            </w:r>
            <w:r>
              <w:rPr>
                <w:rFonts w:ascii="Calibri" w:hAnsi="Calibri" w:eastAsia="Calibri" w:cs="Calibri"/>
                <w:color w:val="31465A"/>
                <w:sz w:val="16"/>
              </w:rPr>
              <w:t>ti-Ethi-ET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4,324,933</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2007</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2,180,833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Paraguayan Guarani (</w:t>
            </w:r>
            <w:r>
              <w:rPr>
                <w:rFonts w:ascii="Calibri" w:hAnsi="Calibri" w:eastAsia="Calibri" w:cs="Calibri"/>
                <w:color w:val="31465A"/>
                <w:sz w:val="16"/>
              </w:rPr>
              <w:t>gug-Latn-PY</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3,792,294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2025</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1,629,362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Georgian (</w:t>
            </w:r>
            <w:r>
              <w:rPr>
                <w:rFonts w:ascii="Calibri" w:hAnsi="Calibri" w:eastAsia="Calibri" w:cs="Calibri"/>
                <w:color w:val="31465A"/>
                <w:sz w:val="16"/>
              </w:rPr>
              <w:t>ka-Geor-GE</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3,343,987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2024</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1,601,359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Minangkabau (</w:t>
            </w:r>
            <w:r>
              <w:rPr>
                <w:rFonts w:ascii="Calibri" w:hAnsi="Calibri" w:eastAsia="Calibri" w:cs="Calibri"/>
                <w:color w:val="31465A"/>
                <w:sz w:val="16"/>
              </w:rPr>
              <w:t>min-Latn-ID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4,230,000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1,537,983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Awadhi (India) (</w:t>
            </w:r>
            <w:r>
              <w:rPr>
                <w:rFonts w:ascii="Calibri" w:hAnsi="Calibri" w:eastAsia="Calibri" w:cs="Calibri"/>
                <w:color w:val="31465A"/>
                <w:sz w:val="16"/>
              </w:rPr>
              <w:t>awa-Deva-IN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3,850,906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1,438,774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Maithili (Nepal) (</w:t>
            </w:r>
            <w:r>
              <w:rPr>
                <w:rFonts w:ascii="Calibri" w:hAnsi="Calibri" w:eastAsia="Calibri" w:cs="Calibri"/>
                <w:color w:val="31465A"/>
                <w:sz w:val="16"/>
              </w:rPr>
              <w:t>mai-Deva-NP</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3,222,389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1,397,627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Armenian (</w:t>
            </w:r>
            <w:r>
              <w:rPr>
                <w:rFonts w:ascii="Calibri" w:hAnsi="Calibri" w:eastAsia="Calibri" w:cs="Calibri"/>
                <w:color w:val="31465A"/>
                <w:sz w:val="16"/>
              </w:rPr>
              <w:t>hy-Armn-AM</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2,840,631</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1,356,593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Banjarese (</w:t>
            </w:r>
            <w:r>
              <w:rPr>
                <w:rFonts w:ascii="Calibri" w:hAnsi="Calibri" w:eastAsia="Calibri" w:cs="Calibri"/>
                <w:color w:val="31465A"/>
                <w:sz w:val="16"/>
              </w:rPr>
              <w:t>bjn-Latn-ID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3,650,000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1,308,737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Buginese (</w:t>
            </w:r>
            <w:r>
              <w:rPr>
                <w:rFonts w:ascii="Calibri" w:hAnsi="Calibri" w:eastAsia="Calibri" w:cs="Calibri"/>
                <w:color w:val="31465A"/>
                <w:sz w:val="16"/>
              </w:rPr>
              <w:t>bug-Latn-ID</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3,510,000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1,266,450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Brahvi (</w:t>
            </w:r>
            <w:r>
              <w:rPr>
                <w:rFonts w:ascii="Calibri" w:hAnsi="Calibri" w:eastAsia="Calibri" w:cs="Calibri"/>
                <w:color w:val="31465A"/>
                <w:sz w:val="16"/>
              </w:rPr>
              <w:t>brh-Arab-PK</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2,778,670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1,198,792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Nepali (India jurisdiction pack) (</w:t>
            </w:r>
            <w:r>
              <w:rPr>
                <w:rFonts w:ascii="Calibri" w:hAnsi="Calibri" w:eastAsia="Calibri" w:cs="Calibri"/>
                <w:color w:val="31465A"/>
                <w:sz w:val="16"/>
              </w:rPr>
              <w:t>ne-Deva-IN</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2,925,796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1,106,714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Bhojpuri (Nepal) (</w:t>
            </w:r>
            <w:r>
              <w:rPr>
                <w:rFonts w:ascii="Calibri" w:hAnsi="Calibri" w:eastAsia="Calibri" w:cs="Calibri"/>
                <w:color w:val="31465A"/>
                <w:sz w:val="16"/>
              </w:rPr>
              <w:t>bho-Deva-NP</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1,820,795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772,107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Guinea-Bissau Kriol (</w:t>
            </w:r>
            <w:r>
              <w:rPr>
                <w:rFonts w:ascii="Calibri" w:hAnsi="Calibri" w:eastAsia="Calibri" w:cs="Calibri"/>
                <w:color w:val="31465A"/>
                <w:sz w:val="16"/>
              </w:rPr>
              <w:t>pov-Latn-GW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1,303,743</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2009</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561,062</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Q’eqchi’ (</w:t>
            </w:r>
            <w:r>
              <w:rPr>
                <w:rFonts w:ascii="Calibri" w:hAnsi="Calibri" w:eastAsia="Calibri" w:cs="Calibri"/>
                <w:color w:val="31465A"/>
                <w:sz w:val="16"/>
              </w:rPr>
              <w:t>kek-GT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1,127,387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520,136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 Hakka (</w:t>
            </w:r>
            <w:r>
              <w:rPr>
                <w:rFonts w:ascii="Calibri" w:hAnsi="Calibri" w:eastAsia="Calibri" w:cs="Calibri"/>
                <w:color w:val="31465A"/>
                <w:sz w:val="16"/>
              </w:rPr>
              <w:t>hak-Hant-TW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1,193,332</w:t>
            </w:r>
          </w:p>
        </w:tc>
        <w:tc>
          <w:tcPr>
            <w:tcW w:type="dxa" w:w="251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2020-11-08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519,046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K’iche’ (</w:t>
            </w:r>
            <w:r>
              <w:rPr>
                <w:rFonts w:ascii="Calibri" w:hAnsi="Calibri" w:eastAsia="Calibri" w:cs="Calibri"/>
                <w:color w:val="31465A"/>
                <w:sz w:val="16"/>
              </w:rPr>
              <w:t>quc-GT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1,054,818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499,097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Kreol Morisien (</w:t>
            </w:r>
            <w:r>
              <w:rPr>
                <w:rFonts w:ascii="Calibri" w:hAnsi="Calibri" w:eastAsia="Calibri" w:cs="Calibri"/>
                <w:color w:val="31465A"/>
                <w:sz w:val="16"/>
              </w:rPr>
              <w:t>mfe-Latn-MU</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1,002,135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425,209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Basque (</w:t>
            </w:r>
            <w:r>
              <w:rPr>
                <w:rFonts w:ascii="Calibri" w:hAnsi="Calibri" w:eastAsia="Calibri" w:cs="Calibri"/>
                <w:color w:val="31465A"/>
                <w:sz w:val="16"/>
              </w:rPr>
              <w:t>eu-Latn-ES</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936,812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407,030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Awadhi (Nepal) (</w:t>
            </w:r>
            <w:r>
              <w:rPr>
                <w:rFonts w:ascii="Calibri" w:hAnsi="Calibri" w:eastAsia="Calibri" w:cs="Calibri"/>
                <w:color w:val="31465A"/>
                <w:sz w:val="16"/>
              </w:rPr>
              <w:t>awa-Deva-NP</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864,276</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371,819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Mam (</w:t>
            </w:r>
            <w:r>
              <w:rPr>
                <w:rFonts w:ascii="Calibri" w:hAnsi="Calibri" w:eastAsia="Calibri" w:cs="Calibri"/>
                <w:color w:val="31465A"/>
                <w:sz w:val="16"/>
              </w:rPr>
              <w:t>mam-GT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590,641</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280,069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Maayat’aan (</w:t>
            </w:r>
            <w:r>
              <w:rPr>
                <w:rFonts w:ascii="Calibri" w:hAnsi="Calibri" w:eastAsia="Calibri" w:cs="Calibri"/>
                <w:color w:val="31465A"/>
                <w:sz w:val="16"/>
              </w:rPr>
              <w:t>yua-MX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774,755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269,577</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Shona (</w:t>
            </w:r>
            <w:r>
              <w:rPr>
                <w:rFonts w:ascii="Calibri" w:hAnsi="Calibri" w:eastAsia="Calibri" w:cs="Calibri"/>
                <w:color w:val="31465A"/>
                <w:sz w:val="16"/>
              </w:rPr>
              <w:t>sn-Latn-ZA</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716,967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264,793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Moroccan Amazigh (</w:t>
            </w:r>
            <w:r>
              <w:rPr>
                <w:rFonts w:ascii="Calibri" w:hAnsi="Calibri" w:eastAsia="Calibri" w:cs="Calibri"/>
                <w:color w:val="31465A"/>
                <w:sz w:val="16"/>
              </w:rPr>
              <w:t>zgh-Tfng-MA</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542,781</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2014</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253,700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Tseltal (</w:t>
            </w:r>
            <w:r>
              <w:rPr>
                <w:rFonts w:ascii="Calibri" w:hAnsi="Calibri" w:eastAsia="Calibri" w:cs="Calibri"/>
                <w:color w:val="31465A"/>
                <w:sz w:val="16"/>
              </w:rPr>
              <w:t>tzh-MX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589,144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201,861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Bolivian Aymara (</w:t>
            </w:r>
            <w:r>
              <w:rPr>
                <w:rFonts w:ascii="Calibri" w:hAnsi="Calibri" w:eastAsia="Calibri" w:cs="Calibri"/>
                <w:color w:val="31465A"/>
                <w:sz w:val="16"/>
              </w:rPr>
              <w:t>ayr-BO</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457,358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2024</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197,684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Kaqchikel (</w:t>
            </w:r>
            <w:r>
              <w:rPr>
                <w:rFonts w:ascii="Calibri" w:hAnsi="Calibri" w:eastAsia="Calibri" w:cs="Calibri"/>
                <w:color w:val="31465A"/>
                <w:sz w:val="16"/>
              </w:rPr>
              <w:t>cak-GT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411,089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196,634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Welsh (</w:t>
            </w:r>
            <w:r>
              <w:rPr>
                <w:rFonts w:ascii="Calibri" w:hAnsi="Calibri" w:eastAsia="Calibri" w:cs="Calibri"/>
                <w:color w:val="31465A"/>
                <w:sz w:val="16"/>
              </w:rPr>
              <w:t>cy-Latn-GB</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538,300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195,519</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Aymara in Peru (</w:t>
            </w:r>
            <w:r>
              <w:rPr>
                <w:rFonts w:ascii="Calibri" w:hAnsi="Calibri" w:eastAsia="Calibri" w:cs="Calibri"/>
                <w:color w:val="31465A"/>
                <w:sz w:val="16"/>
              </w:rPr>
              <w:t>ayr-PE</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444,389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2017</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193,950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Tsotsil (</w:t>
            </w:r>
            <w:r>
              <w:rPr>
                <w:rFonts w:ascii="Calibri" w:hAnsi="Calibri" w:eastAsia="Calibri" w:cs="Calibri"/>
                <w:color w:val="31465A"/>
                <w:sz w:val="16"/>
              </w:rPr>
              <w:t>tzo-MX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550,274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190,213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mother-tongue population in Estonia (</w:t>
            </w:r>
            <w:r>
              <w:rPr>
                <w:rFonts w:ascii="Calibri" w:hAnsi="Calibri" w:eastAsia="Calibri" w:cs="Calibri"/>
                <w:color w:val="31465A"/>
                <w:sz w:val="16"/>
              </w:rPr>
              <w:t>ru-Cyrl-EE</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379,210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176,503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Rwanda Kiswahili (</w:t>
            </w:r>
            <w:r>
              <w:rPr>
                <w:rFonts w:ascii="Calibri" w:hAnsi="Calibri" w:eastAsia="Calibri" w:cs="Calibri"/>
                <w:color w:val="31465A"/>
                <w:sz w:val="16"/>
              </w:rPr>
              <w:t>swh-Latn-RW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331,583 [327,438-335,729]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159,651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Tetun Prasa (</w:t>
            </w:r>
            <w:r>
              <w:rPr>
                <w:rFonts w:ascii="Calibri" w:hAnsi="Calibri" w:eastAsia="Calibri" w:cs="Calibri"/>
                <w:color w:val="31465A"/>
                <w:sz w:val="16"/>
              </w:rPr>
              <w:t>tet-Latn-TL</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361,027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2015</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157,971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Magahi (</w:t>
            </w:r>
            <w:r>
              <w:rPr>
                <w:rFonts w:ascii="Calibri" w:hAnsi="Calibri" w:eastAsia="Calibri" w:cs="Calibri"/>
                <w:color w:val="31465A"/>
                <w:sz w:val="16"/>
              </w:rPr>
              <w:t>mag-Deva-NP</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230,117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98,701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Maori (</w:t>
            </w:r>
            <w:r>
              <w:rPr>
                <w:rFonts w:ascii="Calibri" w:hAnsi="Calibri" w:eastAsia="Calibri" w:cs="Calibri"/>
                <w:color w:val="31465A"/>
                <w:sz w:val="16"/>
              </w:rPr>
              <w:t>mi-Latn-NZ</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213,849</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93,581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Belize Kriol (</w:t>
            </w:r>
            <w:r>
              <w:rPr>
                <w:rFonts w:ascii="Calibri" w:hAnsi="Calibri" w:eastAsia="Calibri" w:cs="Calibri"/>
                <w:color w:val="31465A"/>
                <w:sz w:val="16"/>
              </w:rPr>
              <w:t>bzj-BZ</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180,792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2022</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86,924</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Chol (</w:t>
            </w:r>
            <w:r>
              <w:rPr>
                <w:rFonts w:ascii="Calibri" w:hAnsi="Calibri" w:eastAsia="Calibri" w:cs="Calibri"/>
                <w:color w:val="31465A"/>
                <w:sz w:val="16"/>
              </w:rPr>
              <w:t>ctu-MX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254,715</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85,943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Mambai (</w:t>
            </w:r>
            <w:r>
              <w:rPr>
                <w:rFonts w:ascii="Calibri" w:hAnsi="Calibri" w:eastAsia="Calibri" w:cs="Calibri"/>
                <w:color w:val="31465A"/>
                <w:sz w:val="16"/>
              </w:rPr>
              <w:t>mgm-Latn-TL</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195,778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2015</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81,855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Q’anjob’al (</w:t>
            </w:r>
            <w:r>
              <w:rPr>
                <w:rFonts w:ascii="Calibri" w:hAnsi="Calibri" w:eastAsia="Calibri" w:cs="Calibri"/>
                <w:color w:val="31465A"/>
                <w:sz w:val="16"/>
              </w:rPr>
              <w:t>kjb-GT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166,261</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70,940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98.4%</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Mexicano de la Huasteca hidalguense (</w:t>
            </w:r>
            <w:r>
              <w:rPr>
                <w:rFonts w:ascii="Calibri" w:hAnsi="Calibri" w:eastAsia="Calibri" w:cs="Calibri"/>
                <w:color w:val="31465A"/>
                <w:sz w:val="16"/>
              </w:rPr>
              <w:t>nah-huasteca-hidalguense-Latn-MX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195,770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69,358</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98.8%</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92</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Poqomchi’ (</w:t>
            </w:r>
            <w:r>
              <w:rPr>
                <w:rFonts w:ascii="Calibri" w:hAnsi="Calibri" w:eastAsia="Calibri" w:cs="Calibri"/>
                <w:color w:val="31465A"/>
                <w:sz w:val="16"/>
              </w:rPr>
              <w:t>poh-GT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133,074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56,620</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94.1%</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Makasae (</w:t>
            </w:r>
            <w:r>
              <w:rPr>
                <w:rFonts w:ascii="Calibri" w:hAnsi="Calibri" w:eastAsia="Calibri" w:cs="Calibri"/>
                <w:color w:val="31465A"/>
                <w:sz w:val="16"/>
              </w:rPr>
              <w:t>mkz-Latn-TL</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123,840</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2015</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53,586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88.7%</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94</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Achi (</w:t>
            </w:r>
            <w:r>
              <w:rPr>
                <w:rFonts w:ascii="Calibri" w:hAnsi="Calibri" w:eastAsia="Calibri" w:cs="Calibri"/>
                <w:color w:val="31465A"/>
                <w:sz w:val="16"/>
              </w:rPr>
              <w:t>acr-GT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124,338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52,961</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90.6%</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95</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Diné Bizaad (</w:t>
            </w:r>
            <w:r>
              <w:rPr>
                <w:rFonts w:ascii="Calibri" w:hAnsi="Calibri" w:eastAsia="Calibri" w:cs="Calibri"/>
                <w:color w:val="31465A"/>
                <w:sz w:val="16"/>
              </w:rPr>
              <w:t>nav-US</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161,174</w:t>
            </w:r>
          </w:p>
        </w:tc>
        <w:tc>
          <w:tcPr>
            <w:tcW w:type="dxa" w:w="251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2017-2021</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51,686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89.8%</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96</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Ixil (</w:t>
            </w:r>
            <w:r>
              <w:rPr>
                <w:rFonts w:ascii="Calibri" w:hAnsi="Calibri" w:eastAsia="Calibri" w:cs="Calibri"/>
                <w:color w:val="31465A"/>
                <w:sz w:val="16"/>
              </w:rPr>
              <w:t>ixl-GT</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114,997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50,776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86.7%</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Curaçao Papiamentu (</w:t>
            </w:r>
            <w:r>
              <w:rPr>
                <w:rFonts w:ascii="Calibri" w:hAnsi="Calibri" w:eastAsia="Calibri" w:cs="Calibri"/>
                <w:color w:val="31465A"/>
                <w:sz w:val="16"/>
              </w:rPr>
              <w:t>pap-CW</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115,048 [114,975-115,122]</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2023</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48,745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Solomon Islands Pijin (</w:t>
            </w:r>
            <w:r>
              <w:rPr>
                <w:rFonts w:ascii="Calibri" w:hAnsi="Calibri" w:eastAsia="Calibri" w:cs="Calibri"/>
                <w:color w:val="31465A"/>
                <w:sz w:val="16"/>
              </w:rPr>
              <w:t>pis-Latn-SB</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101,588</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2019</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48,605</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82.0%</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99</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Náhuatl de la Sierra noreste de Puebla (</w:t>
            </w:r>
            <w:r>
              <w:rPr>
                <w:rFonts w:ascii="Calibri" w:hAnsi="Calibri" w:eastAsia="Calibri" w:cs="Calibri"/>
                <w:color w:val="31465A"/>
                <w:sz w:val="16"/>
              </w:rPr>
              <w:t>nah-sierra-noreste-puebla-Latn-MX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134,737</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47,096</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69.1%</w:t>
            </w:r>
          </w:p>
        </w:tc>
      </w:tr>
      <w:tr>
        <w:trPr>
          <w:cantSplit w:val="true"/>
        </w:trPr>
        <w:tc>
          <w:tcPr>
            <w:tcW w:type="dxa" w:w="113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w:t>
            </w:r>
          </w:p>
        </w:tc>
        <w:tc>
          <w:tcPr>
            <w:tcW w:type="dxa" w:w="336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Náhuatl de la Huasteca potosina (</w:t>
            </w:r>
            <w:r>
              <w:rPr>
                <w:rFonts w:ascii="Calibri" w:hAnsi="Calibri" w:eastAsia="Calibri" w:cs="Calibri"/>
                <w:color w:val="31465A"/>
                <w:sz w:val="16"/>
              </w:rPr>
              <w:t>nah-huasteca-potosina-Latn-MX</w:t>
            </w:r>
            <w:r>
              <w:rPr>
                <w:rFonts w:ascii="Calibri" w:hAnsi="Calibri" w:eastAsia="Calibri" w:cs="Calibri"/>
                <w:sz w:val="16"/>
              </w:rPr>
              <w:t>)</w:t>
            </w:r>
          </w:p>
        </w:tc>
        <w:tc>
          <w:tcPr>
            <w:tcW w:type="dxa" w:w="240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133,234</w:t>
            </w:r>
          </w:p>
        </w:tc>
        <w:tc>
          <w:tcPr>
            <w:tcW w:type="dxa" w:w="2516"/>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2000</w:t>
            </w:r>
          </w:p>
        </w:tc>
        <w:tc>
          <w:tcPr>
            <w:tcW w:type="dxa" w:w="162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46,643</w:t>
            </w:r>
          </w:p>
        </w:tc>
        <w:tc>
          <w:tcPr>
            <w:tcW w:type="dxa" w:w="1917"/>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65.2%</w:t>
            </w:r>
          </w:p>
        </w:tc>
      </w:tr>
    </w:tbl>
    <w:p>
      <w:pPr>
        <w:widowControl/>
        <w:spacing w:before="0" w:after="40"/>
      </w:pPr>
    </w:p>
    <w:p>
      <w:pPr>
        <w:pStyle w:val="Heading2"/>
        <w:widowControl/>
        <w:ind w:right="1800" w:left="1800"/>
      </w:pPr>
      <w:r>
        <w:t>A.2 Standardized new-compute Top 100</w:t>
      </w:r>
    </w:p>
    <w:p>
      <w:pPr>
        <w:widowControl/>
        <w:ind w:right="1800" w:left="1800"/>
      </w:pPr>
      <w:r>
        <w:t>This is a burden-per-compute planning order for one standardized from-scratch package. FECU means fresh-equivalent compute unit; it is not a monetary price or an observed complete-job token total. Because a common causal package effect is not measured, the model-median column divides the same common-prior unmet-need equivalent by modeled FECU rather than claiming observed access gained.</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039"/>
        <w:gridCol w:w="1703"/>
        <w:gridCol w:w="3904"/>
        <w:gridCol w:w="2920"/>
        <w:gridCol w:w="2394"/>
      </w:tblGrid>
      <w:tr>
        <w:trPr>
          <w:tblHeader w:val="true"/>
          <w:cantSplit w:val="true"/>
        </w:trPr>
        <w:tc>
          <w:tcPr>
            <w:tcW w:type="dxa" w:w="203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Efficiency rank</w:t>
            </w:r>
          </w:p>
        </w:tc>
        <w:tc>
          <w:tcPr>
            <w:tcW w:type="dxa" w:w="170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Need rank</w:t>
            </w:r>
          </w:p>
        </w:tc>
        <w:tc>
          <w:tcPr>
            <w:tcW w:type="dxa" w:w="390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Exact target</w:t>
            </w:r>
          </w:p>
        </w:tc>
        <w:tc>
          <w:tcPr>
            <w:tcW w:type="dxa" w:w="292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Unmet-need equivalent per million FECU</w:t>
            </w:r>
          </w:p>
        </w:tc>
        <w:tc>
          <w:tcPr>
            <w:tcW w:type="dxa" w:w="239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Standard compute (FECU)</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Hindi (</w:t>
            </w:r>
            <w:r>
              <w:rPr>
                <w:rFonts w:ascii="Calibri" w:hAnsi="Calibri" w:eastAsia="Calibri" w:cs="Calibri"/>
                <w:color w:val="31465A"/>
                <w:sz w:val="16"/>
              </w:rPr>
              <w:t>hi-Deva-IN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97,776,202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Bahasa Indonesia (</w:t>
            </w:r>
            <w:r>
              <w:rPr>
                <w:rFonts w:ascii="Calibri" w:hAnsi="Calibri" w:eastAsia="Calibri" w:cs="Calibri"/>
                <w:color w:val="31465A"/>
                <w:sz w:val="16"/>
              </w:rPr>
              <w:t>id-Latn-ID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87,463,029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  Russian Federation (</w:t>
            </w:r>
            <w:r>
              <w:rPr>
                <w:rFonts w:ascii="Calibri" w:hAnsi="Calibri" w:eastAsia="Calibri" w:cs="Calibri"/>
                <w:color w:val="31465A"/>
                <w:sz w:val="16"/>
              </w:rPr>
              <w:t>ru-Cyrl-RU</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44,470,477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1,080,000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Punjabi (Pakistan standard) (</w:t>
            </w:r>
            <w:r>
              <w:rPr>
                <w:rFonts w:ascii="Calibri" w:hAnsi="Calibri" w:eastAsia="Calibri" w:cs="Calibri"/>
                <w:color w:val="31465A"/>
                <w:sz w:val="16"/>
              </w:rPr>
              <w:t>pnb-Arab-PK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33,919,207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Bengali (India standard) (</w:t>
            </w:r>
            <w:r>
              <w:rPr>
                <w:rFonts w:ascii="Calibri" w:hAnsi="Calibri" w:eastAsia="Calibri" w:cs="Calibri"/>
                <w:color w:val="31465A"/>
                <w:sz w:val="16"/>
              </w:rPr>
              <w:t>bn-Beng-IN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28,094,704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Marathi (</w:t>
            </w:r>
            <w:r>
              <w:rPr>
                <w:rFonts w:ascii="Calibri" w:hAnsi="Calibri" w:eastAsia="Calibri" w:cs="Calibri"/>
                <w:color w:val="31465A"/>
                <w:sz w:val="16"/>
              </w:rPr>
              <w:t>mr-Deva-IN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25,392,114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Javanese (</w:t>
            </w:r>
            <w:r>
              <w:rPr>
                <w:rFonts w:ascii="Calibri" w:hAnsi="Calibri" w:eastAsia="Calibri" w:cs="Calibri"/>
                <w:color w:val="31465A"/>
                <w:sz w:val="16"/>
              </w:rPr>
              <w:t>jv-Latn-ID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24,717,315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Telugu (</w:t>
            </w:r>
            <w:r>
              <w:rPr>
                <w:rFonts w:ascii="Calibri" w:hAnsi="Calibri" w:eastAsia="Calibri" w:cs="Calibri"/>
                <w:color w:val="31465A"/>
                <w:sz w:val="16"/>
              </w:rPr>
              <w:t>te-Telu-IN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24,265,996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Tamil (India standard) (</w:t>
            </w:r>
            <w:r>
              <w:rPr>
                <w:rFonts w:ascii="Calibri" w:hAnsi="Calibri" w:eastAsia="Calibri" w:cs="Calibri"/>
                <w:color w:val="31465A"/>
                <w:sz w:val="16"/>
              </w:rPr>
              <w:t>ta-Taml-IN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20,353,394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Central Thai (</w:t>
            </w:r>
            <w:r>
              <w:rPr>
                <w:rFonts w:ascii="Calibri" w:hAnsi="Calibri" w:eastAsia="Calibri" w:cs="Calibri"/>
                <w:color w:val="31465A"/>
                <w:sz w:val="16"/>
              </w:rPr>
              <w:t>th-Thai-TH</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18,520,469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1,180,000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Pashto (Pakistan curriculum pack) (</w:t>
            </w:r>
            <w:r>
              <w:rPr>
                <w:rFonts w:ascii="Calibri" w:hAnsi="Calibri" w:eastAsia="Calibri" w:cs="Calibri"/>
                <w:color w:val="31465A"/>
                <w:sz w:val="16"/>
              </w:rPr>
              <w:t>ps-Arab-PK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16,985,284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Uzbek (</w:t>
            </w:r>
            <w:r>
              <w:rPr>
                <w:rFonts w:ascii="Calibri" w:hAnsi="Calibri" w:eastAsia="Calibri" w:cs="Calibri"/>
                <w:color w:val="31465A"/>
                <w:sz w:val="16"/>
              </w:rPr>
              <w:t>uz-Latn-UZ</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16,913,981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Gujarati (</w:t>
            </w:r>
            <w:r>
              <w:rPr>
                <w:rFonts w:ascii="Calibri" w:hAnsi="Calibri" w:eastAsia="Calibri" w:cs="Calibri"/>
                <w:color w:val="31465A"/>
                <w:sz w:val="16"/>
              </w:rPr>
              <w:t>gu-Gujr-IN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16,607,535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w:t>
            </w:r>
            <w:r>
              <w:rPr>
                <w:rFonts w:ascii="Calibri" w:hAnsi="Calibri" w:eastAsia="Calibri" w:cs="Calibri"/>
                <w:color w:val="31465A"/>
                <w:sz w:val="16"/>
              </w:rPr>
              <w:t>ur-Arab-IN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16,444,539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Bhojpuri (</w:t>
            </w:r>
            <w:r>
              <w:rPr>
                <w:rFonts w:ascii="Calibri" w:hAnsi="Calibri" w:eastAsia="Calibri" w:cs="Calibri"/>
                <w:color w:val="31465A"/>
                <w:sz w:val="16"/>
              </w:rPr>
              <w:t>bho-Deva-IN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15,522,752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Spanish (</w:t>
            </w:r>
            <w:r>
              <w:rPr>
                <w:rFonts w:ascii="Calibri" w:hAnsi="Calibri" w:eastAsia="Calibri" w:cs="Calibri"/>
                <w:color w:val="31465A"/>
                <w:sz w:val="16"/>
              </w:rPr>
              <w:t>es-Latn-US</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13,908,336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Burmese (</w:t>
            </w:r>
            <w:r>
              <w:rPr>
                <w:rFonts w:ascii="Calibri" w:hAnsi="Calibri" w:eastAsia="Calibri" w:cs="Calibri"/>
                <w:color w:val="31465A"/>
                <w:sz w:val="16"/>
              </w:rPr>
              <w:t>my-Mymr-MM</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13,848,168</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Sindhi (Pakistan standard) (</w:t>
            </w:r>
            <w:r>
              <w:rPr>
                <w:rFonts w:ascii="Calibri" w:hAnsi="Calibri" w:eastAsia="Calibri" w:cs="Calibri"/>
                <w:color w:val="31465A"/>
                <w:sz w:val="16"/>
              </w:rPr>
              <w:t>sd-Arab-PK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13,527,750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Kannada (</w:t>
            </w:r>
            <w:r>
              <w:rPr>
                <w:rFonts w:ascii="Calibri" w:hAnsi="Calibri" w:eastAsia="Calibri" w:cs="Calibri"/>
                <w:color w:val="31465A"/>
                <w:sz w:val="16"/>
              </w:rPr>
              <w:t>kn-Knda-IN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13,058,532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1,230,000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Moroccan Arabic (</w:t>
            </w:r>
            <w:r>
              <w:rPr>
                <w:rFonts w:ascii="Calibri" w:hAnsi="Calibri" w:eastAsia="Calibri" w:cs="Calibri"/>
                <w:color w:val="31465A"/>
                <w:sz w:val="16"/>
              </w:rPr>
              <w:t>ary-Arab-MA</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13,051,502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Oromo (</w:t>
            </w:r>
            <w:r>
              <w:rPr>
                <w:rFonts w:ascii="Calibri" w:hAnsi="Calibri" w:eastAsia="Calibri" w:cs="Calibri"/>
                <w:color w:val="31465A"/>
                <w:sz w:val="16"/>
              </w:rPr>
              <w:t>om-Latn-ET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12,790,119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Yoruba (</w:t>
            </w:r>
            <w:r>
              <w:rPr>
                <w:rFonts w:ascii="Calibri" w:hAnsi="Calibri" w:eastAsia="Calibri" w:cs="Calibri"/>
                <w:color w:val="31465A"/>
                <w:sz w:val="16"/>
              </w:rPr>
              <w:t>yo-Latn-NG</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12,548,589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Sundanese (</w:t>
            </w:r>
            <w:r>
              <w:rPr>
                <w:rFonts w:ascii="Calibri" w:hAnsi="Calibri" w:eastAsia="Calibri" w:cs="Calibri"/>
                <w:color w:val="31465A"/>
                <w:sz w:val="16"/>
              </w:rPr>
              <w:t>su-Latn-ID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11,691,959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w:t>
            </w:r>
            <w:r>
              <w:rPr>
                <w:rFonts w:ascii="Calibri" w:hAnsi="Calibri" w:eastAsia="Calibri" w:cs="Calibri"/>
                <w:color w:val="31465A"/>
                <w:sz w:val="16"/>
              </w:rPr>
              <w:t>mg-Latn-MG</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11,558,560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Saraiki (</w:t>
            </w:r>
            <w:r>
              <w:rPr>
                <w:rFonts w:ascii="Calibri" w:hAnsi="Calibri" w:eastAsia="Calibri" w:cs="Calibri"/>
                <w:color w:val="31465A"/>
                <w:sz w:val="16"/>
              </w:rPr>
              <w:t>skr-Arab-PK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11,271,279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Malayalam (</w:t>
            </w:r>
            <w:r>
              <w:rPr>
                <w:rFonts w:ascii="Calibri" w:hAnsi="Calibri" w:eastAsia="Calibri" w:cs="Calibri"/>
                <w:color w:val="31465A"/>
                <w:sz w:val="16"/>
              </w:rPr>
              <w:t>ml-Mlym-IN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10,513,470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Odia (</w:t>
            </w:r>
            <w:r>
              <w:rPr>
                <w:rFonts w:ascii="Calibri" w:hAnsi="Calibri" w:eastAsia="Calibri" w:cs="Calibri"/>
                <w:color w:val="31465A"/>
                <w:sz w:val="16"/>
              </w:rPr>
              <w:t>or-Orya-IN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10,351,703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1,230,000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Igbo (</w:t>
            </w:r>
            <w:r>
              <w:rPr>
                <w:rFonts w:ascii="Calibri" w:hAnsi="Calibri" w:eastAsia="Calibri" w:cs="Calibri"/>
                <w:color w:val="31465A"/>
                <w:sz w:val="16"/>
              </w:rPr>
              <w:t>ig-Latn-NG</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10,300,842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Eastern Punjabi (</w:t>
            </w:r>
            <w:r>
              <w:rPr>
                <w:rFonts w:ascii="Calibri" w:hAnsi="Calibri" w:eastAsia="Calibri" w:cs="Calibri"/>
                <w:color w:val="31465A"/>
                <w:sz w:val="16"/>
              </w:rPr>
              <w:t>pa-Guru-IN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9,204,119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1,230,000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Amharic (</w:t>
            </w:r>
            <w:r>
              <w:rPr>
                <w:rFonts w:ascii="Calibri" w:hAnsi="Calibri" w:eastAsia="Calibri" w:cs="Calibri"/>
                <w:color w:val="31465A"/>
                <w:sz w:val="16"/>
              </w:rPr>
              <w:t>am-Ethi-ET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9,026,788</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w:t>
            </w:r>
            <w:r>
              <w:rPr>
                <w:rFonts w:ascii="Calibri" w:hAnsi="Calibri" w:eastAsia="Calibri" w:cs="Calibri"/>
                <w:color w:val="31465A"/>
                <w:sz w:val="16"/>
              </w:rPr>
              <w:t>ur-Arab-PK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8,667,264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Kurmanji Kurdish (</w:t>
            </w:r>
            <w:r>
              <w:rPr>
                <w:rFonts w:ascii="Calibri" w:hAnsi="Calibri" w:eastAsia="Calibri" w:cs="Calibri"/>
                <w:color w:val="31465A"/>
                <w:sz w:val="16"/>
              </w:rPr>
              <w:t>kmr-Latn-001</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7,458,209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 Mandarin (Guoyu) (</w:t>
            </w:r>
            <w:r>
              <w:rPr>
                <w:rFonts w:ascii="Calibri" w:hAnsi="Calibri" w:eastAsia="Calibri" w:cs="Calibri"/>
                <w:color w:val="31465A"/>
                <w:sz w:val="16"/>
              </w:rPr>
              <w:t>cmn-Hant-TW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6,282,643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isiZulu (</w:t>
            </w:r>
            <w:r>
              <w:rPr>
                <w:rFonts w:ascii="Calibri" w:hAnsi="Calibri" w:eastAsia="Calibri" w:cs="Calibri"/>
                <w:color w:val="31465A"/>
                <w:sz w:val="16"/>
              </w:rPr>
              <w:t>zu-Latn-ZA</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6,036,704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Taiwanese Taigi  -  Southern Min (</w:t>
            </w:r>
            <w:r>
              <w:rPr>
                <w:rFonts w:ascii="Calibri" w:hAnsi="Calibri" w:eastAsia="Calibri" w:cs="Calibri"/>
                <w:color w:val="31465A"/>
                <w:sz w:val="16"/>
              </w:rPr>
              <w:t>nan-Hant-TW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5,551,623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Khmer (</w:t>
            </w:r>
            <w:r>
              <w:rPr>
                <w:rFonts w:ascii="Calibri" w:hAnsi="Calibri" w:eastAsia="Calibri" w:cs="Calibri"/>
                <w:color w:val="31465A"/>
                <w:sz w:val="16"/>
              </w:rPr>
              <w:t>km-Khmr-KH</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5,223,619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1,230,000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Kazakh (</w:t>
            </w:r>
            <w:r>
              <w:rPr>
                <w:rFonts w:ascii="Calibri" w:hAnsi="Calibri" w:eastAsia="Calibri" w:cs="Calibri"/>
                <w:color w:val="31465A"/>
                <w:sz w:val="16"/>
              </w:rPr>
              <w:t>kk-Cyrl-KZ</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5,134,148</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1,080,000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Chhattisgarhi (</w:t>
            </w:r>
            <w:r>
              <w:rPr>
                <w:rFonts w:ascii="Calibri" w:hAnsi="Calibri" w:eastAsia="Calibri" w:cs="Calibri"/>
                <w:color w:val="31465A"/>
                <w:sz w:val="16"/>
              </w:rPr>
              <w:t>hne-Deva-IN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5,040,380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Nepali (Nepal standard) (</w:t>
            </w:r>
            <w:r>
              <w:rPr>
                <w:rFonts w:ascii="Calibri" w:hAnsi="Calibri" w:eastAsia="Calibri" w:cs="Calibri"/>
                <w:color w:val="31465A"/>
                <w:sz w:val="16"/>
              </w:rPr>
              <w:t>ne-Deva-NP</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4,597,721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Assamese (</w:t>
            </w:r>
            <w:r>
              <w:rPr>
                <w:rFonts w:ascii="Calibri" w:hAnsi="Calibri" w:eastAsia="Calibri" w:cs="Calibri"/>
                <w:color w:val="31465A"/>
                <w:sz w:val="16"/>
              </w:rPr>
              <w:t>as-Beng-IN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4,437,836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Catalan (</w:t>
            </w:r>
            <w:r>
              <w:rPr>
                <w:rFonts w:ascii="Calibri" w:hAnsi="Calibri" w:eastAsia="Calibri" w:cs="Calibri"/>
                <w:color w:val="31465A"/>
                <w:sz w:val="16"/>
              </w:rPr>
              <w:t>ca-Latn-ES</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4,307,845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Maithili (India) (</w:t>
            </w:r>
            <w:r>
              <w:rPr>
                <w:rFonts w:ascii="Calibri" w:hAnsi="Calibri" w:eastAsia="Calibri" w:cs="Calibri"/>
                <w:color w:val="31465A"/>
                <w:sz w:val="16"/>
              </w:rPr>
              <w:t>mai-Deva-IN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4,065,269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isiXhosa (</w:t>
            </w:r>
            <w:r>
              <w:rPr>
                <w:rFonts w:ascii="Calibri" w:hAnsi="Calibri" w:eastAsia="Calibri" w:cs="Calibri"/>
                <w:color w:val="31465A"/>
                <w:sz w:val="16"/>
              </w:rPr>
              <w:t>xh-Latn-ZA</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3,980,641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Magahi (</w:t>
            </w:r>
            <w:r>
              <w:rPr>
                <w:rFonts w:ascii="Calibri" w:hAnsi="Calibri" w:eastAsia="Calibri" w:cs="Calibri"/>
                <w:color w:val="31465A"/>
                <w:sz w:val="16"/>
              </w:rPr>
              <w:t>mag-Deva-IN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3,859,217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Kinyarwanda (</w:t>
            </w:r>
            <w:r>
              <w:rPr>
                <w:rFonts w:ascii="Calibri" w:hAnsi="Calibri" w:eastAsia="Calibri" w:cs="Calibri"/>
                <w:color w:val="31465A"/>
                <w:sz w:val="16"/>
              </w:rPr>
              <w:t>rw-Latn-RW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3,073,509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Madurese (</w:t>
            </w:r>
            <w:r>
              <w:rPr>
                <w:rFonts w:ascii="Calibri" w:hAnsi="Calibri" w:eastAsia="Calibri" w:cs="Calibri"/>
                <w:color w:val="31465A"/>
                <w:sz w:val="16"/>
              </w:rPr>
              <w:t>mad-Latn-ID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2,820,241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Turkmen (</w:t>
            </w:r>
            <w:r>
              <w:rPr>
                <w:rFonts w:ascii="Calibri" w:hAnsi="Calibri" w:eastAsia="Calibri" w:cs="Calibri"/>
                <w:color w:val="31465A"/>
                <w:sz w:val="16"/>
              </w:rPr>
              <w:t>tk-Latn-TM</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2,657,005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Somali (</w:t>
            </w:r>
            <w:r>
              <w:rPr>
                <w:rFonts w:ascii="Calibri" w:hAnsi="Calibri" w:eastAsia="Calibri" w:cs="Calibri"/>
                <w:color w:val="31465A"/>
                <w:sz w:val="16"/>
              </w:rPr>
              <w:t>so-Latn-ET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2,569,049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Marwari (</w:t>
            </w:r>
            <w:r>
              <w:rPr>
                <w:rFonts w:ascii="Calibri" w:hAnsi="Calibri" w:eastAsia="Calibri" w:cs="Calibri"/>
                <w:color w:val="31465A"/>
                <w:sz w:val="16"/>
              </w:rPr>
              <w:t>mwr-Deva-IN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2,440,441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Sorani Kurdish (</w:t>
            </w:r>
            <w:r>
              <w:rPr>
                <w:rFonts w:ascii="Calibri" w:hAnsi="Calibri" w:eastAsia="Calibri" w:cs="Calibri"/>
                <w:color w:val="31465A"/>
                <w:sz w:val="16"/>
              </w:rPr>
              <w:t>ckb-Arab-001</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2,208,197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Kyrgyz (</w:t>
            </w:r>
            <w:r>
              <w:rPr>
                <w:rFonts w:ascii="Calibri" w:hAnsi="Calibri" w:eastAsia="Calibri" w:cs="Calibri"/>
                <w:color w:val="31465A"/>
                <w:sz w:val="16"/>
              </w:rPr>
              <w:t>ky-Cyrl-KG</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2,123,115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1,080,000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Cantonese (Yue) (</w:t>
            </w:r>
            <w:r>
              <w:rPr>
                <w:rFonts w:ascii="Calibri" w:hAnsi="Calibri" w:eastAsia="Calibri" w:cs="Calibri"/>
                <w:color w:val="31465A"/>
                <w:sz w:val="16"/>
              </w:rPr>
              <w:t>yue-Hant-HK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1,895,846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Tigrinya (</w:t>
            </w:r>
            <w:r>
              <w:rPr>
                <w:rFonts w:ascii="Calibri" w:hAnsi="Calibri" w:eastAsia="Calibri" w:cs="Calibri"/>
                <w:color w:val="31465A"/>
                <w:sz w:val="16"/>
              </w:rPr>
              <w:t>ti-Ethi-ET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1,817,361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Paraguayan Guarani (</w:t>
            </w:r>
            <w:r>
              <w:rPr>
                <w:rFonts w:ascii="Calibri" w:hAnsi="Calibri" w:eastAsia="Calibri" w:cs="Calibri"/>
                <w:color w:val="31465A"/>
                <w:sz w:val="16"/>
              </w:rPr>
              <w:t>gug-Latn-PY</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1,629,362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Minangkabau (</w:t>
            </w:r>
            <w:r>
              <w:rPr>
                <w:rFonts w:ascii="Calibri" w:hAnsi="Calibri" w:eastAsia="Calibri" w:cs="Calibri"/>
                <w:color w:val="31465A"/>
                <w:sz w:val="16"/>
              </w:rPr>
              <w:t>min-Latn-ID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1,537,983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Georgian (</w:t>
            </w:r>
            <w:r>
              <w:rPr>
                <w:rFonts w:ascii="Calibri" w:hAnsi="Calibri" w:eastAsia="Calibri" w:cs="Calibri"/>
                <w:color w:val="31465A"/>
                <w:sz w:val="16"/>
              </w:rPr>
              <w:t>ka-Geor-GE</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1,429,784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Banjarese (</w:t>
            </w:r>
            <w:r>
              <w:rPr>
                <w:rFonts w:ascii="Calibri" w:hAnsi="Calibri" w:eastAsia="Calibri" w:cs="Calibri"/>
                <w:color w:val="31465A"/>
                <w:sz w:val="16"/>
              </w:rPr>
              <w:t>bjn-Latn-ID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1,308,737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Buginese (</w:t>
            </w:r>
            <w:r>
              <w:rPr>
                <w:rFonts w:ascii="Calibri" w:hAnsi="Calibri" w:eastAsia="Calibri" w:cs="Calibri"/>
                <w:color w:val="31465A"/>
                <w:sz w:val="16"/>
              </w:rPr>
              <w:t>bug-Latn-ID</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1,266,450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Armenian (</w:t>
            </w:r>
            <w:r>
              <w:rPr>
                <w:rFonts w:ascii="Calibri" w:hAnsi="Calibri" w:eastAsia="Calibri" w:cs="Calibri"/>
                <w:color w:val="31465A"/>
                <w:sz w:val="16"/>
              </w:rPr>
              <w:t>hy-Armn-AM</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1,200,525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1,130,000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Awadhi (India) (</w:t>
            </w:r>
            <w:r>
              <w:rPr>
                <w:rFonts w:ascii="Calibri" w:hAnsi="Calibri" w:eastAsia="Calibri" w:cs="Calibri"/>
                <w:color w:val="31465A"/>
                <w:sz w:val="16"/>
              </w:rPr>
              <w:t>awa-Deva-IN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1,179,323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Maithili (Nepal) (</w:t>
            </w:r>
            <w:r>
              <w:rPr>
                <w:rFonts w:ascii="Calibri" w:hAnsi="Calibri" w:eastAsia="Calibri" w:cs="Calibri"/>
                <w:color w:val="31465A"/>
                <w:sz w:val="16"/>
              </w:rPr>
              <w:t>mai-Deva-NP</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1,145,596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Brahvi (</w:t>
            </w:r>
            <w:r>
              <w:rPr>
                <w:rFonts w:ascii="Calibri" w:hAnsi="Calibri" w:eastAsia="Calibri" w:cs="Calibri"/>
                <w:color w:val="31465A"/>
                <w:sz w:val="16"/>
              </w:rPr>
              <w:t>brh-Arab-PK</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1,051,572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1,140,000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Nepali (India jurisdiction pack) (</w:t>
            </w:r>
            <w:r>
              <w:rPr>
                <w:rFonts w:ascii="Calibri" w:hAnsi="Calibri" w:eastAsia="Calibri" w:cs="Calibri"/>
                <w:color w:val="31465A"/>
                <w:sz w:val="16"/>
              </w:rPr>
              <w:t>ne-Deva-IN</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907,142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Bhojpuri (Nepal) (</w:t>
            </w:r>
            <w:r>
              <w:rPr>
                <w:rFonts w:ascii="Calibri" w:hAnsi="Calibri" w:eastAsia="Calibri" w:cs="Calibri"/>
                <w:color w:val="31465A"/>
                <w:sz w:val="16"/>
              </w:rPr>
              <w:t>bho-Deva-NP</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632,875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Guinea-Bissau Kriol (</w:t>
            </w:r>
            <w:r>
              <w:rPr>
                <w:rFonts w:ascii="Calibri" w:hAnsi="Calibri" w:eastAsia="Calibri" w:cs="Calibri"/>
                <w:color w:val="31465A"/>
                <w:sz w:val="16"/>
              </w:rPr>
              <w:t>pov-Latn-GW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561,062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Q’eqchi’ (</w:t>
            </w:r>
            <w:r>
              <w:rPr>
                <w:rFonts w:ascii="Calibri" w:hAnsi="Calibri" w:eastAsia="Calibri" w:cs="Calibri"/>
                <w:color w:val="31465A"/>
                <w:sz w:val="16"/>
              </w:rPr>
              <w:t>kek-GT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520,136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K’iche’ (</w:t>
            </w:r>
            <w:r>
              <w:rPr>
                <w:rFonts w:ascii="Calibri" w:hAnsi="Calibri" w:eastAsia="Calibri" w:cs="Calibri"/>
                <w:color w:val="31465A"/>
                <w:sz w:val="16"/>
              </w:rPr>
              <w:t>quc-GT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499,097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Kreol Morisien (</w:t>
            </w:r>
            <w:r>
              <w:rPr>
                <w:rFonts w:ascii="Calibri" w:hAnsi="Calibri" w:eastAsia="Calibri" w:cs="Calibri"/>
                <w:color w:val="31465A"/>
                <w:sz w:val="16"/>
              </w:rPr>
              <w:t>mfe-Latn-MU</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425,209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Basque (</w:t>
            </w:r>
            <w:r>
              <w:rPr>
                <w:rFonts w:ascii="Calibri" w:hAnsi="Calibri" w:eastAsia="Calibri" w:cs="Calibri"/>
                <w:color w:val="31465A"/>
                <w:sz w:val="16"/>
              </w:rPr>
              <w:t>eu-Latn-ES</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407,030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Taiwan Hakka (</w:t>
            </w:r>
            <w:r>
              <w:rPr>
                <w:rFonts w:ascii="Calibri" w:hAnsi="Calibri" w:eastAsia="Calibri" w:cs="Calibri"/>
                <w:color w:val="31465A"/>
                <w:sz w:val="16"/>
              </w:rPr>
              <w:t>hak-Hant-TW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357,963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Awadhi (Nepal) (</w:t>
            </w:r>
            <w:r>
              <w:rPr>
                <w:rFonts w:ascii="Calibri" w:hAnsi="Calibri" w:eastAsia="Calibri" w:cs="Calibri"/>
                <w:color w:val="31465A"/>
                <w:sz w:val="16"/>
              </w:rPr>
              <w:t>awa-Deva-NP</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304,770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72</w:t>
            </w:r>
          </w:p>
        </w:tc>
        <w:tc>
          <w:tcPr>
            <w:tcW w:type="dxa" w:w="390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Mam (</w:t>
            </w:r>
            <w:r>
              <w:rPr>
                <w:rFonts w:ascii="Calibri" w:hAnsi="Calibri" w:eastAsia="Calibri" w:cs="Calibri"/>
                <w:color w:val="31465A"/>
                <w:sz w:val="16"/>
              </w:rPr>
              <w:t>mam-GT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280,069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Maayat’aan (</w:t>
            </w:r>
            <w:r>
              <w:rPr>
                <w:rFonts w:ascii="Calibri" w:hAnsi="Calibri" w:eastAsia="Calibri" w:cs="Calibri"/>
                <w:color w:val="31465A"/>
                <w:sz w:val="16"/>
              </w:rPr>
              <w:t>yua-MX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269,577</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Shona (</w:t>
            </w:r>
            <w:r>
              <w:rPr>
                <w:rFonts w:ascii="Calibri" w:hAnsi="Calibri" w:eastAsia="Calibri" w:cs="Calibri"/>
                <w:color w:val="31465A"/>
                <w:sz w:val="16"/>
              </w:rPr>
              <w:t>sn-Latn-ZA</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264,793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Moroccan Amazigh (</w:t>
            </w:r>
            <w:r>
              <w:rPr>
                <w:rFonts w:ascii="Calibri" w:hAnsi="Calibri" w:eastAsia="Calibri" w:cs="Calibri"/>
                <w:color w:val="31465A"/>
                <w:sz w:val="16"/>
              </w:rPr>
              <w:t>zgh-Tfng-MA</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202,960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1,250,000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Tseltal (</w:t>
            </w:r>
            <w:r>
              <w:rPr>
                <w:rFonts w:ascii="Calibri" w:hAnsi="Calibri" w:eastAsia="Calibri" w:cs="Calibri"/>
                <w:color w:val="31465A"/>
                <w:sz w:val="16"/>
              </w:rPr>
              <w:t>tzh-MX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201,861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Bolivian Aymara (</w:t>
            </w:r>
            <w:r>
              <w:rPr>
                <w:rFonts w:ascii="Calibri" w:hAnsi="Calibri" w:eastAsia="Calibri" w:cs="Calibri"/>
                <w:color w:val="31465A"/>
                <w:sz w:val="16"/>
              </w:rPr>
              <w:t>ayr-BO</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197,684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Kaqchikel (</w:t>
            </w:r>
            <w:r>
              <w:rPr>
                <w:rFonts w:ascii="Calibri" w:hAnsi="Calibri" w:eastAsia="Calibri" w:cs="Calibri"/>
                <w:color w:val="31465A"/>
                <w:sz w:val="16"/>
              </w:rPr>
              <w:t>cak-GT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196,634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Welsh (</w:t>
            </w:r>
            <w:r>
              <w:rPr>
                <w:rFonts w:ascii="Calibri" w:hAnsi="Calibri" w:eastAsia="Calibri" w:cs="Calibri"/>
                <w:color w:val="31465A"/>
                <w:sz w:val="16"/>
              </w:rPr>
              <w:t>cy-Latn-GB</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195,519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Aymara in Peru (</w:t>
            </w:r>
            <w:r>
              <w:rPr>
                <w:rFonts w:ascii="Calibri" w:hAnsi="Calibri" w:eastAsia="Calibri" w:cs="Calibri"/>
                <w:color w:val="31465A"/>
                <w:sz w:val="16"/>
              </w:rPr>
              <w:t>ayr-PE</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193,950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Tsotsil (</w:t>
            </w:r>
            <w:r>
              <w:rPr>
                <w:rFonts w:ascii="Calibri" w:hAnsi="Calibri" w:eastAsia="Calibri" w:cs="Calibri"/>
                <w:color w:val="31465A"/>
                <w:sz w:val="16"/>
              </w:rPr>
              <w:t>tzo-MX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190,213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mother-tongue population in Estonia (</w:t>
            </w:r>
            <w:r>
              <w:rPr>
                <w:rFonts w:ascii="Calibri" w:hAnsi="Calibri" w:eastAsia="Calibri" w:cs="Calibri"/>
                <w:color w:val="31465A"/>
                <w:sz w:val="16"/>
              </w:rPr>
              <w:t>ru-Cyrl-EE</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163,429</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1,080,000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Rwanda Kiswahili (</w:t>
            </w:r>
            <w:r>
              <w:rPr>
                <w:rFonts w:ascii="Calibri" w:hAnsi="Calibri" w:eastAsia="Calibri" w:cs="Calibri"/>
                <w:color w:val="31465A"/>
                <w:sz w:val="16"/>
              </w:rPr>
              <w:t>swh-Latn-RW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159,651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84</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Tetun Prasa (</w:t>
            </w:r>
            <w:r>
              <w:rPr>
                <w:rFonts w:ascii="Calibri" w:hAnsi="Calibri" w:eastAsia="Calibri" w:cs="Calibri"/>
                <w:color w:val="31465A"/>
                <w:sz w:val="16"/>
              </w:rPr>
              <w:t>tet-Latn-TL</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157,971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Maori (</w:t>
            </w:r>
            <w:r>
              <w:rPr>
                <w:rFonts w:ascii="Calibri" w:hAnsi="Calibri" w:eastAsia="Calibri" w:cs="Calibri"/>
                <w:color w:val="31465A"/>
                <w:sz w:val="16"/>
              </w:rPr>
              <w:t>mi-Latn-NZ</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93,581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Belize Kriol (</w:t>
            </w:r>
            <w:r>
              <w:rPr>
                <w:rFonts w:ascii="Calibri" w:hAnsi="Calibri" w:eastAsia="Calibri" w:cs="Calibri"/>
                <w:color w:val="31465A"/>
                <w:sz w:val="16"/>
              </w:rPr>
              <w:t>bzj-BZ</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86,924</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88</w:t>
            </w:r>
          </w:p>
        </w:tc>
        <w:tc>
          <w:tcPr>
            <w:tcW w:type="dxa" w:w="390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Chol (</w:t>
            </w:r>
            <w:r>
              <w:rPr>
                <w:rFonts w:ascii="Calibri" w:hAnsi="Calibri" w:eastAsia="Calibri" w:cs="Calibri"/>
                <w:color w:val="31465A"/>
                <w:sz w:val="16"/>
              </w:rPr>
              <w:t>ctu-MX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85,943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Mambai (</w:t>
            </w:r>
            <w:r>
              <w:rPr>
                <w:rFonts w:ascii="Calibri" w:hAnsi="Calibri" w:eastAsia="Calibri" w:cs="Calibri"/>
                <w:color w:val="31465A"/>
                <w:sz w:val="16"/>
              </w:rPr>
              <w:t>mgm-Latn-TL</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81,855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Magahi (</w:t>
            </w:r>
            <w:r>
              <w:rPr>
                <w:rFonts w:ascii="Calibri" w:hAnsi="Calibri" w:eastAsia="Calibri" w:cs="Calibri"/>
                <w:color w:val="31465A"/>
                <w:sz w:val="16"/>
              </w:rPr>
              <w:t>mag-Deva-NP</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80,902</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1,220,000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Q’anjob’al (</w:t>
            </w:r>
            <w:r>
              <w:rPr>
                <w:rFonts w:ascii="Calibri" w:hAnsi="Calibri" w:eastAsia="Calibri" w:cs="Calibri"/>
                <w:color w:val="31465A"/>
                <w:sz w:val="16"/>
              </w:rPr>
              <w:t>kjb-GT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70,940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Mexicano de la Huasteca hidalguense (</w:t>
            </w:r>
            <w:r>
              <w:rPr>
                <w:rFonts w:ascii="Calibri" w:hAnsi="Calibri" w:eastAsia="Calibri" w:cs="Calibri"/>
                <w:color w:val="31465A"/>
                <w:sz w:val="16"/>
              </w:rPr>
              <w:t>nah-huasteca-hidalguense-Latn-MX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69,358</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92</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92</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Poqomchi’ (</w:t>
            </w:r>
            <w:r>
              <w:rPr>
                <w:rFonts w:ascii="Calibri" w:hAnsi="Calibri" w:eastAsia="Calibri" w:cs="Calibri"/>
                <w:color w:val="31465A"/>
                <w:sz w:val="16"/>
              </w:rPr>
              <w:t>poh-GT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56,620</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93</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Makasae (</w:t>
            </w:r>
            <w:r>
              <w:rPr>
                <w:rFonts w:ascii="Calibri" w:hAnsi="Calibri" w:eastAsia="Calibri" w:cs="Calibri"/>
                <w:color w:val="31465A"/>
                <w:sz w:val="16"/>
              </w:rPr>
              <w:t>mkz-Latn-TL</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53,586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94</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94</w:t>
            </w:r>
          </w:p>
        </w:tc>
        <w:tc>
          <w:tcPr>
            <w:tcW w:type="dxa" w:w="390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Achi (</w:t>
            </w:r>
            <w:r>
              <w:rPr>
                <w:rFonts w:ascii="Calibri" w:hAnsi="Calibri" w:eastAsia="Calibri" w:cs="Calibri"/>
                <w:color w:val="31465A"/>
                <w:sz w:val="16"/>
              </w:rPr>
              <w:t>acr-GT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52,961</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95</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95</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Diné Bizaad (</w:t>
            </w:r>
            <w:r>
              <w:rPr>
                <w:rFonts w:ascii="Calibri" w:hAnsi="Calibri" w:eastAsia="Calibri" w:cs="Calibri"/>
                <w:color w:val="31465A"/>
                <w:sz w:val="16"/>
              </w:rPr>
              <w:t>nav-US</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51,686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96</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96</w:t>
            </w:r>
          </w:p>
        </w:tc>
        <w:tc>
          <w:tcPr>
            <w:tcW w:type="dxa" w:w="390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Ixil (</w:t>
            </w:r>
            <w:r>
              <w:rPr>
                <w:rFonts w:ascii="Calibri" w:hAnsi="Calibri" w:eastAsia="Calibri" w:cs="Calibri"/>
                <w:color w:val="31465A"/>
                <w:sz w:val="16"/>
              </w:rPr>
              <w:t>ixl-GT</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50,776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97</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Curaçao Papiamentu (</w:t>
            </w:r>
            <w:r>
              <w:rPr>
                <w:rFonts w:ascii="Calibri" w:hAnsi="Calibri" w:eastAsia="Calibri" w:cs="Calibri"/>
                <w:color w:val="31465A"/>
                <w:sz w:val="16"/>
              </w:rPr>
              <w:t>pap-CW</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48,745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98</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Solomon Islands Pijin (</w:t>
            </w:r>
            <w:r>
              <w:rPr>
                <w:rFonts w:ascii="Calibri" w:hAnsi="Calibri" w:eastAsia="Calibri" w:cs="Calibri"/>
                <w:color w:val="31465A"/>
                <w:sz w:val="16"/>
              </w:rPr>
              <w:t>pis-Latn-SB</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48,605</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99</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99</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Náhuatl de la Sierra noreste de Puebla (</w:t>
            </w:r>
            <w:r>
              <w:rPr>
                <w:rFonts w:ascii="Calibri" w:hAnsi="Calibri" w:eastAsia="Calibri" w:cs="Calibri"/>
                <w:color w:val="31465A"/>
                <w:sz w:val="16"/>
              </w:rPr>
              <w:t>nah-sierra-noreste-puebla-Latn-MX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47,096</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r>
        <w:trPr>
          <w:cantSplit w:val="true"/>
        </w:trPr>
        <w:tc>
          <w:tcPr>
            <w:tcW w:type="dxa" w:w="203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w:t>
            </w:r>
          </w:p>
        </w:tc>
        <w:tc>
          <w:tcPr>
            <w:tcW w:type="dxa" w:w="170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w:t>
            </w:r>
          </w:p>
        </w:tc>
        <w:tc>
          <w:tcPr>
            <w:tcW w:type="dxa" w:w="390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Náhuatl de la Huasteca potosina (</w:t>
            </w:r>
            <w:r>
              <w:rPr>
                <w:rFonts w:ascii="Calibri" w:hAnsi="Calibri" w:eastAsia="Calibri" w:cs="Calibri"/>
                <w:color w:val="31465A"/>
                <w:sz w:val="16"/>
              </w:rPr>
              <w:t>nah-huasteca-potosina-Latn-MX</w:t>
            </w:r>
            <w:r>
              <w:rPr>
                <w:rFonts w:ascii="Calibri" w:hAnsi="Calibri" w:eastAsia="Calibri" w:cs="Calibri"/>
                <w:sz w:val="16"/>
              </w:rPr>
              <w:t>)</w:t>
            </w:r>
          </w:p>
        </w:tc>
        <w:tc>
          <w:tcPr>
            <w:tcW w:type="dxa" w:w="292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46,643</w:t>
            </w:r>
          </w:p>
        </w:tc>
        <w:tc>
          <w:tcPr>
            <w:tcW w:type="dxa" w:w="2394"/>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1,000,000</w:t>
            </w:r>
          </w:p>
        </w:tc>
      </w:tr>
    </w:tbl>
    <w:p>
      <w:pPr>
        <w:widowControl/>
        <w:spacing w:before="0" w:after="40"/>
      </w:pPr>
    </w:p>
    <w:p>
      <w:pPr>
        <w:pStyle w:val="Heading1"/>
        <w:pageBreakBefore/>
        <w:widowControl/>
        <w:ind w:right="1800" w:left="1800"/>
      </w:pPr>
      <w:r>
        <w:t>Appendix B. Stage, large-context, and explicit evidence-gap lanes</w:t>
      </w:r>
    </w:p>
    <w:p>
      <w:pPr>
        <w:pStyle w:val="Heading2"/>
        <w:widowControl/>
        <w:ind w:right="1800" w:left="1800"/>
      </w:pPr>
      <w:r>
        <w:t>B.1 Stage opportunities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735"/>
        <w:gridCol w:w="2900"/>
        <w:gridCol w:w="1793"/>
        <w:gridCol w:w="1849"/>
        <w:gridCol w:w="4683"/>
      </w:tblGrid>
      <w:tr>
        <w:trPr>
          <w:tblHeader w:val="true"/>
          <w:cantSplit w:val="true"/>
        </w:trPr>
        <w:tc>
          <w:tcPr>
            <w:tcW w:type="dxa" w:w="173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Stage rank</w:t>
            </w:r>
          </w:p>
        </w:tc>
        <w:tc>
          <w:tcPr>
            <w:tcW w:type="dxa" w:w="290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Exact opportunity</w:t>
            </w:r>
          </w:p>
        </w:tc>
        <w:tc>
          <w:tcPr>
            <w:tcW w:type="dxa" w:w="179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Cohort</w:t>
            </w:r>
          </w:p>
        </w:tc>
        <w:tc>
          <w:tcPr>
            <w:tcW w:type="dxa" w:w="184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Model median</w:t>
            </w:r>
          </w:p>
        </w:tc>
        <w:tc>
          <w:tcPr>
            <w:tcW w:type="dxa" w:w="468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Definition</w:t>
            </w:r>
          </w:p>
        </w:tc>
      </w:tr>
      <w:tr>
        <w:trPr>
          <w:cantSplit w:val="true"/>
        </w:trPr>
        <w:tc>
          <w:tcPr>
            <w:tcW w:type="dxa" w:w="173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29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Written Chinese (</w:t>
            </w:r>
            <w:r>
              <w:rPr>
                <w:rFonts w:ascii="Calibri" w:hAnsi="Calibri" w:eastAsia="Calibri" w:cs="Calibri"/>
                <w:color w:val="31465A"/>
                <w:sz w:val="16"/>
              </w:rPr>
              <w:t>zh-Hans-CN</w:t>
            </w:r>
            <w:r>
              <w:rPr>
                <w:rFonts w:ascii="Calibri" w:hAnsi="Calibri" w:eastAsia="Calibri" w:cs="Calibri"/>
                <w:sz w:val="16"/>
              </w:rPr>
              <w:t>)</w:t>
            </w:r>
          </w:p>
        </w:tc>
        <w:tc>
          <w:tcPr>
            <w:tcW w:type="dxa" w:w="179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280,404,300</w:t>
            </w:r>
          </w:p>
        </w:tc>
        <w:tc>
          <w:tcPr>
            <w:tcW w:type="dxa" w:w="184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91,804,506</w:t>
            </w:r>
          </w:p>
        </w:tc>
        <w:tc>
          <w:tcPr>
            <w:tcW w:type="dxa" w:w="468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All formal-education enrolments reported by MOE in 2025; a stage-opportunity universe, not a count needing new Chinese material.</w:t>
            </w:r>
          </w:p>
        </w:tc>
      </w:tr>
      <w:tr>
        <w:trPr>
          <w:cantSplit w:val="true"/>
        </w:trPr>
        <w:tc>
          <w:tcPr>
            <w:tcW w:type="dxa" w:w="1735"/>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29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Japanese (</w:t>
            </w:r>
            <w:r>
              <w:rPr>
                <w:rFonts w:ascii="Calibri" w:hAnsi="Calibri" w:eastAsia="Calibri" w:cs="Calibri"/>
                <w:color w:val="31465A"/>
                <w:sz w:val="16"/>
              </w:rPr>
              <w:t>ja-Jpan-JP</w:t>
            </w:r>
            <w:r>
              <w:rPr>
                <w:rFonts w:ascii="Calibri" w:hAnsi="Calibri" w:eastAsia="Calibri" w:cs="Calibri"/>
                <w:sz w:val="16"/>
              </w:rPr>
              <w:t>)</w:t>
            </w:r>
          </w:p>
        </w:tc>
        <w:tc>
          <w:tcPr>
            <w:tcW w:type="dxa" w:w="179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2,922,969</w:t>
            </w:r>
          </w:p>
        </w:tc>
        <w:tc>
          <w:tcPr>
            <w:tcW w:type="dxa" w:w="184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1,291,650</w:t>
            </w:r>
          </w:p>
        </w:tc>
        <w:tc>
          <w:tcPr>
            <w:tcW w:type="dxa" w:w="468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2,645,837 undergraduates plus 277,132 graduate/professional-degree students.</w:t>
            </w:r>
          </w:p>
        </w:tc>
      </w:tr>
    </w:tbl>
    <w:p>
      <w:pPr>
        <w:widowControl/>
        <w:spacing w:before="0" w:after="40"/>
      </w:pPr>
    </w:p>
    <w:p>
      <w:pPr>
        <w:pStyle w:val="Heading2"/>
        <w:widowControl/>
        <w:ind w:right="1800" w:left="1800"/>
      </w:pPr>
      <w:r>
        <w:t>B.2 Mandatory large contexts and sentinel gaps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208"/>
        <w:gridCol w:w="2476"/>
        <w:gridCol w:w="2379"/>
        <w:gridCol w:w="3925"/>
        <w:gridCol w:w="2972"/>
      </w:tblGrid>
      <w:tr>
        <w:trPr>
          <w:tblHeader w:val="true"/>
          <w:cantSplit w:val="true"/>
        </w:trPr>
        <w:tc>
          <w:tcPr>
            <w:tcW w:type="dxa" w:w="1208"/>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Display order</w:t>
            </w:r>
          </w:p>
        </w:tc>
        <w:tc>
          <w:tcPr>
            <w:tcW w:type="dxa" w:w="247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Population/context</w:t>
            </w:r>
          </w:p>
        </w:tc>
        <w:tc>
          <w:tcPr>
            <w:tcW w:type="dxa" w:w="237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Source-bounded measure</w:t>
            </w:r>
          </w:p>
        </w:tc>
        <w:tc>
          <w:tcPr>
            <w:tcW w:type="dxa" w:w="392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Evidence status</w:t>
            </w:r>
          </w:p>
        </w:tc>
        <w:tc>
          <w:tcPr>
            <w:tcW w:type="dxa" w:w="297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Required action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United States English-only home-language population age 5+</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245,472,067 [245,250,680-245,693,454]</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the published survey estimate and MOE; low for educational mastery or resource sufficiency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reported in first, second or third language position  -  India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128,539,090</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the exact C-17 aggregation; low for current scale and academic proficiency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Bengali reported in first, second or third language position  -  India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107,472,243</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the exact C-17 aggregation; low for current scale, script literacy and academic proficiency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Marathi reported in first, second or third language position  -  India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99,058,786</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the exact 2011 C-17 aggregation; low for current threshold status and academic proficiency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Telugu reported in first, second or third language position  -  India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94,501,603</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the exact 2011 C-17 aggregation; low for current threshold status and academic proficiency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co-medium education exposure ceiling  -  Philippines</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112,729,484</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census population and legal medium; low for actual exposure, proficiency and resource sufficiency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education-language exposure ceiling  -  Pakistan</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240,458,089</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census universe and official curriculum role; low for actual exposure, proficiency and resource sufficiency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national education-language exposure ceiling  -  Nigeria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237,527,782</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policy identity; medium for modeled population ceiling; low for actual English proficiency and resource sufficiency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secondary and higher-education exposure ceiling  -  Ethiopia</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135,472,051</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policy wording; medium for modeled population ceiling; low for actual stage exposure and proficiency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education-language exposure ceiling  -  Democratic Republic of the Congo</w:t>
            </w:r>
          </w:p>
        </w:tc>
        <w:tc>
          <w:tcPr>
            <w:tcW w:type="dxa" w:w="2379"/>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112,832,473</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 for statutory language identity; medium for modeled population ceiling; low for actual proficiency and resource sufficiency</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Acquire an exact comfortable-reader or stage-subject denominator and audit the functional supply endpoint before comparison.</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  DRC exposure context</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Keep as context until tested or directly reported proficiency evidence exists</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Algerian Amazigh varieties</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MISSING_EXACT_TARGET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Create exact variety and script targets before population binding</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  West and Central African education contexts</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PRESENT_BASE_LANGUAGE_ONLY_EXACT_TERRITORY_SCRIPT_OR_STANDARD_PROFILE_MISSING</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Keep country-specific exposure and local-language alternatives visible</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  United States home-language stratum</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Use as context and stage-specific negative control</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  India reported L1 L2 L3</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Keep outside direct comfortable-reader ranking</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  Nigeria exposure ceiling</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national population as English users</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  Pakistan exposure ceiling</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national population as English users</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  -  Philippines exposure ceiling</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PRESENT_CONTEXT_STRATUM_NO_EXACT_EDITION_TARGET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national population as English users</w:t>
            </w:r>
          </w:p>
        </w:tc>
      </w:tr>
      <w:tr>
        <w:trPr>
          <w:cantSplit w:val="true"/>
        </w:trPr>
        <w:tc>
          <w:tcPr>
            <w:tcW w:type="dxa" w:w="120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247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Hmong varieties in China</w:t>
            </w:r>
          </w:p>
        </w:tc>
        <w:tc>
          <w:tcPr>
            <w:tcW w:type="dxa" w:w="237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9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MISSING_EXACT_TARGET</w:t>
            </w:r>
          </w:p>
        </w:tc>
        <w:tc>
          <w:tcPr>
            <w:tcW w:type="dxa" w:w="29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Create exact variety and script records before any person allocation</w:t>
            </w:r>
          </w:p>
        </w:tc>
      </w:tr>
    </w:tbl>
    <w:p>
      <w:pPr>
        <w:widowControl/>
        <w:spacing w:before="0" w:after="40"/>
      </w:pPr>
    </w:p>
    <w:p>
      <w:pPr>
        <w:pStyle w:val="Heading1"/>
        <w:pageBreakBefore/>
        <w:widowControl/>
        <w:ind w:right="1800" w:left="1800"/>
      </w:pPr>
      <w:r>
        <w:t>Appendix C. Structural access, signed-language, and displacement portfolios</w:t>
      </w:r>
    </w:p>
    <w:p>
      <w:pPr>
        <w:pStyle w:val="Heading2"/>
        <w:widowControl/>
        <w:ind w:right="1800" w:left="1800"/>
      </w:pPr>
      <w:r>
        <w:t>C.1 Named sign-language and accessibility interventions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152"/>
        <w:gridCol w:w="3425"/>
        <w:gridCol w:w="1494"/>
        <w:gridCol w:w="2717"/>
        <w:gridCol w:w="1400"/>
        <w:gridCol w:w="2772"/>
      </w:tblGrid>
      <w:tr>
        <w:trPr>
          <w:tblHeader w:val="true"/>
          <w:cantSplit w:val="true"/>
        </w:trPr>
        <w:tc>
          <w:tcPr>
            <w:tcW w:type="dxa" w:w="115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Display order</w:t>
            </w:r>
          </w:p>
        </w:tc>
        <w:tc>
          <w:tcPr>
            <w:tcW w:type="dxa" w:w="342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Target or intervention</w:t>
            </w:r>
          </w:p>
        </w:tc>
        <w:tc>
          <w:tcPr>
            <w:tcW w:type="dxa" w:w="149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Mode/tag</w:t>
            </w:r>
          </w:p>
        </w:tc>
        <w:tc>
          <w:tcPr>
            <w:tcW w:type="dxa" w:w="2717"/>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Territory/community</w:t>
            </w:r>
          </w:p>
        </w:tc>
        <w:tc>
          <w:tcPr>
            <w:tcW w:type="dxa" w:w="140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Denominator</w:t>
            </w:r>
          </w:p>
        </w:tc>
        <w:tc>
          <w:tcPr>
            <w:tcW w:type="dxa" w:w="277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Evidence status</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Concise and extended text descriptions for meaningful instructional images</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curriculum, image type, and delivery format</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Downloadable born-accessible reflowable EPUB 3.3</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and test by language and reading-system ecosystem</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high_standard_low_population_specificity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Downloadable full transcript for instructional audio or video</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media language, learner language, and subject</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Instructional video in one named national or regional sign language, paired with text and captions</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Named Deaf community and territory must be specified before implementation</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high_language_distinction_low_population_specificity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Localized Easy Read version with supportive images and reduced memory load</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cognitive-access context, subject, and community</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medium_low_due_to_dated_heterogeneous_meta_analysis</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Localized audio description for instructional video and essential visuals</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media language, learner language, subject, and playback system</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Localized closed captions for prerecorded instructional media</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media language, learner language, and subject</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Localized live captions for synchronous instruction</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session language, learner language, and subject</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Localized plain-language version alongside the precise source</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literacy context, subject, and community</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medium_due_to_coarse_self_or_proxy_literacy_measure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Native MathML for mathematical expressions</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locale, subject, browser, reading system, and assistive-technology stack</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high_standard_medium_interoperability_uncertainty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Navigable eBraille and embossable braille in a declared language and specialist code</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country convention, subject code, and available hardware</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high_code_evidence_low_population_specificity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Navigable full text synchronized with narration</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written/spoken language pair and learner community</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medium_due_to_high_meta_analysis_heterogeneity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Optional downloadable low-bitrate media variant preserving accessibility content</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especially rural and low-income settings with intermittent or expensive connectivity</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high_constraint_evidence_low_population_specificity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Reflowed large-print output with user-controlled size, spacing, and contrast</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language, print standard, device, and low-vision user setting</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high_measure_medium_intervention_specificity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Self-contained downloadable offline accessible learning package</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especially rural, low-income, displaced, home-learning, community-education, and field-based settings</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high_current_constraint_measure_medium_local_transferability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Semantic responsive HTML canonical content layer</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and test by language, locale, device, and assistive-technology stack</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high_standard_low_population_specificity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Tactile graphics for spatial instructional diagrams</w:t>
            </w:r>
          </w:p>
        </w:tc>
        <w:tc>
          <w:tcPr>
            <w:tcW w:type="dxa" w:w="149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ACCESSIBILITY_AND_DELIVERY</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Global; instantiate by curriculum, diagram type, braille convention, and production method</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high_functional_rationale_low_population_specificity</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Brazilian Sign Language (Libras)</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bzs-BR</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Brazil</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153,000</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British Sign Language (BSL)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bfi-GB</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Scotland</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117,300</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American Sign Language (ASL)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ase-CA</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Canada</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37,620</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21</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New Zealand Sign Language (NZSL)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nzs-NZ</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New Zealand</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24,678</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22</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British Sign Language (BSL)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bfi-GB</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England</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20,739</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23</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Auslan</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asf-AU</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Australia</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16,242</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24</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Irish Sign Language (IrSL)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isg-IE</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Ireland</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2,590</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25</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British Sign Language (BSL)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bfi-GB</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Wales</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893</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26</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British Sign Language (BSL)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bfi-GB</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Northern Ireland</w:t>
            </w:r>
          </w:p>
        </w:tc>
        <w:tc>
          <w:tcPr>
            <w:tcW w:type="dxa" w:w="1400"/>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539</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27</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American Sign Language (ASL)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ase-US</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United States</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MEASUREMENT_GAP_NO_PERSON_DENOMINATOR</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28</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Chinese Sign Language (CSL)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csl-CN</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China</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PROXY_NOT_A_SIGN_LANGUAGE_USER_COUNT</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29</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Sign Language (LSF)</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fsl-FR</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Metropolitan France</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QUALIFIED_OR_UNDIFFERENTIATED_SIGN_MEASURE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30</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German Sign Language (DGS)</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gsg-DE</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Germany</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PROXY_NOT_A_SIGN_LANGUAGE_USER_COUNT</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31</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Hawaiʻi Sign Language</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hps-US-HI</w:t>
            </w:r>
          </w:p>
        </w:tc>
        <w:tc>
          <w:tcPr>
            <w:tcW w:type="dxa" w:w="2717"/>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Hawaiʻi, United States</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MEASUREMENT_GAP_NO_PERSON_DENOMINATOR</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32</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Indian Sign Language (ISL-India)</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ins-IN</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India</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PROXY_NOT_A_SIGN_LANGUAGE_USER_COUNT</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33</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Japanese Sign Language (JSL)</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jsl-JP</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Japan</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PROXY_NOT_A_SIGN_LANGUAGE_USER_COUNT</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34</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Quebec Sign Language (LSQ)</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fcs-CA</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Canada</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DIRECT_NAMED_SIGN_LANGUAGE_PERSON_MEASURE</w:t>
            </w:r>
          </w:p>
        </w:tc>
      </w:tr>
      <w:tr>
        <w:trPr>
          <w:cantSplit w:val="true"/>
        </w:trPr>
        <w:tc>
          <w:tcPr>
            <w:tcW w:type="dxa" w:w="1152"/>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35</w:t>
            </w:r>
          </w:p>
        </w:tc>
        <w:tc>
          <w:tcPr>
            <w:tcW w:type="dxa" w:w="34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Spanish sign language(s), undifferentiated</w:t>
            </w:r>
          </w:p>
        </w:tc>
        <w:tc>
          <w:tcPr>
            <w:tcW w:type="dxa" w:w="1494"/>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und-sign-ES</w:t>
            </w:r>
          </w:p>
        </w:tc>
        <w:tc>
          <w:tcPr>
            <w:tcW w:type="dxa" w:w="2717"/>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Spain</w:t>
            </w:r>
          </w:p>
        </w:tc>
        <w:tc>
          <w:tcPr>
            <w:tcW w:type="dxa" w:w="140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277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QUALIFIED_OR_UNDIFFERENTIATED_SIGN_MEASURE</w:t>
            </w:r>
          </w:p>
        </w:tc>
      </w:tr>
    </w:tbl>
    <w:p>
      <w:pPr>
        <w:widowControl/>
        <w:spacing w:before="0" w:after="40"/>
      </w:pPr>
    </w:p>
    <w:p>
      <w:pPr>
        <w:pStyle w:val="Heading2"/>
        <w:widowControl/>
        <w:ind w:right="1800" w:left="1800"/>
      </w:pPr>
      <w:r>
        <w:t>C.2 Host-specific displacement portfolios</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358"/>
        <w:gridCol w:w="3228"/>
        <w:gridCol w:w="1651"/>
        <w:gridCol w:w="3341"/>
        <w:gridCol w:w="3382"/>
      </w:tblGrid>
      <w:tr>
        <w:trPr>
          <w:tblHeader w:val="true"/>
          <w:cantSplit w:val="true"/>
        </w:trPr>
        <w:tc>
          <w:tcPr>
            <w:tcW w:type="dxa" w:w="1358"/>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Display order</w:t>
            </w:r>
          </w:p>
        </w:tc>
        <w:tc>
          <w:tcPr>
            <w:tcW w:type="dxa" w:w="3228"/>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Portfolio</w:t>
            </w:r>
          </w:p>
        </w:tc>
        <w:tc>
          <w:tcPr>
            <w:tcW w:type="dxa" w:w="165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Status cohort</w:t>
            </w:r>
          </w:p>
        </w:tc>
        <w:tc>
          <w:tcPr>
            <w:tcW w:type="dxa" w:w="334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Language/script arms</w:t>
            </w:r>
          </w:p>
        </w:tc>
        <w:tc>
          <w:tcPr>
            <w:tcW w:type="dxa" w:w="3382"/>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Evidence status</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Sudan internal-displacement multi-language overlay</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9,100,000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Sudanese Arabic; Dinka; Nuer; named Darfur and Nuba languages;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DIRECT_STATUS_COHORT_DENOMINATOR_LANGUAGE_DISTRIBUTION_UNRESOLVED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Palestinian Arabic refugee-status overlay</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6,000,000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Palestinian Arabic; Modern Standard Arabic;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DIRECT_STATUS_COHORT_DENOMINATOR_LANGUAGE_DISTRIBUTION_UNRESOLVED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Syrian/North Levantine Arabic refugee overlay</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4,900,000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Syrian/North Levantine Arabic; Modern Standard Arabic;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DIRECT_STATUS_COHORT_DENOMINATOR_LANGUAGE_DISTRIBUTION_UNRESOLVED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Afghan displaced multi-language overlay</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3,700,000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Dari; Pashto; Hazaragi; Uzbek and other explicitly measured Afghan languages;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DIRECT_STATUS_COHORT_DENOMINATOR_LANGUAGE_DISTRIBUTION_UNRESOLVED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Rohingya stateless cohort - script interfaces</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Rohingya Hanifi; Rohingya Latin; Rohingya Arabic; Bangla and Myanmar host/transition interfaces</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DIRECT_STATUS_COHORT_DENOMINATOR_LANGUAGE_DISTRIBUTION_UNRESOLVED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Ukrainian-language/curriculum continuity cohort among displaced learners from Ukraine (language not enumerated)</w:t>
            </w:r>
          </w:p>
        </w:tc>
        <w:tc>
          <w:tcPr>
            <w:tcW w:type="dxa" w:w="1651"/>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700,000</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Ukrainian Cyrillic continuity; Russian where directly measured;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DIRECT_ENROLLED_LEARNER_COHORT_LANGUAGE_DISTRIBUTION_UNRESOLVED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DRC refugees and internal displacement  -  host-specific education portfolio</w:t>
            </w:r>
          </w:p>
        </w:tc>
        <w:tc>
          <w:tcPr>
            <w:tcW w:type="dxa" w:w="165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Lingala; Kiswahili; Tshiluba; Kikongo varieties and other named languages;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SOURCE_DISCOVERY_REQUIRED_NO_POPULATION_ASSIGNED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Somali refugees  -  host-specific education portfolio</w:t>
            </w:r>
          </w:p>
        </w:tc>
        <w:tc>
          <w:tcPr>
            <w:tcW w:type="dxa" w:w="165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Somali Latin; Arabic where directly measured;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SOURCE_DISCOVERY_REQUIRED_NO_POPULATION_ASSIGNED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South Sudanese refugees  -  host-specific education portfolio</w:t>
            </w:r>
          </w:p>
        </w:tc>
        <w:tc>
          <w:tcPr>
            <w:tcW w:type="dxa" w:w="165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Juba Arabic; Dinka; Nuer; Bari and other named languages; each host-country language</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SOURCE_DISCOVERY_REQUIRED_NO_POPULATION_ASSIGNED</w:t>
            </w:r>
          </w:p>
        </w:tc>
      </w:tr>
      <w:tr>
        <w:trPr>
          <w:cantSplit w:val="true"/>
        </w:trPr>
        <w:tc>
          <w:tcPr>
            <w:tcW w:type="dxa" w:w="1358"/>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3228"/>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Venezuelan refugees and migrants  -  host-specific education portfolio</w:t>
            </w:r>
          </w:p>
        </w:tc>
        <w:tc>
          <w:tcPr>
            <w:tcW w:type="dxa" w:w="165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not yet source-bounded</w:t>
            </w:r>
          </w:p>
        </w:tc>
        <w:tc>
          <w:tcPr>
            <w:tcW w:type="dxa" w:w="334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Venezuelan Spanish; Brazilian Portuguese and each other host-country language; Indigenous-language arms where directly evidenced</w:t>
            </w:r>
          </w:p>
        </w:tc>
        <w:tc>
          <w:tcPr>
            <w:tcW w:type="dxa" w:w="3382"/>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SOURCE_DISCOVERY_REQUIRED_NO_POPULATION_ASSIGNED</w:t>
            </w:r>
          </w:p>
        </w:tc>
      </w:tr>
    </w:tbl>
    <w:p>
      <w:pPr>
        <w:widowControl/>
        <w:spacing w:before="0" w:after="40"/>
      </w:pPr>
    </w:p>
    <w:p>
      <w:pPr>
        <w:pStyle w:val="Heading1"/>
        <w:pageBreakBefore/>
        <w:widowControl/>
        <w:ind w:right="1800" w:left="1800"/>
      </w:pPr>
      <w:r>
        <w:t>Appendix D. Bridge and interlanguage research portfolio</w:t>
      </w:r>
    </w:p>
    <w:p>
      <w:pPr>
        <w:widowControl/>
        <w:ind w:right="1800" w:left="1800"/>
      </w:pPr>
      <w:r>
        <w:t>No entry receives family-wide population credit. Evidence grades order the display only; they are not benefit scores. Mathematics-specific comprehension, training burden, script, prior exposure, genre, and overlap with existing natural-language editions must be measured separately from shared-source production reuse.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1283"/>
        <w:gridCol w:w="2371"/>
        <w:gridCol w:w="3085"/>
        <w:gridCol w:w="3196"/>
        <w:gridCol w:w="3025"/>
      </w:tblGrid>
      <w:tr>
        <w:trPr>
          <w:tblHeader w:val="true"/>
          <w:cantSplit w:val="true"/>
        </w:trPr>
        <w:tc>
          <w:tcPr>
            <w:tcW w:type="dxa" w:w="128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Display order</w:t>
            </w:r>
          </w:p>
        </w:tc>
        <w:tc>
          <w:tcPr>
            <w:tcW w:type="dxa" w:w="2371"/>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Bridge or design</w:t>
            </w:r>
          </w:p>
        </w:tc>
        <w:tc>
          <w:tcPr>
            <w:tcW w:type="dxa" w:w="308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Class/mode</w:t>
            </w:r>
          </w:p>
        </w:tc>
        <w:tc>
          <w:tcPr>
            <w:tcW w:type="dxa" w:w="3196"/>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Evidence grade</w:t>
            </w:r>
          </w:p>
        </w:tc>
        <w:tc>
          <w:tcPr>
            <w:tcW w:type="dxa" w:w="3025"/>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Current disposition</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Czech-Slovak receptive pair</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Czech and Slovak Latin orthographies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 natural-pair overlap and shared-source case.</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Dutch-Afrikaans written receptive pair</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Dutch and Afrikaans Latin orthographies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Evidence-backed natural-pair aid.</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3</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Hindi-Urdu / Hindustani parallel registers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Devanagari; Perso-Arabic Nastaliq; Romanization only as optional navigation</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 shared-source parallel standards; reject one-script/one-lexicon substitution.</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4</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Mainland Scandinavian receptive multilingualism</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Latin orthographies; Bokmål and Nynorsk remain distinct labels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Established overlap/parallel-source layer; not a new interlanguage.</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5</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Modern Standard Arabic (MSA)</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Arabic script; accessible audio/plain-language or home-variety scaffolds are separate modalities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Established learned-standard target with stage-specific bounds, not an interlanguage multiplier.</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6</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Spanish-Portuguese and Italian-Spanish receptive pairs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Latin orthographies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Natural-pair overlap layer; not a constructed interlanguage.</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7</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Interslavic</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ordinary Slavic Latin; Cyrillic; extended etymological orthography only as optional research display</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EVIDENCE_GRADE_C</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Pilot/supplement; unranked as a family-wide language target until community-specific functional bounds exist.</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8</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Folksprak / whole-family Inter-Germanic hypothesis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draft Latin orthography; Hebrew-script Yiddish and other community orthographies are not covered</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EVIDENCE_GRADE_D</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as current educational bridge; test separate natural-pair profiles instead.</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9</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Pan-Turkic constructed language / Common Turkic Alphabet</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proposed 34-letter Latin alphabet; existing national Latin, Cyrillic and Perso-Arabic scripts remain separate arms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EVIDENCE_GRADE_D</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infrastructure only; not a scored bridge-language edition.</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10</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Romance Neolatino</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project Latin orthography with diacritics</w:t>
            </w:r>
          </w:p>
        </w:tc>
        <w:tc>
          <w:tcPr>
            <w:tcW w:type="dxa" w:w="3196"/>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EVIDENCE_GRADE_D</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control/pilot only.</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11</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Bosnian-Croatian-Montenegrin-Serbian (BCMS) parallel standards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Bosnian/Croatian/Montenegrin Latin; Serbian Latin and Cyrillic</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EVIDENCE_GRADE_B-/C+</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Deployable shared-source parallel standards.</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12</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Esperanto</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Latin alphabet with Esperanto diacritics</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EVIDENCE_GRADE_B-/C for learning; D for zero-study reach</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Learned-community target/control only.</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13</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Indonesian-Standard Malay pluricentric bridge</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Rumi/Latin national standards; Jawi as separate Malaysian/Bruneian/community arm</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 shared-source parallel-standard case, not one interlanguage.</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14</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Interlingua</w:t>
            </w:r>
          </w:p>
        </w:tc>
        <w:tc>
          <w:tcPr>
            <w:tcW w:type="dxa" w:w="3085"/>
            <w:tcMar>
              <w:top w:w="80" w:type="dxa"/>
              <w:start w:w="120" w:type="dxa"/>
              <w:bottom w:w="80" w:type="dxa"/>
              <w:end w:w="120" w:type="dxa"/>
            </w:tcMar>
            <w:vAlign w:val="center"/>
          </w:tcPr>
          <w:p>
            <w:pPr>
              <w:widowControl/>
              <w:spacing w:before="0" w:after="0" w:line="240" w:lineRule="auto"/>
              <w:jc w:val="center"/>
            </w:pPr>
            <w:r>
              <w:rPr>
                <w:rFonts w:ascii="Calibri" w:hAnsi="Calibri" w:eastAsia="Calibri" w:cs="Calibri"/>
                <w:sz w:val="16"/>
              </w:rPr>
              <w:t>Latin script</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EVIDENCE_GRADE_D for zero-study reach</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Learned-community target or research control; unranked for zero-study bridge reach.</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15</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International Sign</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video/visual-gestural modality; captions, national sign-language versions and written text are separate modalities</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EVIDENCE_GRADE_B-/C for conference use; D for universal education</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Additional contact-layer summary only; never substitute for named sign-language editions.</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16</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Iranian Persian-Afghan Dari-Tajik parallel registers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Perso-Arabic for Iranian Persian/Dari; Tajik Cyrillic; transliteration as infrastructure</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 shared-source, dual-script parallel-register case.</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17</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Kiswahili</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Latin; Ajami only for separately evidenced communities</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EVIDENCE_GRADE_B-/C+</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Established learned natural-language bridge with territory-specific bounds.</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18</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Romance intercomprehension pedagogy</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Latin orthographies; Romanian diacritics; accessibility variants separately scoped</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Taught access layer attached to natural editions; population effect remains partially identified.</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19</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in post-Soviet Central Asia</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Cyrillic; national-language Latin/Cyrillic/Perso-Arabic scripts remain separate</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EVIDENCE_GRADE_B-/C+</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Existing overlap/control layer, not a constructed bridge recommendation.</w:t>
            </w:r>
          </w:p>
        </w:tc>
      </w:tr>
      <w:tr>
        <w:trPr>
          <w:cantSplit w:val="true"/>
        </w:trPr>
        <w:tc>
          <w:tcPr>
            <w:tcW w:type="dxa" w:w="1283"/>
            <w:tcMar>
              <w:top w:w="80" w:type="dxa"/>
              <w:start w:w="120" w:type="dxa"/>
              <w:bottom w:w="80" w:type="dxa"/>
              <w:end w:w="120" w:type="dxa"/>
            </w:tcMar>
            <w:vAlign w:val="center"/>
          </w:tcPr>
          <w:p>
            <w:pPr>
              <w:widowControl/>
              <w:spacing w:before="0" w:after="0" w:line="240" w:lineRule="auto"/>
              <w:jc w:val="right"/>
            </w:pPr>
            <w:r>
              <w:rPr>
                <w:rFonts w:ascii="Calibri" w:hAnsi="Calibri" w:eastAsia="Calibri" w:cs="Calibri"/>
                <w:sz w:val="16"/>
              </w:rPr>
              <w:t>20</w:t>
            </w:r>
          </w:p>
        </w:tc>
        <w:tc>
          <w:tcPr>
            <w:tcW w:type="dxa" w:w="2371"/>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Turkish-Azerbaijani close-pair aids</w:t>
            </w:r>
          </w:p>
        </w:tc>
        <w:tc>
          <w:tcPr>
            <w:tcW w:type="dxa" w:w="308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Turkish Latin; Azerbaijani Latin; Iranian Azerbaijani Perso-Arabic only as a separate unevidenced arm</w:t>
            </w:r>
          </w:p>
        </w:tc>
        <w:tc>
          <w:tcPr>
            <w:tcW w:type="dxa" w:w="3196"/>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EVIDENCE_GRADE_B-</w:t>
            </w:r>
          </w:p>
        </w:tc>
        <w:tc>
          <w:tcPr>
            <w:tcW w:type="dxa" w:w="3025"/>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Pair-specific parallel aid/pilot, not a pan-Turkic edition.</w:t>
            </w:r>
          </w:p>
        </w:tc>
      </w:tr>
    </w:tbl>
    <w:p>
      <w:pPr>
        <w:widowControl/>
        <w:spacing w:before="0" w:after="40"/>
      </w:pPr>
    </w:p>
    <w:p>
      <w:pPr>
        <w:pStyle w:val="Heading1"/>
        <w:pageBreakBefore/>
        <w:widowControl/>
        <w:ind w:right="1800" w:left="1800"/>
      </w:pPr>
      <w:r>
        <w:t>Appendix E. Stage and subject recommendations</w:t>
      </w:r>
    </w:p>
    <w:p>
      <w:pPr>
        <w:widowControl/>
        <w:ind w:right="1800" w:left="1800"/>
      </w:pPr>
      <w:r>
        <w:t>The 63 rows below are conditional package recommendations, not additional population ranks. They identify the first educational stages and material classes to investigate or commission for leading, stage-specific, regionally important, displaced, and structurally important routes. A recommendation does not claim that every listed resource is absent; its boundary note states the principal overreach to avoid. The full machine-readable register retains second-wave packages, delivery profiles, evidence keys, and confidence.</w:t>
      </w:r>
    </w:p>
    <w:tbl>
      <w:tblPr>
        <w:jc w:val="left"/>
        <w:tblLook w:firstColumn="1" w:firstRow="1" w:lastColumn="0" w:lastRow="0" w:noHBand="0" w:noVBand="1" w:val="04A0"/>
        <w:tblW w:w="12960" w:type="dxa"/>
        <w:tblInd w:w="120" w:type="dxa"/>
        <w:tblLayout w:type="fixed"/>
        <w:tblCellMar>
          <w:top w:w="80" w:type="dxa"/>
          <w:start w:w="120" w:type="dxa"/>
          <w:bottom w:w="80" w:type="dxa"/>
          <w:end w:w="120" w:type="dxa"/>
        </w:tblCellMar>
        <w:tblBorders>
          <w:top w:val="single" w:sz="4" w:space="0" w:color="C8D2DF"/>
          <w:left w:val="single" w:sz="4" w:space="0" w:color="C8D2DF"/>
          <w:bottom w:val="single" w:sz="4" w:space="0" w:color="C8D2DF"/>
          <w:right w:val="single" w:sz="4" w:space="0" w:color="C8D2DF"/>
          <w:insideH w:val="single" w:sz="4" w:space="0" w:color="C8D2DF"/>
          <w:insideV w:val="single" w:sz="4" w:space="0" w:color="C8D2DF"/>
        </w:tblBorders>
      </w:tblPr>
      <w:tblGrid>
        <w:gridCol w:w="2123"/>
        <w:gridCol w:w="2790"/>
        <w:gridCol w:w="2574"/>
        <w:gridCol w:w="2684"/>
        <w:gridCol w:w="2789"/>
      </w:tblGrid>
      <w:tr>
        <w:trPr>
          <w:tblHeader w:val="true"/>
          <w:cantSplit w:val="true"/>
        </w:trPr>
        <w:tc>
          <w:tcPr>
            <w:tcW w:type="dxa" w:w="2123"/>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Target or route</w:t>
            </w:r>
          </w:p>
        </w:tc>
        <w:tc>
          <w:tcPr>
            <w:tcW w:type="dxa" w:w="2790"/>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Priority stages</w:t>
            </w:r>
          </w:p>
        </w:tc>
        <w:tc>
          <w:tcPr>
            <w:tcW w:type="dxa" w:w="257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First package classes</w:t>
            </w:r>
          </w:p>
        </w:tc>
        <w:tc>
          <w:tcPr>
            <w:tcW w:type="dxa" w:w="2684"/>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Why it may have outsized utility</w:t>
            </w:r>
          </w:p>
        </w:tc>
        <w:tc>
          <w:tcPr>
            <w:tcW w:type="dxa" w:w="2789"/>
            <w:tcMar>
              <w:top w:w="80" w:type="dxa"/>
              <w:start w:w="120" w:type="dxa"/>
              <w:bottom w:w="80" w:type="dxa"/>
              <w:end w:w="120" w:type="dxa"/>
            </w:tcMar>
            <w:vAlign w:val="center"/>
            <w:shd w:val="clear" w:fill="F4F6F9"/>
          </w:tcPr>
          <w:p>
            <w:pPr>
              <w:widowControl/>
              <w:spacing w:before="0" w:after="0" w:line="240" w:lineRule="auto"/>
              <w:jc w:val="center"/>
            </w:pPr>
            <w:r>
              <w:rPr>
                <w:rFonts w:ascii="Calibri" w:hAnsi="Calibri" w:eastAsia="Calibri" w:cs="Calibri"/>
                <w:b/>
                <w:sz w:val="16"/>
              </w:rPr>
              <w:t>Boundary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Mandarin; Simplified Chinese (</w:t>
            </w:r>
            <w:r>
              <w:rPr>
                <w:rFonts w:ascii="Calibri" w:hAnsi="Calibri" w:eastAsia="Calibri" w:cs="Calibri"/>
                <w:color w:val="31465A"/>
                <w:sz w:val="16"/>
              </w:rPr>
              <w:t>zh-Hans-CN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postgraduate -&gt; research -&gt; undergraduate -&gt; vocational-adult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methods; reproducibility; open science; accessible STEM reference</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research community; open licensing and accessibility rather than assumed foundational scarcity</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infer national foundational need from population; audit rural migrant disability and field strata separately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Japanese (</w:t>
            </w:r>
            <w:r>
              <w:rPr>
                <w:rFonts w:ascii="Calibri" w:hAnsi="Calibri" w:eastAsia="Calibri" w:cs="Calibri"/>
                <w:color w:val="31465A"/>
                <w:sz w:val="16"/>
              </w:rPr>
              <w:t>ja-Jpan-JP</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reading/writing; open science; reproducibility; accessible advanced STEM</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English-language research burden despite strong school outcomes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Current evidence points first to research and accessibility; it neither asserts whole-language primary scarcity nor excludes evidence-specific primary cohorts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Korean (</w:t>
            </w:r>
            <w:r>
              <w:rPr>
                <w:rFonts w:ascii="Calibri" w:hAnsi="Calibri" w:eastAsia="Calibri" w:cs="Calibri"/>
                <w:color w:val="31465A"/>
                <w:sz w:val="16"/>
              </w:rPr>
              <w:t>ko-Kore-KR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methods; open science; accessible advanced STEM</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advanced multilingual and open-access value in a strong school system</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claim foundational scarcity without stratum evidence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Indonesian (</w:t>
            </w:r>
            <w:r>
              <w:rPr>
                <w:rFonts w:ascii="Calibri" w:hAnsi="Calibri" w:eastAsia="Calibri" w:cs="Calibri"/>
                <w:color w:val="31465A"/>
                <w:sz w:val="16"/>
              </w:rPr>
              <w:t>id-Latn-ID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 -&gt; early-childhood</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mastery literacy/numeracy; complete mathematics/science; health; climate/disaster;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53% learning poverty; archipelagic disaster/climate; national bridge across regional languages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Indonesian need is not reduced by any local translation activity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Javanese; Latin core (</w:t>
            </w:r>
            <w:r>
              <w:rPr>
                <w:rFonts w:ascii="Calibri" w:hAnsi="Calibri" w:eastAsia="Calibri" w:cs="Calibri"/>
                <w:color w:val="31465A"/>
                <w:sz w:val="16"/>
              </w:rPr>
              <w:t>jv-Latn-ID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oral/literacy/numeracy foundation; Indonesian bridge; health; disaster</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transitioning to Indonesian schooling</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collapse recorded dialects or substitute Javanese script without a separate literacy track</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Sundanese; Latin core (</w:t>
            </w:r>
            <w:r>
              <w:rPr>
                <w:rFonts w:ascii="Calibri" w:hAnsi="Calibri" w:eastAsia="Calibri" w:cs="Calibri"/>
                <w:color w:val="31465A"/>
                <w:sz w:val="16"/>
              </w:rPr>
              <w:t>su-Latn-ID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Indonesian bridge; primary concepts;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foundation and national-language transition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Sundanese script is a separately scoped literacy/access edition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Madurese (</w:t>
            </w:r>
            <w:r>
              <w:rPr>
                <w:rFonts w:ascii="Calibri" w:hAnsi="Calibri" w:eastAsia="Calibri" w:cs="Calibri"/>
                <w:color w:val="31465A"/>
                <w:sz w:val="16"/>
              </w:rPr>
              <w:t>mad-Latn-ID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Indonesian bridge; health; disaster</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transition and island livelihood needs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Tag materially different eastern/western varieties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Banjarese (</w:t>
            </w:r>
            <w:r>
              <w:rPr>
                <w:rFonts w:ascii="Calibri" w:hAnsi="Calibri" w:eastAsia="Calibri" w:cs="Calibri"/>
                <w:color w:val="31465A"/>
                <w:sz w:val="16"/>
              </w:rPr>
              <w:t>bjn-Latn-ID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vocational-adult -&gt; lower-secondary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Indonesian bridge; health; wetland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river/wetland livelihoods and national-language transition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Banjar Kuala and Banjar Hulu require tagging</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Buginese; Latin core (</w:t>
            </w:r>
            <w:r>
              <w:rPr>
                <w:rFonts w:ascii="Calibri" w:hAnsi="Calibri" w:eastAsia="Calibri" w:cs="Calibri"/>
                <w:color w:val="31465A"/>
                <w:sz w:val="16"/>
              </w:rPr>
              <w:t>bug-Latn-ID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vocational-adult -&gt; lower-secondary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Indonesian bridge; health and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maritime/agricultural livelihoods and bilingual transition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silently mix Latin and Lontara literacy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Bangla (</w:t>
            </w:r>
            <w:r>
              <w:rPr>
                <w:rFonts w:ascii="Calibri" w:hAnsi="Calibri" w:eastAsia="Calibri" w:cs="Calibri"/>
                <w:color w:val="31465A"/>
                <w:sz w:val="16"/>
              </w:rPr>
              <w:t>bn-Beng-BD</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 -&gt; early-childhood</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 climate/disaster</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51% learning poverty; delta/cyclone exposure; agriculture and climate-migration pressures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Complete Bangla ladder; retain English search terminology without making English a prerequisite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Hindi (</w:t>
            </w:r>
            <w:r>
              <w:rPr>
                <w:rFonts w:ascii="Calibri" w:hAnsi="Calibri" w:eastAsia="Calibri" w:cs="Calibri"/>
                <w:color w:val="31465A"/>
                <w:sz w:val="16"/>
              </w:rPr>
              <w:t>hi-Deva-IN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massive foundation programme and large higher-education population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use broad Hindi census grouping as proof of standard-Hindi comprehension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Marathi (</w:t>
            </w:r>
            <w:r>
              <w:rPr>
                <w:rFonts w:ascii="Calibri" w:hAnsi="Calibri" w:eastAsia="Calibri" w:cs="Calibri"/>
                <w:color w:val="31465A"/>
                <w:sz w:val="16"/>
              </w:rPr>
              <w:t>mr-Deva-IN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exact language with independent school and academic pathway</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Hindi is not a coverage proxy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Telugu (</w:t>
            </w:r>
            <w:r>
              <w:rPr>
                <w:rFonts w:ascii="Calibri" w:hAnsi="Calibri" w:eastAsia="Calibri" w:cs="Calibri"/>
                <w:color w:val="31465A"/>
                <w:sz w:val="16"/>
              </w:rPr>
              <w:t>te-Telu-IN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exact language and major higher-education/workforce community</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do not infer English proficiency from IT-sector visibility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Tamil (</w:t>
            </w:r>
            <w:r>
              <w:rPr>
                <w:rFonts w:ascii="Calibri" w:hAnsi="Calibri" w:eastAsia="Calibri" w:cs="Calibri"/>
                <w:color w:val="31465A"/>
                <w:sz w:val="16"/>
              </w:rPr>
              <w:t>ta-Taml-IN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school and research-language community with international diaspora</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India and Sri Lanka locale profiles should be distinguished</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Gujarati (</w:t>
            </w:r>
            <w:r>
              <w:rPr>
                <w:rFonts w:ascii="Calibri" w:hAnsi="Calibri" w:eastAsia="Calibri" w:cs="Calibri"/>
                <w:color w:val="31465A"/>
                <w:sz w:val="16"/>
              </w:rPr>
              <w:t>gu-Gujr-IN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exact language with strong enterprise relevance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Hindi is not coverage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Kannada (</w:t>
            </w:r>
            <w:r>
              <w:rPr>
                <w:rFonts w:ascii="Calibri" w:hAnsi="Calibri" w:eastAsia="Calibri" w:cs="Calibri"/>
                <w:color w:val="31465A"/>
                <w:sz w:val="16"/>
              </w:rPr>
              <w:t>kn-Knda-IN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undergraduate -&gt; vocational-adult -&gt; postgraduate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exact language and major technology/higher-education region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infer English comfort from regional industry profile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Malayalam (</w:t>
            </w:r>
            <w:r>
              <w:rPr>
                <w:rFonts w:ascii="Calibri" w:hAnsi="Calibri" w:eastAsia="Calibri" w:cs="Calibri"/>
                <w:color w:val="31465A"/>
                <w:sz w:val="16"/>
              </w:rPr>
              <w:t>ml-Mlym-IN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upper-secondary -&gt; undergraduate -&gt; postgraduate -&gt; research -&gt; vocational-adult -&gt; primary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accessible STEM and health; research methods; finance/digital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 school outcomes shift marginal value toward advanced/open/accessibility while retaining exact gap audit</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assume high literacy eliminates advanced-language burden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Odia (</w:t>
            </w:r>
            <w:r>
              <w:rPr>
                <w:rFonts w:ascii="Calibri" w:hAnsi="Calibri" w:eastAsia="Calibri" w:cs="Calibri"/>
                <w:color w:val="31465A"/>
                <w:sz w:val="16"/>
              </w:rPr>
              <w:t>or-Orya-IN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climate/disaster</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exact language; coastal/cyclone and agricultural applications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Hindi is not coverage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w:t>
            </w:r>
            <w:r>
              <w:rPr>
                <w:rFonts w:ascii="Calibri" w:hAnsi="Calibri" w:eastAsia="Calibri" w:cs="Calibri"/>
                <w:color w:val="31465A"/>
                <w:sz w:val="16"/>
              </w:rPr>
              <w:t>ur-Arab-PK</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literacy/numeracy recovery;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77% learning poverty; national bridge and later academic language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Urdu is national but not the home language of most early learners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Punjabi; Shahmukhi (</w:t>
            </w:r>
            <w:r>
              <w:rPr>
                <w:rFonts w:ascii="Calibri" w:hAnsi="Calibri" w:eastAsia="Calibri" w:cs="Calibri"/>
                <w:color w:val="31465A"/>
                <w:sz w:val="16"/>
              </w:rPr>
              <w:t>pnb-Arab-PK</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Urdu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mismatch in a very large provincial population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merge with Gurmukhi Punjabi output</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Sindhi (</w:t>
            </w:r>
            <w:r>
              <w:rPr>
                <w:rFonts w:ascii="Calibri" w:hAnsi="Calibri" w:eastAsia="Calibri" w:cs="Calibri"/>
                <w:color w:val="31465A"/>
                <w:sz w:val="16"/>
              </w:rPr>
              <w:t>sd-Arab-PK</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upper-secondary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Urdu/English bridge;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instruction plus climate-vulnerable livelihoods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Use the accepted Sindhi Arabic orthography; script variants are separate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Pashto (</w:t>
            </w:r>
            <w:r>
              <w:rPr>
                <w:rFonts w:ascii="Calibri" w:hAnsi="Calibri" w:eastAsia="Calibri" w:cs="Calibri"/>
                <w:color w:val="31465A"/>
                <w:sz w:val="16"/>
              </w:rPr>
              <w:t>ps-Arab-PK</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Urdu bridge;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mismatch and rural/conflict-affected strata</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Pakistan locale; Afghan Pashto requires a separate curriculum/context profile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Saraiki (</w:t>
            </w:r>
            <w:r>
              <w:rPr>
                <w:rFonts w:ascii="Calibri" w:hAnsi="Calibri" w:eastAsia="Calibri" w:cs="Calibri"/>
                <w:color w:val="31465A"/>
                <w:sz w:val="16"/>
              </w:rPr>
              <w:t>skr-Arab-PK</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Urdu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mismatch and rural livelihood relevance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not a generic Punjabi or Urdu edition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Filipino; formal national register (</w:t>
            </w:r>
            <w:r>
              <w:rPr>
                <w:rFonts w:ascii="Calibri" w:hAnsi="Calibri" w:eastAsia="Calibri" w:cs="Calibri"/>
                <w:color w:val="31465A"/>
                <w:sz w:val="16"/>
              </w:rPr>
              <w:t>fil-Latn-PH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 -&gt; research -&gt; early-childhood</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recovery;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91% learning poverty and severe secondary proficiency gaps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Formal Filipino and vernacular Tagalog should be register-tagged</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Cebuano (</w:t>
            </w:r>
            <w:r>
              <w:rPr>
                <w:rFonts w:ascii="Calibri" w:hAnsi="Calibri" w:eastAsia="Calibri" w:cs="Calibri"/>
                <w:color w:val="31465A"/>
                <w:sz w:val="16"/>
              </w:rPr>
              <w:t>ceb-Latn-PH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Filipino/English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in a high-learning-poverty system</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census Bisaya and Cebuano labels as automatically identical</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Hiligaynon (</w:t>
            </w:r>
            <w:r>
              <w:rPr>
                <w:rFonts w:ascii="Calibri" w:hAnsi="Calibri" w:eastAsia="Calibri" w:cs="Calibri"/>
                <w:color w:val="31465A"/>
                <w:sz w:val="16"/>
              </w:rPr>
              <w:t>hil-Latn-PH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Filipino/English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and transition burden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Separate from Cebuano/Bisaya</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Ilocano (</w:t>
            </w:r>
            <w:r>
              <w:rPr>
                <w:rFonts w:ascii="Calibri" w:hAnsi="Calibri" w:eastAsia="Calibri" w:cs="Calibri"/>
                <w:color w:val="31465A"/>
                <w:sz w:val="16"/>
              </w:rPr>
              <w:t>ilo-Latn-PH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Filipino/English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and transition burden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Burmese (</w:t>
            </w:r>
            <w:r>
              <w:rPr>
                <w:rFonts w:ascii="Calibri" w:hAnsi="Calibri" w:eastAsia="Calibri" w:cs="Calibri"/>
                <w:color w:val="31465A"/>
                <w:sz w:val="16"/>
              </w:rPr>
              <w:t>my-Mymr-MM</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health-professional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portable catch-up;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conflict/displacement and disrupted educational continuity</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language does not cover all minority-language entrants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Shan (</w:t>
            </w:r>
            <w:r>
              <w:rPr>
                <w:rFonts w:ascii="Calibri" w:hAnsi="Calibri" w:eastAsia="Calibri" w:cs="Calibri"/>
                <w:color w:val="31465A"/>
                <w:sz w:val="16"/>
              </w:rPr>
              <w:t>shn-Mymr-MM</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Burmese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minority-language and conflict/displacement access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Verify Shan orthography and locale; population basis remains uncertain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S'gaw Karen (</w:t>
            </w:r>
            <w:r>
              <w:rPr>
                <w:rFonts w:ascii="Calibri" w:hAnsi="Calibri" w:eastAsia="Calibri" w:cs="Calibri"/>
                <w:color w:val="31465A"/>
                <w:sz w:val="16"/>
              </w:rPr>
              <w:t>ksw-Mymr-MM</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Burmese/host-language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displacement and educational interruption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merge S'gaw with Pwo Karen languages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Rohingya; Hanifi core (</w:t>
            </w:r>
            <w:r>
              <w:rPr>
                <w:rFonts w:ascii="Calibri" w:hAnsi="Calibri" w:eastAsia="Calibri" w:cs="Calibri"/>
                <w:color w:val="31465A"/>
                <w:sz w:val="16"/>
              </w:rPr>
              <w:t>rhg-Rohg</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host-language bridge; health;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displacement; limited formal continuity; health-information barriers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Hanifi Latin and Arabic-derived access editions must be separately tagged</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Vietnamese (</w:t>
            </w:r>
            <w:r>
              <w:rPr>
                <w:rFonts w:ascii="Calibri" w:hAnsi="Calibri" w:eastAsia="Calibri" w:cs="Calibri"/>
                <w:color w:val="31465A"/>
                <w:sz w:val="16"/>
              </w:rPr>
              <w:t>vi-Latn-VN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upper-secondary -&gt; vocational-adult -&gt; undergraduate -&gt; postgraduate -&gt; research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secondary STEM; first-year quantitative bridge; research methods</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stronger foundation shifts value toward advanced/open access and professional capacity</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use national outcomes to erase ethnic-minority early-language needs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Standard Thai (</w:t>
            </w:r>
            <w:r>
              <w:rPr>
                <w:rFonts w:ascii="Calibri" w:hAnsi="Calibri" w:eastAsia="Calibri" w:cs="Calibri"/>
                <w:color w:val="31465A"/>
                <w:sz w:val="16"/>
              </w:rPr>
              <w:t>th-Thai-TH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lower-secondary -&gt; upper-secondary -&gt; vocational-adult -&gt; undergraduate -&gt; postgraduate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mathematics/science progression; health; digital/financial capability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moderate national foundation gap and tertiary English bridge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Thai is not evidence of coverage for Isan Pattani Malay Northern Thai or Northern Khmer</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Isan language; Thai-script contemporary literacy (</w:t>
            </w:r>
            <w:r>
              <w:rPr>
                <w:rFonts w:ascii="Calibri" w:hAnsi="Calibri" w:eastAsia="Calibri" w:cs="Calibri"/>
                <w:color w:val="31465A"/>
                <w:sz w:val="16"/>
              </w:rPr>
              <w:t>tts-Thai-TH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oral/foundation scaffold; Standard Thai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versus national instructional-language transition; rural livelihoods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claim full Lao or Standard Thai equivalence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Pattani Malay; Jawi core (</w:t>
            </w:r>
            <w:r>
              <w:rPr>
                <w:rFonts w:ascii="Calibri" w:hAnsi="Calibri" w:eastAsia="Calibri" w:cs="Calibri"/>
                <w:color w:val="31465A"/>
                <w:sz w:val="16"/>
              </w:rPr>
              <w:t>mfa-Arab-TH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Thai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language-of-instruction transition and regional access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Malay varieties and scripts require explicit locale tags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Khmer (</w:t>
            </w:r>
            <w:r>
              <w:rPr>
                <w:rFonts w:ascii="Calibri" w:hAnsi="Calibri" w:eastAsia="Calibri" w:cs="Calibri"/>
                <w:color w:val="31465A"/>
                <w:sz w:val="16"/>
              </w:rPr>
              <w:t>km-Khmr-KH</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postgraduate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recovery;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weak foundational learning plus low STEM/research participation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Khmer does not cover Indigenous minority languages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Lao (</w:t>
            </w:r>
            <w:r>
              <w:rPr>
                <w:rFonts w:ascii="Calibri" w:hAnsi="Calibri" w:eastAsia="Calibri" w:cs="Calibri"/>
                <w:color w:val="31465A"/>
                <w:sz w:val="16"/>
              </w:rPr>
              <w:t>lo-Laoo-LA</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recovery;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and rural-connectivity gaps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Lao does not automatically cover Khmu Hmong or other minority entrants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Kiswahili (</w:t>
            </w:r>
            <w:r>
              <w:rPr>
                <w:rFonts w:ascii="Calibri" w:hAnsi="Calibri" w:eastAsia="Calibri" w:cs="Calibri"/>
                <w:color w:val="31465A"/>
                <w:sz w:val="16"/>
              </w:rPr>
              <w:t>sw-Latn-TZ-KE</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teacher-education -&gt; undergraduate -&gt; postgraduate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cross-border bridge; learning poverty; English tertiary barrier; rural livelihoods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Country roles differ; do not award blanket East African comprehension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Hausa; Latin core (</w:t>
            </w:r>
            <w:r>
              <w:rPr>
                <w:rFonts w:ascii="Calibri" w:hAnsi="Calibri" w:eastAsia="Calibri" w:cs="Calibri"/>
                <w:color w:val="31465A"/>
                <w:sz w:val="16"/>
              </w:rPr>
              <w:t>ha-Latn-NG-NE</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teacher-education</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national-language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cross-border adult/health/agriculture reach in high-learning-poverty region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Latin and Ajami editions require separate script QA</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Yoruba (</w:t>
            </w:r>
            <w:r>
              <w:rPr>
                <w:rFonts w:ascii="Calibri" w:hAnsi="Calibri" w:eastAsia="Calibri" w:cs="Calibri"/>
                <w:color w:val="31465A"/>
                <w:sz w:val="16"/>
              </w:rPr>
              <w:t>yo-Latn-NG</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in high-learning-poverty setting</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target; do not infer English coverage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Igbo (</w:t>
            </w:r>
            <w:r>
              <w:rPr>
                <w:rFonts w:ascii="Calibri" w:hAnsi="Calibri" w:eastAsia="Calibri" w:cs="Calibri"/>
                <w:color w:val="31465A"/>
                <w:sz w:val="16"/>
              </w:rPr>
              <w:t>ig-Latn-NG</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home-language stratum in high-learning-poverty setting</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Dialect/standard choice requires explicit locale metadata</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Nigerian Pidgin (</w:t>
            </w:r>
            <w:r>
              <w:rPr>
                <w:rFonts w:ascii="Calibri" w:hAnsi="Calibri" w:eastAsia="Calibri" w:cs="Calibri"/>
                <w:color w:val="31465A"/>
                <w:sz w:val="16"/>
              </w:rPr>
              <w:t>pcm-Latn-NG</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vocational-adult -&gt; health -&gt; financial-digital -&gt; lower-secondary-support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health; digital/financial safety; adult functional literacy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wide oral reach for actionable public and adult material</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Supplement not substitute for exact school/home languages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Amharic (</w:t>
            </w:r>
            <w:r>
              <w:rPr>
                <w:rFonts w:ascii="Calibri" w:hAnsi="Calibri" w:eastAsia="Calibri" w:cs="Calibri"/>
                <w:color w:val="31465A"/>
                <w:sz w:val="16"/>
              </w:rPr>
              <w:t>am-Ethi-ET</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undergraduate -&gt; teacher-education</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mathematics/science;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national bridge amid low connectivity and incomplete learning measurement</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National role does not cover Oromo Somali Tigrinya or other exact languages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Oromo (</w:t>
            </w:r>
            <w:r>
              <w:rPr>
                <w:rFonts w:ascii="Calibri" w:hAnsi="Calibri" w:eastAsia="Calibri" w:cs="Calibri"/>
                <w:color w:val="31465A"/>
                <w:sz w:val="16"/>
              </w:rPr>
              <w:t>om-Latn-ET</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teacher-education</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Amharic/English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regional language; rural and pastoralist relevance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Country and dialect profiles require tagging</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Somali (</w:t>
            </w:r>
            <w:r>
              <w:rPr>
                <w:rFonts w:ascii="Calibri" w:hAnsi="Calibri" w:eastAsia="Calibri" w:cs="Calibri"/>
                <w:color w:val="31465A"/>
                <w:sz w:val="16"/>
              </w:rPr>
              <w:t>so-Latn-SO</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 -&gt; teacher-education</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foundation/catch-up; health; teacher education</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conflict/displacement and recurrent drought</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Somalia Kenya Ethiopia and diaspora curriculum contexts differ</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Tigrinya (</w:t>
            </w:r>
            <w:r>
              <w:rPr>
                <w:rFonts w:ascii="Calibri" w:hAnsi="Calibri" w:eastAsia="Calibri" w:cs="Calibri"/>
                <w:color w:val="31465A"/>
                <w:sz w:val="16"/>
              </w:rPr>
              <w:t>ti-Ethi-ET-ER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national/host-language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conflict/displacement and rural access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Ethiopia and Eritrea locale/curriculum profiles should be separate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Modern Standard Arabic (</w:t>
            </w:r>
            <w:r>
              <w:rPr>
                <w:rFonts w:ascii="Calibri" w:hAnsi="Calibri" w:eastAsia="Calibri" w:cs="Calibri"/>
                <w:color w:val="31465A"/>
                <w:sz w:val="16"/>
              </w:rPr>
              <w:t>ar-Arab-MENA</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early-childhood-bridge -&gt; primary -&gt; lower-secondary -&gt; upper-secondary -&gt; vocational-adult -&gt; undergraduate -&gt; postgraduate -&gt; research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language-rich MSA bridge; literacy/numeracy;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more than half of MENA children in learning poverty; MSA/home-variety distance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MSA is a shared formal register not proof that one edition fully serves every country or colloquial community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Moroccan Arabic; Darija (</w:t>
            </w:r>
            <w:r>
              <w:rPr>
                <w:rFonts w:ascii="Calibri" w:hAnsi="Calibri" w:eastAsia="Calibri" w:cs="Calibri"/>
                <w:color w:val="31465A"/>
                <w:sz w:val="16"/>
              </w:rPr>
              <w:t>ary-Arab-MA</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vocational-adult -&gt; health -&gt; lower-secondary-support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oral/foundation scaffold; MSA/French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distance between home variety and formal school/academic languages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Supplement to MSA not automatic substitute; regional variety must be tagged</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Iranian Persian (</w:t>
            </w:r>
            <w:r>
              <w:rPr>
                <w:rFonts w:ascii="Calibri" w:hAnsi="Calibri" w:eastAsia="Calibri" w:cs="Calibri"/>
                <w:color w:val="31465A"/>
                <w:sz w:val="16"/>
              </w:rPr>
              <w:t>fa-Arab-IR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upper-secondary -&gt; undergraduate -&gt; postgraduate -&gt; research -&gt; vocational-adult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accessible STEM; research methods; open 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non-English research and tertiary population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Persian as automatic Dari or Tajik coverage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Dari (</w:t>
            </w:r>
            <w:r>
              <w:rPr>
                <w:rFonts w:ascii="Calibri" w:hAnsi="Calibri" w:eastAsia="Calibri" w:cs="Calibri"/>
                <w:color w:val="31465A"/>
                <w:sz w:val="16"/>
              </w:rPr>
              <w:t>prs-Arab-AF</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portable foundation/catch-up; health;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conflict/displacement and academic-language interruption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Separate from Iranian Persian and Tajik; preserve locale terminology</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Afghan Pashto (</w:t>
            </w:r>
            <w:r>
              <w:rPr>
                <w:rFonts w:ascii="Calibri" w:hAnsi="Calibri" w:eastAsia="Calibri" w:cs="Calibri"/>
                <w:color w:val="31465A"/>
                <w:sz w:val="16"/>
              </w:rPr>
              <w:t>ps-Arab-AF</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 -&gt; upper-secondary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portable foundation/catch-up; health;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conflict/displacement and academic-language interruption</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Separate curriculum/context profile from Pakistan Pashto</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Kurmanji Kurdish; Latin script (</w:t>
            </w:r>
            <w:r>
              <w:rPr>
                <w:rFonts w:ascii="Calibri" w:hAnsi="Calibri" w:eastAsia="Calibri" w:cs="Calibri"/>
                <w:color w:val="31465A"/>
                <w:sz w:val="16"/>
              </w:rPr>
              <w:t>ku-Latn-TR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primary-support -&gt; vocational-adult -&gt; health -&gt; secondary-support</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 literacy; Turkish/host-language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minority/displacement and host-language barriers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merge with Sorani or other Kurdish languages/scripts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Sorani Kurdish (</w:t>
            </w:r>
            <w:r>
              <w:rPr>
                <w:rFonts w:ascii="Calibri" w:hAnsi="Calibri" w:eastAsia="Calibri" w:cs="Calibri"/>
                <w:color w:val="31465A"/>
                <w:sz w:val="16"/>
              </w:rPr>
              <w:t>ckb-Arab-IQ</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Arabic/Persian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distinct school/public language with regional academic-language bridges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Independent from Kurmanji; country locale matters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Haitian Creole; Kreyòl (</w:t>
            </w:r>
            <w:r>
              <w:rPr>
                <w:rFonts w:ascii="Calibri" w:hAnsi="Calibri" w:eastAsia="Calibri" w:cs="Calibri"/>
                <w:color w:val="31465A"/>
                <w:sz w:val="16"/>
              </w:rPr>
              <w:t>ht-Latn-HT</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 -&gt; upper-secondary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complete foundation/catch-up; French bridge; mathematics/science;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home-language/national academic-language divide and disaster exposure</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Kreyòl is not simplified French and French is not automatic coverage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Ayacucho Quechua (</w:t>
            </w:r>
            <w:r>
              <w:rPr>
                <w:rFonts w:ascii="Calibri" w:hAnsi="Calibri" w:eastAsia="Calibri" w:cs="Calibri"/>
                <w:color w:val="31465A"/>
                <w:sz w:val="16"/>
              </w:rPr>
              <w:t>quy-Latn-PE</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vocational-adult -&gt; health -&gt; teacher-education</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community-language literacy/numeracy; Spanish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Indigenous language and rural health/agriculture access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One exact Quechua variety; never label as all Quechua</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Paraguayan Guaraní (</w:t>
            </w:r>
            <w:r>
              <w:rPr>
                <w:rFonts w:ascii="Calibri" w:hAnsi="Calibri" w:eastAsia="Calibri" w:cs="Calibri"/>
                <w:color w:val="31465A"/>
                <w:sz w:val="16"/>
              </w:rPr>
              <w:t>gn-Latn-PY</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early-childhood -&gt; primary -&gt; lower-secondary -&gt; vocational-adult -&gt; health</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foundation; Spanish bridge; health</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bilingual population with distinct home/public language roles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Paraguayan standard does not cover all Guaraní varieties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Indian Sign Language (</w:t>
            </w:r>
            <w:r>
              <w:rPr>
                <w:rFonts w:ascii="Calibri" w:hAnsi="Calibri" w:eastAsia="Calibri" w:cs="Calibri"/>
                <w:color w:val="31465A"/>
                <w:sz w:val="16"/>
              </w:rPr>
              <w:t>ins-IN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health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video-native mathematics/science; health; digital/financial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documented demand and existing secondary/senior-secondary precedent</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Video-native sign language is not a word-for-word Hindi or English derivative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Chinese Sign Language (</w:t>
            </w:r>
            <w:r>
              <w:rPr>
                <w:rFonts w:ascii="Calibri" w:hAnsi="Calibri" w:eastAsia="Calibri" w:cs="Calibri"/>
                <w:color w:val="31465A"/>
                <w:sz w:val="16"/>
              </w:rPr>
              <w:t>csl-CN</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health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video-native mathematics/science; health; digital/financial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education and employment access barriers associated with hearing loss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Regional CSL varieties and written-Chinese literacy profiles require tagging</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Brazilian Sign Language; Libras (</w:t>
            </w:r>
            <w:r>
              <w:rPr>
                <w:rFonts w:ascii="Calibri" w:hAnsi="Calibri" w:eastAsia="Calibri" w:cs="Calibri"/>
                <w:color w:val="31465A"/>
                <w:sz w:val="16"/>
              </w:rPr>
              <w:t>bzs-BR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primary -&gt; lower-secondary -&gt; upper-secondary -&gt; vocational-adult -&gt; health -&gt; undergraduate</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video-native mathematics/science; health; digital/financial safety</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education and employment access barriers associated with hearing loss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Libras is independent from Portuguese and other sign languages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Spanish; Latin America regional profile (</w:t>
            </w:r>
            <w:r>
              <w:rPr>
                <w:rFonts w:ascii="Calibri" w:hAnsi="Calibri" w:eastAsia="Calibri" w:cs="Calibri"/>
                <w:color w:val="31465A"/>
                <w:sz w:val="16"/>
              </w:rPr>
              <w:t>es-Latn-419</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vocational-adult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methods; open science; accessible advanced STEM</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existing ecosystem shifts marginal value toward open advanced and specialist gaps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Negative control for generic foundation; country and Indigenous-language strata remain separate</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French (</w:t>
            </w:r>
            <w:r>
              <w:rPr>
                <w:rFonts w:ascii="Calibri" w:hAnsi="Calibri" w:eastAsia="Calibri" w:cs="Calibri"/>
                <w:color w:val="31465A"/>
                <w:sz w:val="16"/>
              </w:rPr>
              <w:t>fr-Latn-FR</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open science; reproducibility; accessible advanced reference</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resource-rich control; use only field-specific verified gaps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use metropolitan French coverage as proof for African home-language access</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German (</w:t>
            </w:r>
            <w:r>
              <w:rPr>
                <w:rFonts w:ascii="Calibri" w:hAnsi="Calibri" w:eastAsia="Calibri" w:cs="Calibri"/>
                <w:color w:val="31465A"/>
                <w:sz w:val="16"/>
              </w:rPr>
              <w:t>de-Latn-DE</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open science; reproducibility; accessible advanced reference</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resource-rich control; use only field-specific verified gaps</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Negative control for generic school translation</w:t>
            </w:r>
          </w:p>
        </w:tc>
      </w:tr>
      <w:tr>
        <w:trPr>
          <w:cantSplit w:val="true"/>
        </w:trPr>
        <w:tc>
          <w:tcPr>
            <w:tcW w:type="dxa" w:w="2123"/>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Russian (</w:t>
            </w:r>
            <w:r>
              <w:rPr>
                <w:rFonts w:ascii="Calibri" w:hAnsi="Calibri" w:eastAsia="Calibri" w:cs="Calibri"/>
                <w:color w:val="31465A"/>
                <w:sz w:val="16"/>
              </w:rPr>
              <w:t>ru-Cyrl-RU</w:t>
            </w:r>
            <w:r>
              <w:rPr>
                <w:rFonts w:ascii="Calibri" w:hAnsi="Calibri" w:eastAsia="Calibri" w:cs="Calibri"/>
                <w:sz w:val="16"/>
              </w:rPr>
              <w:t>)</w:t>
            </w:r>
          </w:p>
        </w:tc>
        <w:tc>
          <w:tcPr>
            <w:tcW w:type="dxa" w:w="2790"/>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research -&gt; postgraduate -&gt; undergraduate -&gt; accessibility</w:t>
            </w:r>
          </w:p>
        </w:tc>
        <w:tc>
          <w:tcPr>
            <w:tcW w:type="dxa" w:w="257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open science; current methods; accessible advanced STEM</w:t>
            </w:r>
          </w:p>
        </w:tc>
        <w:tc>
          <w:tcPr>
            <w:tcW w:type="dxa" w:w="2684"/>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large scientific-language ecosystem with current/open/accessibility gaps to audit</w:t>
            </w:r>
          </w:p>
        </w:tc>
        <w:tc>
          <w:tcPr>
            <w:tcW w:type="dxa" w:w="2789"/>
            <w:tcMar>
              <w:top w:w="80" w:type="dxa"/>
              <w:start w:w="120" w:type="dxa"/>
              <w:bottom w:w="80" w:type="dxa"/>
              <w:end w:w="120" w:type="dxa"/>
            </w:tcMar>
            <w:vAlign w:val="center"/>
          </w:tcPr>
          <w:p>
            <w:pPr>
              <w:widowControl/>
              <w:spacing w:before="0" w:after="0" w:line="240" w:lineRule="auto"/>
              <w:jc w:val="left"/>
            </w:pPr>
            <w:r>
              <w:rPr>
                <w:rFonts w:ascii="Calibri" w:hAnsi="Calibri" w:eastAsia="Calibri" w:cs="Calibri"/>
                <w:sz w:val="16"/>
              </w:rPr>
              <w:t>Do not treat Russian as automatic coverage of Ukrainian Central Asian or minority languages</w:t>
            </w:r>
          </w:p>
        </w:tc>
      </w:tr>
    </w:tbl>
    <w:p>
      <w:pPr>
        <w:widowControl/>
        <w:spacing w:before="0" w:after="40"/>
      </w:pPr>
    </w:p>
    <w:p>
      <w:pPr>
        <w:widowControl/>
        <w:sectPr>
          <w:headerReference w:type="default" r:id="rId21"/>
          <w:footerReference w:type="default" r:id="rId22"/>
          <w:pgSz w:w="15840" w:h="12240" w:orient="landscape"/>
          <w:pgMar w:top="1440" w:right="1440" w:bottom="1440" w:left="1440" w:header="708" w:footer="708" w:gutter="0"/>
          <w:cols w:space="720"/>
          <w:docGrid w:linePitch="360"/>
        </w:sectPr>
      </w:pPr>
    </w:p>
    <w:p>
      <w:pPr>
        <w:pStyle w:val="Heading1"/>
        <w:widowControl/>
      </w:pPr>
      <w:r>
        <w:t>References</w:t>
      </w:r>
    </w:p>
    <w:p>
      <w:pPr>
        <w:pStyle w:val="ReferenceEntry"/>
        <w:widowControl/>
      </w:pPr>
      <w:r>
        <w:t xml:space="preserve">Nakamura, P., Molotsky, A., Castro Zarzur, R., Ranjit, V., Haddad, Y., &amp; de Hoop, T. (2023). Language of instruction in schools in low- and middle-income countries: A systematic review. </w:t>
      </w:r>
      <w:r>
        <w:rPr>
          <w:rFonts w:ascii="Calibri" w:hAnsi="Calibri" w:eastAsia="Calibri" w:cs="Calibri"/>
          <w:i/>
        </w:rPr>
        <w:t>Campbell Systematic Reviews, 19</w:t>
      </w:r>
      <w:r>
        <w:t xml:space="preserve">(4), e1351. </w:t>
      </w:r>
      <w:hyperlink r:id="rId26">
        <w:r>
          <w:rPr>
            <w:rFonts w:ascii="Calibri" w:hAnsi="Calibri" w:eastAsia="Calibri" w:cs="Calibri"/>
            <w:color w:val="2E74B5"/>
            <w:u w:val="single"/>
          </w:rPr>
          <w:t xml:space="preserve">https://doi.org/10.1002/cl2.1351</w:t>
        </w:r>
      </w:hyperlink>
    </w:p>
    <w:p>
      <w:pPr>
        <w:pStyle w:val="ReferenceEntry"/>
        <w:widowControl/>
      </w:pPr>
      <w:r>
        <w:t xml:space="preserve">UNESCO. (2025). </w:t>
      </w:r>
      <w:r>
        <w:rPr>
          <w:rFonts w:ascii="Calibri" w:hAnsi="Calibri" w:eastAsia="Calibri" w:cs="Calibri"/>
          <w:i/>
        </w:rPr>
        <w:t>Languages matter: Global guidance on multilingual education</w:t>
      </w:r>
      <w:r>
        <w:t xml:space="preserve">. UNESCO. </w:t>
      </w:r>
      <w:hyperlink r:id="rId27">
        <w:r>
          <w:rPr>
            <w:rFonts w:ascii="Calibri" w:hAnsi="Calibri" w:eastAsia="Calibri" w:cs="Calibri"/>
            <w:color w:val="2E74B5"/>
            <w:u w:val="single"/>
          </w:rPr>
          <w:t xml:space="preserve">https://doi.org/10.54675/MLIO7101</w:t>
        </w:r>
      </w:hyperlink>
    </w:p>
    <w:p>
      <w:pPr>
        <w:pStyle w:val="ReferenceEntry"/>
        <w:widowControl/>
      </w:pPr>
      <w:r>
        <w:t xml:space="preserve">UNESCO Institute for Statistics, &amp; UNICEF. (2015). </w:t>
      </w:r>
      <w:r>
        <w:rPr>
          <w:rFonts w:ascii="Calibri" w:hAnsi="Calibri" w:eastAsia="Calibri" w:cs="Calibri"/>
          <w:i/>
        </w:rPr>
        <w:t>Fixing the broken promise of education for all: Findings from the global initiative on out-of-school children</w:t>
      </w:r>
      <w:r>
        <w:t xml:space="preserve">. UNESCO Institute for Statistics. </w:t>
      </w:r>
      <w:hyperlink r:id="rId28">
        <w:r>
          <w:rPr>
            <w:rFonts w:ascii="Calibri" w:hAnsi="Calibri" w:eastAsia="Calibri" w:cs="Calibri"/>
            <w:color w:val="2E74B5"/>
            <w:u w:val="single"/>
          </w:rPr>
          <w:t xml:space="preserve">https://iite.unesco.org/files/news/639224/UNESCO-OOSCreport-Full-web.pdf</w:t>
        </w:r>
      </w:hyperlink>
    </w:p>
    <w:p>
      <w:pPr>
        <w:pStyle w:val="ReferenceEntry"/>
        <w:widowControl/>
      </w:pPr>
      <w:r>
        <w:t xml:space="preserve">Walter, S. L., &amp; Benson, C. (2012). Language policy and medium of instruction in formal education. In B. Spolsky (Ed.), </w:t>
      </w:r>
      <w:r>
        <w:rPr>
          <w:rFonts w:ascii="Calibri" w:hAnsi="Calibri" w:eastAsia="Calibri" w:cs="Calibri"/>
          <w:i/>
        </w:rPr>
        <w:t>The Cambridge handbook of language policy</w:t>
      </w:r>
      <w:r>
        <w:t xml:space="preserve"> (pp. 278-300). Cambridge University Press. </w:t>
      </w:r>
      <w:hyperlink r:id="rId29">
        <w:r>
          <w:rPr>
            <w:rFonts w:ascii="Calibri" w:hAnsi="Calibri" w:eastAsia="Calibri" w:cs="Calibri"/>
            <w:color w:val="2E74B5"/>
            <w:u w:val="single"/>
          </w:rPr>
          <w:t xml:space="preserve">https://doi.org/10.1017/CBO9780511979026.017</w:t>
        </w:r>
      </w:hyperlink>
    </w:p>
    <w:p>
      <w:pPr>
        <w:pStyle w:val="ReferenceEntry"/>
        <w:widowControl/>
      </w:pPr>
      <w:r>
        <w:t xml:space="preserve">World Bank. (2021). </w:t>
      </w:r>
      <w:r>
        <w:rPr>
          <w:rFonts w:ascii="Calibri" w:hAnsi="Calibri" w:eastAsia="Calibri" w:cs="Calibri"/>
          <w:i/>
        </w:rPr>
        <w:t>Loud and clear: Effective language of instruction policies for learning</w:t>
      </w:r>
      <w:r>
        <w:t xml:space="preserve">. World Bank. </w:t>
      </w:r>
      <w:hyperlink r:id="rId30">
        <w:r>
          <w:rPr>
            <w:rFonts w:ascii="Calibri" w:hAnsi="Calibri" w:eastAsia="Calibri" w:cs="Calibri"/>
            <w:color w:val="2E74B5"/>
            <w:u w:val="single"/>
          </w:rPr>
          <w:t xml:space="preserve">https://documents1.worldbank.org/curated/en/517851626203470278/pdf/Loud-and-Clear-Effective-Language-of-Instruction-Policies-For-Learning.pdf</w:t>
        </w:r>
      </w:hyperlink>
    </w:p>
    <w:p>
      <w:pPr>
        <w:pStyle w:val="ReferenceEntry"/>
        <w:widowControl/>
      </w:pPr>
      <w:r>
        <w:t xml:space="preserve">Crawford, M., Raheel, N., Korochkina, M., &amp; Rastle, K. (2025). Inadequate foundational decoding skills constrain global literacy goals for pupils in low- and middle-income countries. </w:t>
      </w:r>
      <w:r>
        <w:rPr>
          <w:rFonts w:ascii="Calibri" w:hAnsi="Calibri" w:eastAsia="Calibri" w:cs="Calibri"/>
          <w:i/>
        </w:rPr>
        <w:t>Nature Human Behaviour, 9</w:t>
      </w:r>
      <w:r>
        <w:t xml:space="preserve">, 74-83. </w:t>
      </w:r>
      <w:hyperlink r:id="rId31">
        <w:r>
          <w:rPr>
            <w:rFonts w:ascii="Calibri" w:hAnsi="Calibri" w:eastAsia="Calibri" w:cs="Calibri"/>
            <w:color w:val="2E74B5"/>
            <w:u w:val="single"/>
          </w:rPr>
          <w:t xml:space="preserve">https://doi.org/10.1038/s41562-024-02028-x</w:t>
        </w:r>
      </w:hyperlink>
    </w:p>
    <w:p>
      <w:pPr>
        <w:pStyle w:val="ReferenceEntry"/>
        <w:widowControl/>
      </w:pPr>
      <w:r>
        <w:t xml:space="preserve">Spolsky, B. (2021). </w:t>
      </w:r>
      <w:r>
        <w:rPr>
          <w:rFonts w:ascii="Calibri" w:hAnsi="Calibri" w:eastAsia="Calibri" w:cs="Calibri"/>
          <w:i/>
        </w:rPr>
        <w:t>Rethinking language policy</w:t>
      </w:r>
      <w:r>
        <w:t xml:space="preserve">. Edinburgh University Press. </w:t>
      </w:r>
      <w:hyperlink r:id="rId32">
        <w:r>
          <w:rPr>
            <w:rFonts w:ascii="Calibri" w:hAnsi="Calibri" w:eastAsia="Calibri" w:cs="Calibri"/>
            <w:color w:val="2E74B5"/>
            <w:u w:val="single"/>
          </w:rPr>
          <w:t xml:space="preserve">https://doi.org/10.3366/edinburgh/9781474485463.001.0001</w:t>
        </w:r>
      </w:hyperlink>
    </w:p>
    <w:p>
      <w:pPr>
        <w:pStyle w:val="ReferenceEntry"/>
        <w:widowControl/>
      </w:pPr>
      <w:r>
        <w:t xml:space="preserve">UNESCO Institute for Statistics. (2012). </w:t>
      </w:r>
      <w:r>
        <w:rPr>
          <w:rFonts w:ascii="Calibri" w:hAnsi="Calibri" w:eastAsia="Calibri" w:cs="Calibri"/>
          <w:i/>
        </w:rPr>
        <w:t>International standard classification of education: ISCED 2011</w:t>
      </w:r>
      <w:r>
        <w:t xml:space="preserve">. UNESCO Institute for Statistics. </w:t>
      </w:r>
      <w:hyperlink r:id="rId33">
        <w:r>
          <w:rPr>
            <w:rFonts w:ascii="Calibri" w:hAnsi="Calibri" w:eastAsia="Calibri" w:cs="Calibri"/>
            <w:color w:val="2E74B5"/>
            <w:u w:val="single"/>
          </w:rPr>
          <w:t xml:space="preserve">https://uis.unesco.org/sites/default/files/documents/international-standard-classification-of-education-isced-2011-en.pdf</w:t>
        </w:r>
      </w:hyperlink>
    </w:p>
    <w:p>
      <w:pPr>
        <w:pStyle w:val="ReferenceEntry"/>
        <w:widowControl/>
      </w:pPr>
      <w:r>
        <w:t xml:space="preserve">UNESCO Institute for Statistics. (2014). </w:t>
      </w:r>
      <w:r>
        <w:rPr>
          <w:rFonts w:ascii="Calibri" w:hAnsi="Calibri" w:eastAsia="Calibri" w:cs="Calibri"/>
          <w:i/>
        </w:rPr>
        <w:t>ISCED fields of education and training 2013 (ISCED-F 2013): Manual to accompany the International Standard Classification of Education 2011</w:t>
      </w:r>
      <w:r>
        <w:t xml:space="preserve">. UNESCO Institute for Statistics. </w:t>
      </w:r>
      <w:hyperlink r:id="rId34">
        <w:r>
          <w:rPr>
            <w:rFonts w:ascii="Calibri" w:hAnsi="Calibri" w:eastAsia="Calibri" w:cs="Calibri"/>
            <w:color w:val="2E74B5"/>
            <w:u w:val="single"/>
          </w:rPr>
          <w:t xml:space="preserve">https://uis.unesco.org/sites/default/files/documents/isced-fields-of-education-and-training-2013-en.pdf</w:t>
        </w:r>
      </w:hyperlink>
    </w:p>
    <w:p>
      <w:pPr>
        <w:pStyle w:val="ReferenceEntry"/>
        <w:widowControl/>
      </w:pPr>
      <w:r>
        <w:t xml:space="preserve">UNESCO Institute for Statistics. (2020). </w:t>
      </w:r>
      <w:r>
        <w:rPr>
          <w:rFonts w:ascii="Calibri" w:hAnsi="Calibri" w:eastAsia="Calibri" w:cs="Calibri"/>
          <w:i/>
        </w:rPr>
        <w:t>Global proficiency framework for reading: Grades 1 to 9</w:t>
      </w:r>
      <w:r>
        <w:t xml:space="preserve">. UNESCO Institute for Statistics. </w:t>
      </w:r>
      <w:hyperlink r:id="rId35">
        <w:r>
          <w:rPr>
            <w:rFonts w:ascii="Calibri" w:hAnsi="Calibri" w:eastAsia="Calibri" w:cs="Calibri"/>
            <w:color w:val="2E74B5"/>
            <w:u w:val="single"/>
          </w:rPr>
          <w:t xml:space="preserve">https://gaml.uis.unesco.org/wp-content/uploads/sites/2/2021/03/Global-Proficiency-Framework-Reading.pdf</w:t>
        </w:r>
      </w:hyperlink>
    </w:p>
    <w:p>
      <w:pPr>
        <w:pStyle w:val="ReferenceEntry"/>
        <w:widowControl/>
      </w:pPr>
      <w:r>
        <w:t xml:space="preserve">World Bank. (2022). </w:t>
      </w:r>
      <w:r>
        <w:rPr>
          <w:rFonts w:ascii="Calibri" w:hAnsi="Calibri" w:eastAsia="Calibri" w:cs="Calibri"/>
          <w:i/>
        </w:rPr>
        <w:t>The state of global learning poverty: 2022 update</w:t>
      </w:r>
      <w:r>
        <w:t xml:space="preserve">. World Bank. </w:t>
      </w:r>
      <w:hyperlink r:id="rId36">
        <w:r>
          <w:rPr>
            <w:rFonts w:ascii="Calibri" w:hAnsi="Calibri" w:eastAsia="Calibri" w:cs="Calibri"/>
            <w:color w:val="2E74B5"/>
            <w:u w:val="single"/>
          </w:rPr>
          <w:t xml:space="preserve">https://www.unicef.org/media/122921/file/State%20of%20Learning%20Poverty%202022.pdf</w:t>
        </w:r>
      </w:hyperlink>
    </w:p>
    <w:p>
      <w:pPr>
        <w:pStyle w:val="ReferenceEntry"/>
        <w:widowControl/>
      </w:pPr>
      <w:r>
        <w:t xml:space="preserve">World Bank. (2024). </w:t>
      </w:r>
      <w:r>
        <w:rPr>
          <w:rFonts w:ascii="Calibri" w:hAnsi="Calibri" w:eastAsia="Calibri" w:cs="Calibri"/>
          <w:i/>
        </w:rPr>
        <w:t>Learning Poverty Global Database: Historical data and sub-components</w:t>
      </w:r>
      <w:r>
        <w:t xml:space="preserve"> [Data set]. World Bank. </w:t>
      </w:r>
      <w:hyperlink r:id="rId37">
        <w:r>
          <w:rPr>
            <w:rFonts w:ascii="Calibri" w:hAnsi="Calibri" w:eastAsia="Calibri" w:cs="Calibri"/>
            <w:color w:val="2E74B5"/>
            <w:u w:val="single"/>
          </w:rPr>
          <w:t xml:space="preserve">https://datacatalog.worldbank.org/search/dataset/0038947/learning-poverty-global-database-historical-data-and-sub-components</w:t>
        </w:r>
      </w:hyperlink>
    </w:p>
    <w:p>
      <w:pPr>
        <w:pStyle w:val="ReferenceEntry"/>
        <w:widowControl/>
      </w:pPr>
      <w:r>
        <w:t xml:space="preserve">Clinton, V., &amp; Khan, S. (2019). Efficacy of open textbook adoption on learning performance and course withdrawal rates: A meta-analysis. </w:t>
      </w:r>
      <w:r>
        <w:rPr>
          <w:rFonts w:ascii="Calibri" w:hAnsi="Calibri" w:eastAsia="Calibri" w:cs="Calibri"/>
          <w:i/>
        </w:rPr>
        <w:t>AERA Open, 5</w:t>
      </w:r>
      <w:r>
        <w:t xml:space="preserve">(3), 1-20. </w:t>
      </w:r>
      <w:hyperlink r:id="rId38">
        <w:r>
          <w:rPr>
            <w:rFonts w:ascii="Calibri" w:hAnsi="Calibri" w:eastAsia="Calibri" w:cs="Calibri"/>
            <w:color w:val="2E74B5"/>
            <w:u w:val="single"/>
          </w:rPr>
          <w:t xml:space="preserve">https://doi.org/10.1177/2332858419872212</w:t>
        </w:r>
      </w:hyperlink>
    </w:p>
    <w:p>
      <w:pPr>
        <w:pStyle w:val="ReferenceEntry"/>
        <w:widowControl/>
      </w:pPr>
      <w:r>
        <w:t xml:space="preserve">Hilton, J., III. (2016). Open educational resources and college textbook choices: A review of research on efficacy and perceptions. </w:t>
      </w:r>
      <w:r>
        <w:rPr>
          <w:rFonts w:ascii="Calibri" w:hAnsi="Calibri" w:eastAsia="Calibri" w:cs="Calibri"/>
          <w:i/>
        </w:rPr>
        <w:t>Educational Technology Research and Development, 64</w:t>
      </w:r>
      <w:r>
        <w:t xml:space="preserve">(4), 573-590. </w:t>
      </w:r>
      <w:hyperlink r:id="rId39">
        <w:r>
          <w:rPr>
            <w:rFonts w:ascii="Calibri" w:hAnsi="Calibri" w:eastAsia="Calibri" w:cs="Calibri"/>
            <w:color w:val="2E74B5"/>
            <w:u w:val="single"/>
          </w:rPr>
          <w:t xml:space="preserve">https://doi.org/10.1007/s11423-016-9434-9</w:t>
        </w:r>
      </w:hyperlink>
    </w:p>
    <w:p>
      <w:pPr>
        <w:pStyle w:val="ReferenceEntry"/>
        <w:widowControl/>
      </w:pPr>
      <w:r>
        <w:t xml:space="preserve">Cho, K. W., &amp; Permzadian, V. (2024). The impact of open educational resources on student achievement: A meta-analysis. </w:t>
      </w:r>
      <w:r>
        <w:rPr>
          <w:rFonts w:ascii="Calibri" w:hAnsi="Calibri" w:eastAsia="Calibri" w:cs="Calibri"/>
          <w:i/>
        </w:rPr>
        <w:t>International Journal of Educational Research, 126</w:t>
      </w:r>
      <w:r>
        <w:t xml:space="preserve">, 102365. </w:t>
      </w:r>
      <w:hyperlink r:id="rId40">
        <w:r>
          <w:rPr>
            <w:rFonts w:ascii="Calibri" w:hAnsi="Calibri" w:eastAsia="Calibri" w:cs="Calibri"/>
            <w:color w:val="2E74B5"/>
            <w:u w:val="single"/>
          </w:rPr>
          <w:t xml:space="preserve">https://doi.org/10.1016/j.ijer.2024.102365</w:t>
        </w:r>
      </w:hyperlink>
    </w:p>
    <w:p>
      <w:pPr>
        <w:pStyle w:val="ReferenceEntry"/>
        <w:widowControl/>
      </w:pPr>
      <w:r>
        <w:t xml:space="preserve">UNESCO. (2019). </w:t>
      </w:r>
      <w:r>
        <w:rPr>
          <w:rFonts w:ascii="Calibri" w:hAnsi="Calibri" w:eastAsia="Calibri" w:cs="Calibri"/>
          <w:i/>
        </w:rPr>
        <w:t>Recommendation on open educational resources (OER)</w:t>
      </w:r>
      <w:r>
        <w:t xml:space="preserve">. </w:t>
      </w:r>
      <w:hyperlink r:id="rId41">
        <w:r>
          <w:rPr>
            <w:rFonts w:ascii="Calibri" w:hAnsi="Calibri" w:eastAsia="Calibri" w:cs="Calibri"/>
            <w:color w:val="2E74B5"/>
            <w:u w:val="single"/>
          </w:rPr>
          <w:t xml:space="preserve">https://www.unesco.org/en/legal-affairs/recommendation-open-educational-resources-oer</w:t>
        </w:r>
      </w:hyperlink>
    </w:p>
    <w:p>
      <w:pPr>
        <w:pStyle w:val="ReferenceEntry"/>
        <w:widowControl/>
      </w:pPr>
      <w:r>
        <w:t xml:space="preserve">GSMA. (2025). </w:t>
      </w:r>
      <w:r>
        <w:rPr>
          <w:rFonts w:ascii="Calibri" w:hAnsi="Calibri" w:eastAsia="Calibri" w:cs="Calibri"/>
          <w:i/>
        </w:rPr>
        <w:t>The state of mobile internet connectivity 2025: Overview report</w:t>
      </w:r>
      <w:r>
        <w:t xml:space="preserve">. </w:t>
      </w:r>
      <w:hyperlink r:id="rId42">
        <w:r>
          <w:rPr>
            <w:rFonts w:ascii="Calibri" w:hAnsi="Calibri" w:eastAsia="Calibri" w:cs="Calibri"/>
            <w:color w:val="2E74B5"/>
            <w:u w:val="single"/>
          </w:rPr>
          <w:t xml:space="preserve">https://www.gsma.com/somic/wp-content/uploads/2025/09/The-State-of-Mobile-Internet-Connectivity-2025-Overview-Report.pdf</w:t>
        </w:r>
      </w:hyperlink>
    </w:p>
    <w:p>
      <w:pPr>
        <w:pStyle w:val="ReferenceEntry"/>
        <w:widowControl/>
      </w:pPr>
      <w:r>
        <w:t xml:space="preserve">International Energy Agency, International Renewable Energy Agency, United Nations Statistics Division, World Bank, &amp; World Health Organization. (2025). </w:t>
      </w:r>
      <w:r>
        <w:rPr>
          <w:rFonts w:ascii="Calibri" w:hAnsi="Calibri" w:eastAsia="Calibri" w:cs="Calibri"/>
          <w:i/>
        </w:rPr>
        <w:t>Tracking SDG 7: The energy progress report 2025</w:t>
      </w:r>
      <w:r>
        <w:t xml:space="preserve">. World Bank. </w:t>
      </w:r>
      <w:hyperlink r:id="rId43">
        <w:r>
          <w:rPr>
            <w:rFonts w:ascii="Calibri" w:hAnsi="Calibri" w:eastAsia="Calibri" w:cs="Calibri"/>
            <w:color w:val="2E74B5"/>
            <w:u w:val="single"/>
          </w:rPr>
          <w:t xml:space="preserve">https://www.worldbank.org/en/topic/energy/publication/tracking-sdg-7-the-energy-progress-report-2025</w:t>
        </w:r>
      </w:hyperlink>
    </w:p>
    <w:p>
      <w:pPr>
        <w:pStyle w:val="ReferenceEntry"/>
        <w:widowControl/>
      </w:pPr>
      <w:r>
        <w:t xml:space="preserve">International Telecommunication Union. (2025). </w:t>
      </w:r>
      <w:r>
        <w:rPr>
          <w:rFonts w:ascii="Calibri" w:hAnsi="Calibri" w:eastAsia="Calibri" w:cs="Calibri"/>
          <w:i/>
        </w:rPr>
        <w:t>Measuring digital development: Facts and Figures 2025</w:t>
      </w:r>
      <w:r>
        <w:t xml:space="preserve">. </w:t>
      </w:r>
      <w:hyperlink r:id="rId44">
        <w:r>
          <w:rPr>
            <w:rFonts w:ascii="Calibri" w:hAnsi="Calibri" w:eastAsia="Calibri" w:cs="Calibri"/>
            <w:color w:val="2E74B5"/>
            <w:u w:val="single"/>
          </w:rPr>
          <w:t xml:space="preserve">https://www.itu.int/en/ITU-D/Statistics/Pages/facts/default.aspx</w:t>
        </w:r>
      </w:hyperlink>
    </w:p>
    <w:p>
      <w:pPr>
        <w:pStyle w:val="ReferenceEntry"/>
        <w:widowControl/>
      </w:pPr>
      <w:r>
        <w:t xml:space="preserve">UNICEF, &amp; International Telecommunication Union. (2020). </w:t>
      </w:r>
      <w:r>
        <w:rPr>
          <w:rFonts w:ascii="Calibri" w:hAnsi="Calibri" w:eastAsia="Calibri" w:cs="Calibri"/>
          <w:i/>
        </w:rPr>
        <w:t>How many children and young people have internet access at home? Estimating digital connectivity during the COVID-19 pandemic</w:t>
      </w:r>
      <w:r>
        <w:t xml:space="preserve">. UNICEF. </w:t>
      </w:r>
      <w:hyperlink r:id="rId45">
        <w:r>
          <w:rPr>
            <w:rFonts w:ascii="Calibri" w:hAnsi="Calibri" w:eastAsia="Calibri" w:cs="Calibri"/>
            <w:color w:val="2E74B5"/>
            <w:u w:val="single"/>
          </w:rPr>
          <w:t xml:space="preserve">https://www.unicef.org/media/88381/file/How-many-children-and-young-people-have-internet-access-at-home-2020.pdf</w:t>
        </w:r>
      </w:hyperlink>
    </w:p>
    <w:p>
      <w:pPr>
        <w:pStyle w:val="ReferenceEntry"/>
        <w:widowControl/>
      </w:pPr>
      <w:r>
        <w:t xml:space="preserve">Burton, M. J., Ramke, J., Marques, A. P., Bourne, R. R. A., Congdon, N., Jones, I., Tong, B. A. M. A., Arunga, S., Bachani, D., Bascaran, C., Bastawrous, A., Blanchet, K., Braithwaite, T., Buchan, J. C., Cairns, J., Cama, A., Chagunda, M., Chuluunkhuu, C., Cooper, A., … Faal, H. B. (2021). The Lancet Global Health Commission on global eye health: Vision beyond 2020. </w:t>
      </w:r>
      <w:r>
        <w:rPr>
          <w:rFonts w:ascii="Calibri" w:hAnsi="Calibri" w:eastAsia="Calibri" w:cs="Calibri"/>
          <w:i/>
        </w:rPr>
        <w:t>The Lancet Global Health, 9</w:t>
      </w:r>
      <w:r>
        <w:t xml:space="preserve">(4), e489-e551. </w:t>
      </w:r>
      <w:hyperlink r:id="rId46">
        <w:r>
          <w:rPr>
            <w:rFonts w:ascii="Calibri" w:hAnsi="Calibri" w:eastAsia="Calibri" w:cs="Calibri"/>
            <w:color w:val="2E74B5"/>
            <w:u w:val="single"/>
          </w:rPr>
          <w:t xml:space="preserve">https://doi.org/10.1016/S2214-109X(20)30488-5</w:t>
        </w:r>
      </w:hyperlink>
    </w:p>
    <w:p>
      <w:pPr>
        <w:pStyle w:val="ReferenceEntry"/>
        <w:widowControl/>
      </w:pPr>
      <w:r>
        <w:t xml:space="preserve">GBD 2019 Hearing Loss Collaborators. (2021). Hearing loss prevalence and years lived with disability, 1990-2019: Findings from the Global Burden of Disease Study 2019. </w:t>
      </w:r>
      <w:r>
        <w:rPr>
          <w:rFonts w:ascii="Calibri" w:hAnsi="Calibri" w:eastAsia="Calibri" w:cs="Calibri"/>
          <w:i/>
        </w:rPr>
        <w:t>The Lancet, 397</w:t>
      </w:r>
      <w:r>
        <w:t xml:space="preserve">(10278), 996-1009. </w:t>
      </w:r>
      <w:hyperlink r:id="rId47">
        <w:r>
          <w:rPr>
            <w:rFonts w:ascii="Calibri" w:hAnsi="Calibri" w:eastAsia="Calibri" w:cs="Calibri"/>
            <w:color w:val="2E74B5"/>
            <w:u w:val="single"/>
          </w:rPr>
          <w:t xml:space="preserve">https://doi.org/10.1016/S0140-6736(21)00516-X</w:t>
        </w:r>
      </w:hyperlink>
    </w:p>
    <w:p>
      <w:pPr>
        <w:pStyle w:val="ReferenceEntry"/>
        <w:widowControl/>
      </w:pPr>
      <w:r>
        <w:t xml:space="preserve">United Nations. (2006). </w:t>
      </w:r>
      <w:r>
        <w:rPr>
          <w:rFonts w:ascii="Calibri" w:hAnsi="Calibri" w:eastAsia="Calibri" w:cs="Calibri"/>
          <w:i/>
        </w:rPr>
        <w:t>Convention on the rights of persons with disabilities</w:t>
      </w:r>
      <w:r>
        <w:t xml:space="preserve">, Article 24. </w:t>
      </w:r>
      <w:hyperlink r:id="rId48">
        <w:r>
          <w:rPr>
            <w:rFonts w:ascii="Calibri" w:hAnsi="Calibri" w:eastAsia="Calibri" w:cs="Calibri"/>
            <w:color w:val="2E74B5"/>
            <w:u w:val="single"/>
          </w:rPr>
          <w:t xml:space="preserve">https://www.un.org/development/desa/disabilities/convention-on-the-rights-of-persons-with-disabilities/article-24-education.html</w:t>
        </w:r>
      </w:hyperlink>
    </w:p>
    <w:p>
      <w:pPr>
        <w:pStyle w:val="ReferenceEntry"/>
        <w:widowControl/>
      </w:pPr>
      <w:r>
        <w:t xml:space="preserve">UNICEF. (2021). </w:t>
      </w:r>
      <w:r>
        <w:rPr>
          <w:rFonts w:ascii="Calibri" w:hAnsi="Calibri" w:eastAsia="Calibri" w:cs="Calibri"/>
          <w:i/>
        </w:rPr>
        <w:t>Seen, counted, included: Using data to shed light on the well-being of children with disabilities</w:t>
      </w:r>
      <w:r>
        <w:t xml:space="preserve">. </w:t>
      </w:r>
      <w:hyperlink r:id="rId49">
        <w:r>
          <w:rPr>
            <w:rFonts w:ascii="Calibri" w:hAnsi="Calibri" w:eastAsia="Calibri" w:cs="Calibri"/>
            <w:color w:val="2E74B5"/>
            <w:u w:val="single"/>
          </w:rPr>
          <w:t xml:space="preserve">https://data.unicef.org/resources/children-with-disabilities-report-2021/</w:t>
        </w:r>
      </w:hyperlink>
    </w:p>
    <w:p>
      <w:pPr>
        <w:pStyle w:val="ReferenceEntry"/>
        <w:widowControl/>
      </w:pPr>
      <w:r>
        <w:t xml:space="preserve">World Federation of the Deaf. (2014). </w:t>
      </w:r>
      <w:r>
        <w:rPr>
          <w:rFonts w:ascii="Calibri" w:hAnsi="Calibri" w:eastAsia="Calibri" w:cs="Calibri"/>
          <w:i/>
        </w:rPr>
        <w:t>WFD statement on standardized sign language</w:t>
      </w:r>
      <w:r>
        <w:t xml:space="preserve">. </w:t>
      </w:r>
      <w:hyperlink r:id="rId50">
        <w:r>
          <w:rPr>
            <w:rFonts w:ascii="Calibri" w:hAnsi="Calibri" w:eastAsia="Calibri" w:cs="Calibri"/>
            <w:color w:val="2E74B5"/>
            <w:u w:val="single"/>
          </w:rPr>
          <w:t xml:space="preserve">https://wfdeaf.org/resources/statement-on-standardised-sign-language/</w:t>
        </w:r>
      </w:hyperlink>
    </w:p>
    <w:p>
      <w:pPr>
        <w:pStyle w:val="ReferenceEntry"/>
        <w:widowControl/>
      </w:pPr>
      <w:r>
        <w:t xml:space="preserve">World Federation of the Deaf. (n.d.). </w:t>
      </w:r>
      <w:r>
        <w:rPr>
          <w:rFonts w:ascii="Calibri" w:hAnsi="Calibri" w:eastAsia="Calibri" w:cs="Calibri"/>
          <w:i/>
        </w:rPr>
        <w:t>Frequently asked questions</w:t>
      </w:r>
      <w:r>
        <w:t xml:space="preserve">. </w:t>
      </w:r>
      <w:hyperlink r:id="rId51">
        <w:r>
          <w:rPr>
            <w:rFonts w:ascii="Calibri" w:hAnsi="Calibri" w:eastAsia="Calibri" w:cs="Calibri"/>
            <w:color w:val="2E74B5"/>
            <w:u w:val="single"/>
          </w:rPr>
          <w:t xml:space="preserve">https://wfdeaf.org/contact/faqs/</w:t>
        </w:r>
      </w:hyperlink>
    </w:p>
    <w:p>
      <w:pPr>
        <w:pStyle w:val="ReferenceEntry"/>
        <w:widowControl/>
      </w:pPr>
      <w:r>
        <w:t xml:space="preserve">World Health Organization. (2023, March 7). </w:t>
      </w:r>
      <w:r>
        <w:rPr>
          <w:rFonts w:ascii="Calibri" w:hAnsi="Calibri" w:eastAsia="Calibri" w:cs="Calibri"/>
          <w:i/>
        </w:rPr>
        <w:t>Disability</w:t>
      </w:r>
      <w:r>
        <w:t xml:space="preserve">. </w:t>
      </w:r>
      <w:hyperlink r:id="rId52">
        <w:r>
          <w:rPr>
            <w:rFonts w:ascii="Calibri" w:hAnsi="Calibri" w:eastAsia="Calibri" w:cs="Calibri"/>
            <w:color w:val="2E74B5"/>
            <w:u w:val="single"/>
          </w:rPr>
          <w:t xml:space="preserve">https://www.who.int/news-room/fact-sheets/detail/disability-and-health</w:t>
        </w:r>
      </w:hyperlink>
    </w:p>
    <w:p>
      <w:pPr>
        <w:pStyle w:val="ReferenceEntry"/>
        <w:widowControl/>
      </w:pPr>
      <w:r>
        <w:t xml:space="preserve">World Health Organization, &amp; UNICEF. (2022). </w:t>
      </w:r>
      <w:r>
        <w:rPr>
          <w:rFonts w:ascii="Calibri" w:hAnsi="Calibri" w:eastAsia="Calibri" w:cs="Calibri"/>
          <w:i/>
        </w:rPr>
        <w:t>Global report on assistive technology</w:t>
      </w:r>
      <w:r>
        <w:t xml:space="preserve">. World Health Organization. </w:t>
      </w:r>
      <w:hyperlink r:id="rId53">
        <w:r>
          <w:rPr>
            <w:rFonts w:ascii="Calibri" w:hAnsi="Calibri" w:eastAsia="Calibri" w:cs="Calibri"/>
            <w:color w:val="2E74B5"/>
            <w:u w:val="single"/>
          </w:rPr>
          <w:t xml:space="preserve">https://www.who.int/publications/i/item/9789240049451</w:t>
        </w:r>
      </w:hyperlink>
    </w:p>
    <w:p>
      <w:pPr>
        <w:pStyle w:val="ReferenceEntry"/>
        <w:widowControl/>
      </w:pPr>
      <w:r>
        <w:t xml:space="preserve">World Wide Web Consortium. (2023). </w:t>
      </w:r>
      <w:r>
        <w:rPr>
          <w:rFonts w:ascii="Calibri" w:hAnsi="Calibri" w:eastAsia="Calibri" w:cs="Calibri"/>
          <w:i/>
        </w:rPr>
        <w:t>EPUB accessibility 1.1</w:t>
      </w:r>
      <w:r>
        <w:t xml:space="preserve">. </w:t>
      </w:r>
      <w:hyperlink r:id="rId54">
        <w:r>
          <w:rPr>
            <w:rFonts w:ascii="Calibri" w:hAnsi="Calibri" w:eastAsia="Calibri" w:cs="Calibri"/>
            <w:color w:val="2E74B5"/>
            <w:u w:val="single"/>
          </w:rPr>
          <w:t xml:space="preserve">https://www.w3.org/TR/epub-a11y-11/</w:t>
        </w:r>
      </w:hyperlink>
    </w:p>
    <w:p>
      <w:pPr>
        <w:pStyle w:val="ReferenceEntry"/>
        <w:widowControl/>
      </w:pPr>
      <w:r>
        <w:t xml:space="preserve">World Wide Web Consortium. (2023). </w:t>
      </w:r>
      <w:r>
        <w:rPr>
          <w:rFonts w:ascii="Calibri" w:hAnsi="Calibri" w:eastAsia="Calibri" w:cs="Calibri"/>
          <w:i/>
        </w:rPr>
        <w:t>Web Content Accessibility Guidelines (WCAG) 2.2</w:t>
      </w:r>
      <w:r>
        <w:t xml:space="preserve">. </w:t>
      </w:r>
      <w:hyperlink r:id="rId55">
        <w:r>
          <w:rPr>
            <w:rFonts w:ascii="Calibri" w:hAnsi="Calibri" w:eastAsia="Calibri" w:cs="Calibri"/>
            <w:color w:val="2E74B5"/>
            <w:u w:val="single"/>
          </w:rPr>
          <w:t xml:space="preserve">https://www.w3.org/TR/WCAG22/</w:t>
        </w:r>
      </w:hyperlink>
    </w:p>
    <w:p>
      <w:pPr>
        <w:pStyle w:val="ReferenceEntry"/>
        <w:widowControl/>
      </w:pPr>
      <w:r>
        <w:t xml:space="preserve">Amano, T., Ramírez-Castañeda, V., Berdejo-Espinola, V., Borokini, I., Chowdhury, S., Golivets, M., González-Trujillo, J. D., Montaño-Centellas, F., Paudel, K., &amp; White, R. L. (2023). The manifold costs of being a non-native English speaker in science. </w:t>
      </w:r>
      <w:r>
        <w:rPr>
          <w:rFonts w:ascii="Calibri" w:hAnsi="Calibri" w:eastAsia="Calibri" w:cs="Calibri"/>
          <w:i/>
        </w:rPr>
        <w:t>PLOS Biology, 21</w:t>
      </w:r>
      <w:r>
        <w:t xml:space="preserve">(7), e3002184. </w:t>
      </w:r>
      <w:hyperlink r:id="rId56">
        <w:r>
          <w:rPr>
            <w:rFonts w:ascii="Calibri" w:hAnsi="Calibri" w:eastAsia="Calibri" w:cs="Calibri"/>
            <w:color w:val="2E74B5"/>
            <w:u w:val="single"/>
          </w:rPr>
          <w:t xml:space="preserve">https://doi.org/10.1371/journal.pbio.3002184</w:t>
        </w:r>
      </w:hyperlink>
    </w:p>
    <w:p>
      <w:pPr>
        <w:pStyle w:val="ReferenceEntry"/>
        <w:widowControl/>
      </w:pPr>
      <w:r>
        <w:t xml:space="preserve">Ahia, O., Kumar, S., Gonen, H., Kasai, J., Mortensen, D. R., Smith, N. A., &amp; Tsvetkov, Y. (2023). Do all languages cost the same? Tokenization in the era of commercial language models. In H. Bouamor, J. Pino, &amp; K. Bali (Eds.), </w:t>
      </w:r>
      <w:r>
        <w:rPr>
          <w:rFonts w:ascii="Calibri" w:hAnsi="Calibri" w:eastAsia="Calibri" w:cs="Calibri"/>
          <w:i/>
        </w:rPr>
        <w:t>Proceedings of the 2023 Conference on Empirical Methods in Natural Language Processing</w:t>
      </w:r>
      <w:r>
        <w:t xml:space="preserve"> (pp. 9904-9923). Association for Computational Linguistics. </w:t>
      </w:r>
      <w:hyperlink r:id="rId57">
        <w:r>
          <w:rPr>
            <w:rFonts w:ascii="Calibri" w:hAnsi="Calibri" w:eastAsia="Calibri" w:cs="Calibri"/>
            <w:color w:val="2E74B5"/>
            <w:u w:val="single"/>
          </w:rPr>
          <w:t xml:space="preserve">https://doi.org/10.18653/v1/2023.emnlp-main.614</w:t>
        </w:r>
      </w:hyperlink>
    </w:p>
    <w:p>
      <w:pPr>
        <w:pStyle w:val="ReferenceEntry"/>
        <w:widowControl/>
      </w:pPr>
      <w:r>
        <w:t xml:space="preserve">Guerreiro, N. M., Alves, D. M., Waldendorf, J., Haddow, B., Birch, A., Colombo, P., &amp; Martins, A. F. T. (2023). Hallucinations in large multilingual translation models. </w:t>
      </w:r>
      <w:r>
        <w:rPr>
          <w:rFonts w:ascii="Calibri" w:hAnsi="Calibri" w:eastAsia="Calibri" w:cs="Calibri"/>
          <w:i/>
        </w:rPr>
        <w:t>Transactions of the Association for Computational Linguistics, 11</w:t>
      </w:r>
      <w:r>
        <w:t xml:space="preserve">, 1500-1517. </w:t>
      </w:r>
      <w:hyperlink r:id="rId58">
        <w:r>
          <w:rPr>
            <w:rFonts w:ascii="Calibri" w:hAnsi="Calibri" w:eastAsia="Calibri" w:cs="Calibri"/>
            <w:color w:val="2E74B5"/>
            <w:u w:val="single"/>
          </w:rPr>
          <w:t xml:space="preserve">https://doi.org/10.1162/tacl_a_00615</w:t>
        </w:r>
      </w:hyperlink>
    </w:p>
    <w:p>
      <w:pPr>
        <w:pStyle w:val="ReferenceEntry"/>
        <w:widowControl/>
      </w:pPr>
      <w:r>
        <w:t xml:space="preserve">Haddow, B., Bawden, R., Miceli Barone, A. V., Helcl, J., &amp; Birch, A. (2022). Survey of low-resource machine translation. </w:t>
      </w:r>
      <w:r>
        <w:rPr>
          <w:rFonts w:ascii="Calibri" w:hAnsi="Calibri" w:eastAsia="Calibri" w:cs="Calibri"/>
          <w:i/>
        </w:rPr>
        <w:t>Computational Linguistics, 48</w:t>
      </w:r>
      <w:r>
        <w:t xml:space="preserve">(3), 673-732. </w:t>
      </w:r>
      <w:hyperlink r:id="rId59">
        <w:r>
          <w:rPr>
            <w:rFonts w:ascii="Calibri" w:hAnsi="Calibri" w:eastAsia="Calibri" w:cs="Calibri"/>
            <w:color w:val="2E74B5"/>
            <w:u w:val="single"/>
          </w:rPr>
          <w:t xml:space="preserve">https://doi.org/10.1162/coli_a_00446</w:t>
        </w:r>
      </w:hyperlink>
    </w:p>
    <w:p>
      <w:pPr>
        <w:pStyle w:val="ReferenceEntry"/>
        <w:widowControl/>
      </w:pPr>
      <w:r>
        <w:t xml:space="preserve">Lommel, A. R., Uszkoreit, H., &amp; Burchardt, A. (2014). Multidimensional quality metrics (MQM): A framework for declaring and describing translation quality metrics. </w:t>
      </w:r>
      <w:r>
        <w:rPr>
          <w:rFonts w:ascii="Calibri" w:hAnsi="Calibri" w:eastAsia="Calibri" w:cs="Calibri"/>
          <w:i/>
        </w:rPr>
        <w:t>Tradumàtica: Tecnologies de la Traducció, 12</w:t>
      </w:r>
      <w:r>
        <w:t xml:space="preserve">, 455-463. </w:t>
      </w:r>
      <w:hyperlink r:id="rId60">
        <w:r>
          <w:rPr>
            <w:rFonts w:ascii="Calibri" w:hAnsi="Calibri" w:eastAsia="Calibri" w:cs="Calibri"/>
            <w:color w:val="2E74B5"/>
            <w:u w:val="single"/>
          </w:rPr>
          <w:t xml:space="preserve">https://ddd.uab.cat/pub/tradumatica/tradumatica_a2014n12/tradumatica_a2014n12p455.pdf</w:t>
        </w:r>
      </w:hyperlink>
    </w:p>
    <w:p>
      <w:pPr>
        <w:pStyle w:val="ReferenceEntry"/>
        <w:widowControl/>
      </w:pPr>
      <w:r>
        <w:t xml:space="preserve">NLLB Team. (2024). Scaling neural machine translation to 200 languages. </w:t>
      </w:r>
      <w:r>
        <w:rPr>
          <w:rFonts w:ascii="Calibri" w:hAnsi="Calibri" w:eastAsia="Calibri" w:cs="Calibri"/>
          <w:i/>
        </w:rPr>
        <w:t>Nature, 630</w:t>
      </w:r>
      <w:r>
        <w:t xml:space="preserve">, 841-846. </w:t>
      </w:r>
      <w:hyperlink r:id="rId61">
        <w:r>
          <w:rPr>
            <w:rFonts w:ascii="Calibri" w:hAnsi="Calibri" w:eastAsia="Calibri" w:cs="Calibri"/>
            <w:color w:val="2E74B5"/>
            <w:u w:val="single"/>
          </w:rPr>
          <w:t xml:space="preserve">https://doi.org/10.1038/s41586-024-07335-x</w:t>
        </w:r>
      </w:hyperlink>
    </w:p>
    <w:p>
      <w:pPr>
        <w:pStyle w:val="ReferenceEntry"/>
        <w:widowControl/>
      </w:pPr>
      <w:r>
        <w:t xml:space="preserve">Petrov, A., La Malfa, E., Torr, P. H. S., &amp; Bibi, A. (2023). Language model tokenizers introduce unfairness between languages. In </w:t>
      </w:r>
      <w:r>
        <w:rPr>
          <w:rFonts w:ascii="Calibri" w:hAnsi="Calibri" w:eastAsia="Calibri" w:cs="Calibri"/>
          <w:i/>
        </w:rPr>
        <w:t>Advances in Neural Information Processing Systems 36</w:t>
      </w:r>
      <w:r>
        <w:t xml:space="preserve">. </w:t>
      </w:r>
      <w:hyperlink r:id="rId62">
        <w:r>
          <w:rPr>
            <w:rFonts w:ascii="Calibri" w:hAnsi="Calibri" w:eastAsia="Calibri" w:cs="Calibri"/>
            <w:color w:val="2E74B5"/>
            <w:u w:val="single"/>
          </w:rPr>
          <w:t xml:space="preserve">https://doi.org/10.52202/075280-1608</w:t>
        </w:r>
      </w:hyperlink>
    </w:p>
    <w:p>
      <w:pPr>
        <w:pStyle w:val="ReferenceEntry"/>
        <w:widowControl/>
      </w:pPr>
      <w:r>
        <w:t xml:space="preserve">Gelman, A., Carlin, J. B., Stern, H. S., Dunson, D. B., Vehtari, A., &amp; Rubin, D. B. (2013). </w:t>
      </w:r>
      <w:r>
        <w:rPr>
          <w:rFonts w:ascii="Calibri" w:hAnsi="Calibri" w:eastAsia="Calibri" w:cs="Calibri"/>
          <w:i/>
        </w:rPr>
        <w:t>Bayesian data analysis</w:t>
      </w:r>
      <w:r>
        <w:t xml:space="preserve"> (3rd ed.). CRC Press. </w:t>
      </w:r>
      <w:hyperlink r:id="rId63">
        <w:r>
          <w:rPr>
            <w:rFonts w:ascii="Calibri" w:hAnsi="Calibri" w:eastAsia="Calibri" w:cs="Calibri"/>
            <w:color w:val="2E74B5"/>
            <w:u w:val="single"/>
          </w:rPr>
          <w:t xml:space="preserve">https://www.routledge.com/Bayesian-Data-Analysis/Gelman-Carlin-Stern-Dunson-Vehtari-Rubin/p/book/9781439840955</w:t>
        </w:r>
      </w:hyperlink>
    </w:p>
    <w:p>
      <w:pPr>
        <w:pStyle w:val="ReferenceEntry"/>
        <w:widowControl/>
      </w:pPr>
      <w:r>
        <w:t xml:space="preserve">Imbens, G. W., &amp; Manski, C. F. (2004). Confidence intervals for partially identified parameters. </w:t>
      </w:r>
      <w:r>
        <w:rPr>
          <w:rFonts w:ascii="Calibri" w:hAnsi="Calibri" w:eastAsia="Calibri" w:cs="Calibri"/>
          <w:i/>
        </w:rPr>
        <w:t>Econometrica, 72</w:t>
      </w:r>
      <w:r>
        <w:t xml:space="preserve">(6), 1845-1857. </w:t>
      </w:r>
      <w:hyperlink r:id="rId64">
        <w:r>
          <w:rPr>
            <w:rFonts w:ascii="Calibri" w:hAnsi="Calibri" w:eastAsia="Calibri" w:cs="Calibri"/>
            <w:color w:val="2E74B5"/>
            <w:u w:val="single"/>
          </w:rPr>
          <w:t xml:space="preserve">https://doi.org/10.1111/j.1468-0262.2004.00555.x</w:t>
        </w:r>
      </w:hyperlink>
    </w:p>
    <w:p>
      <w:pPr>
        <w:pStyle w:val="ReferenceEntry"/>
        <w:widowControl/>
      </w:pPr>
      <w:r>
        <w:t xml:space="preserve">Little, R. J. A., &amp; Rubin, D. B. (2019). </w:t>
      </w:r>
      <w:r>
        <w:rPr>
          <w:rFonts w:ascii="Calibri" w:hAnsi="Calibri" w:eastAsia="Calibri" w:cs="Calibri"/>
          <w:i/>
        </w:rPr>
        <w:t>Statistical analysis with missing data</w:t>
      </w:r>
      <w:r>
        <w:t xml:space="preserve"> (3rd ed.). Wiley. </w:t>
      </w:r>
      <w:hyperlink r:id="rId65">
        <w:r>
          <w:rPr>
            <w:rFonts w:ascii="Calibri" w:hAnsi="Calibri" w:eastAsia="Calibri" w:cs="Calibri"/>
            <w:color w:val="2E74B5"/>
            <w:u w:val="single"/>
          </w:rPr>
          <w:t xml:space="preserve">https://doi.org/10.1002/9781119482260</w:t>
        </w:r>
      </w:hyperlink>
    </w:p>
    <w:p>
      <w:pPr>
        <w:pStyle w:val="ReferenceEntry"/>
        <w:widowControl/>
      </w:pPr>
      <w:r>
        <w:t xml:space="preserve">Manski, C. F. (2003). </w:t>
      </w:r>
      <w:r>
        <w:rPr>
          <w:rFonts w:ascii="Calibri" w:hAnsi="Calibri" w:eastAsia="Calibri" w:cs="Calibri"/>
          <w:i/>
        </w:rPr>
        <w:t>Partial identification of probability distributions</w:t>
      </w:r>
      <w:r>
        <w:t xml:space="preserve">. Springer. </w:t>
      </w:r>
      <w:hyperlink r:id="rId66">
        <w:r>
          <w:rPr>
            <w:rFonts w:ascii="Calibri" w:hAnsi="Calibri" w:eastAsia="Calibri" w:cs="Calibri"/>
            <w:color w:val="2E74B5"/>
            <w:u w:val="single"/>
          </w:rPr>
          <w:t xml:space="preserve">https://link.springer.com/book/10.1007/b97478</w:t>
        </w:r>
      </w:hyperlink>
    </w:p>
    <w:p>
      <w:pPr>
        <w:pStyle w:val="ReferenceEntry"/>
        <w:widowControl/>
      </w:pPr>
      <w:r>
        <w:t xml:space="preserve">Cerda, V. R., &amp; Wicha, N. Y. (2024). Arithmetic in the bilingual brain: Language of learning and language experience effects on simple arithmetic in children and adults. </w:t>
      </w:r>
      <w:r>
        <w:rPr>
          <w:rFonts w:ascii="Calibri" w:hAnsi="Calibri" w:eastAsia="Calibri" w:cs="Calibri"/>
          <w:i/>
        </w:rPr>
        <w:t>Mind, Brain, and Education, 18</w:t>
      </w:r>
      <w:r>
        <w:t xml:space="preserve">(3), 373-381. </w:t>
      </w:r>
      <w:hyperlink r:id="rId67">
        <w:r>
          <w:rPr>
            <w:rFonts w:ascii="Calibri" w:hAnsi="Calibri" w:eastAsia="Calibri" w:cs="Calibri"/>
            <w:color w:val="2E74B5"/>
            <w:u w:val="single"/>
          </w:rPr>
          <w:t xml:space="preserve">https://doi.org/10.1111/mbe.12386</w:t>
        </w:r>
      </w:hyperlink>
    </w:p>
    <w:p>
      <w:pPr>
        <w:pStyle w:val="ReferenceEntry"/>
        <w:widowControl/>
      </w:pPr>
      <w:r>
        <w:t xml:space="preserve">Daroczy, G., Wolska, M., Meurers, W. D., &amp; Nuerk, H.-C. (2015). Word problems: A review of linguistic and numerical factors contributing to their difficulty. </w:t>
      </w:r>
      <w:r>
        <w:rPr>
          <w:rFonts w:ascii="Calibri" w:hAnsi="Calibri" w:eastAsia="Calibri" w:cs="Calibri"/>
          <w:i/>
        </w:rPr>
        <w:t>Frontiers in Psychology, 6</w:t>
      </w:r>
      <w:r>
        <w:t xml:space="preserve">, Article 348. </w:t>
      </w:r>
      <w:hyperlink r:id="rId68">
        <w:r>
          <w:rPr>
            <w:rFonts w:ascii="Calibri" w:hAnsi="Calibri" w:eastAsia="Calibri" w:cs="Calibri"/>
            <w:color w:val="2E74B5"/>
            <w:u w:val="single"/>
          </w:rPr>
          <w:t xml:space="preserve">https://doi.org/10.3389/fpsyg.2015.00348</w:t>
        </w:r>
      </w:hyperlink>
    </w:p>
    <w:p>
      <w:pPr>
        <w:pStyle w:val="ReferenceEntry"/>
        <w:widowControl/>
      </w:pPr>
      <w:r>
        <w:t xml:space="preserve">Greisen, M., Georges, C., Hornung, C., Sonnleitner, P., &amp; Schiltz, C. (2021). Learning mathematics with shackles: How lower reading comprehension in the language of mathematics instruction accounts for lower mathematics achievement in speakers of different home languages. </w:t>
      </w:r>
      <w:r>
        <w:rPr>
          <w:rFonts w:ascii="Calibri" w:hAnsi="Calibri" w:eastAsia="Calibri" w:cs="Calibri"/>
          <w:i/>
        </w:rPr>
        <w:t>Acta Psychologica, 221</w:t>
      </w:r>
      <w:r>
        <w:t xml:space="preserve">, 103456. </w:t>
      </w:r>
      <w:hyperlink r:id="rId69">
        <w:r>
          <w:rPr>
            <w:rFonts w:ascii="Calibri" w:hAnsi="Calibri" w:eastAsia="Calibri" w:cs="Calibri"/>
            <w:color w:val="2E74B5"/>
            <w:u w:val="single"/>
          </w:rPr>
          <w:t xml:space="preserve">https://doi.org/10.1016/j.actpsy.2021.103456</w:t>
        </w:r>
      </w:hyperlink>
    </w:p>
    <w:p>
      <w:pPr>
        <w:pStyle w:val="ReferenceEntry"/>
        <w:widowControl/>
      </w:pPr>
      <w:r>
        <w:t xml:space="preserve">Österholm, M. (2006). Characterizing reading comprehension of mathematical texts. </w:t>
      </w:r>
      <w:r>
        <w:rPr>
          <w:rFonts w:ascii="Calibri" w:hAnsi="Calibri" w:eastAsia="Calibri" w:cs="Calibri"/>
          <w:i/>
        </w:rPr>
        <w:t>Educational Studies in Mathematics, 63</w:t>
      </w:r>
      <w:r>
        <w:t xml:space="preserve">(3), 325-346. </w:t>
      </w:r>
      <w:hyperlink r:id="rId70">
        <w:r>
          <w:rPr>
            <w:rFonts w:ascii="Calibri" w:hAnsi="Calibri" w:eastAsia="Calibri" w:cs="Calibri"/>
            <w:color w:val="2E74B5"/>
            <w:u w:val="single"/>
          </w:rPr>
          <w:t xml:space="preserve">https://doi.org/10.1007/s10649-005-9016-y</w:t>
        </w:r>
      </w:hyperlink>
    </w:p>
    <w:p>
      <w:pPr>
        <w:pStyle w:val="ReferenceEntry"/>
        <w:widowControl/>
      </w:pPr>
      <w:r>
        <w:t xml:space="preserve">Ott, N., Brünken, R., Vogel, M., &amp; Malone, S. (2018). Multiple symbolic representations: The combination of formula and text supports problem solving in the mathematical field of propositional logic. </w:t>
      </w:r>
      <w:r>
        <w:rPr>
          <w:rFonts w:ascii="Calibri" w:hAnsi="Calibri" w:eastAsia="Calibri" w:cs="Calibri"/>
          <w:i/>
        </w:rPr>
        <w:t>Learning and Instruction, 58</w:t>
      </w:r>
      <w:r>
        <w:t xml:space="preserve">, 88-105. </w:t>
      </w:r>
      <w:hyperlink r:id="rId71">
        <w:r>
          <w:rPr>
            <w:rFonts w:ascii="Calibri" w:hAnsi="Calibri" w:eastAsia="Calibri" w:cs="Calibri"/>
            <w:color w:val="2E74B5"/>
            <w:u w:val="single"/>
          </w:rPr>
          <w:t xml:space="preserve">https://doi.org/10.1016/j.learninstruc.2018.04.010</w:t>
        </w:r>
      </w:hyperlink>
    </w:p>
    <w:p>
      <w:pPr>
        <w:pStyle w:val="ReferenceEntry"/>
        <w:widowControl/>
      </w:pPr>
      <w:r>
        <w:t xml:space="preserve">Malone, S., Brünken, R., Vogel, M., &amp; Ott, N. (2020). Homogeneous and heterogeneous multiple representations in equation-solving problems: An eye-tracking study. </w:t>
      </w:r>
      <w:r>
        <w:rPr>
          <w:rFonts w:ascii="Calibri" w:hAnsi="Calibri" w:eastAsia="Calibri" w:cs="Calibri"/>
          <w:i/>
        </w:rPr>
        <w:t>Journal of Computer Assisted Learning, 36</w:t>
      </w:r>
      <w:r>
        <w:t xml:space="preserve">, 781-798. </w:t>
      </w:r>
      <w:hyperlink r:id="rId72">
        <w:r>
          <w:rPr>
            <w:rFonts w:ascii="Calibri" w:hAnsi="Calibri" w:eastAsia="Calibri" w:cs="Calibri"/>
            <w:color w:val="2E74B5"/>
            <w:u w:val="single"/>
          </w:rPr>
          <w:t xml:space="preserve">https://doi.org/10.1111/jcal.12426</w:t>
        </w:r>
      </w:hyperlink>
    </w:p>
    <w:p>
      <w:pPr>
        <w:pStyle w:val="ReferenceEntry"/>
        <w:widowControl/>
      </w:pPr>
      <w:r>
        <w:t xml:space="preserve">Spelke, E. S., &amp; Tsivkin, S. (2001). Language and number: A bilingual training study. </w:t>
      </w:r>
      <w:r>
        <w:rPr>
          <w:rFonts w:ascii="Calibri" w:hAnsi="Calibri" w:eastAsia="Calibri" w:cs="Calibri"/>
          <w:i/>
        </w:rPr>
        <w:t>Cognition, 78</w:t>
      </w:r>
      <w:r>
        <w:t xml:space="preserve">(1), 45-88. </w:t>
      </w:r>
      <w:hyperlink r:id="rId73">
        <w:r>
          <w:rPr>
            <w:rFonts w:ascii="Calibri" w:hAnsi="Calibri" w:eastAsia="Calibri" w:cs="Calibri"/>
            <w:color w:val="2E74B5"/>
            <w:u w:val="single"/>
          </w:rPr>
          <w:t xml:space="preserve">https://doi.org/10.1016/S0010-0277(00)00108-6</w:t>
        </w:r>
      </w:hyperlink>
    </w:p>
    <w:p>
      <w:pPr>
        <w:pStyle w:val="ReferenceEntry"/>
        <w:widowControl/>
      </w:pPr>
      <w:r>
        <w:t xml:space="preserve">Hahn, C. G. K., Saalbach, H., &amp; Grabner, R. H. (2019). Language-dependent knowledge acquisition: Investigating bilingual arithmetic learning. </w:t>
      </w:r>
      <w:r>
        <w:rPr>
          <w:rFonts w:ascii="Calibri" w:hAnsi="Calibri" w:eastAsia="Calibri" w:cs="Calibri"/>
          <w:i/>
        </w:rPr>
        <w:t>Bilingualism: Language and Cognition, 22</w:t>
      </w:r>
      <w:r>
        <w:t xml:space="preserve">(1), 47-57. </w:t>
      </w:r>
      <w:hyperlink r:id="rId74">
        <w:r>
          <w:rPr>
            <w:rFonts w:ascii="Calibri" w:hAnsi="Calibri" w:eastAsia="Calibri" w:cs="Calibri"/>
            <w:color w:val="2E74B5"/>
            <w:u w:val="single"/>
          </w:rPr>
          <w:t xml:space="preserve">https://doi.org/10.1017/S1366728917000530</w:t>
        </w:r>
      </w:hyperlink>
    </w:p>
    <w:p>
      <w:pPr>
        <w:pStyle w:val="ReferenceEntry"/>
        <w:widowControl/>
      </w:pPr>
      <w:r>
        <w:t xml:space="preserve">Hickendorff, M. (2013). The language factor in elementary mathematics assessments: Computational skills and applied problem solving in a multidimensional IRT framework. </w:t>
      </w:r>
      <w:r>
        <w:rPr>
          <w:rFonts w:ascii="Calibri" w:hAnsi="Calibri" w:eastAsia="Calibri" w:cs="Calibri"/>
          <w:i/>
        </w:rPr>
        <w:t>Applied Measurement in Education, 26</w:t>
      </w:r>
      <w:r>
        <w:t xml:space="preserve">(4), 253-278. </w:t>
      </w:r>
      <w:hyperlink r:id="rId75">
        <w:r>
          <w:rPr>
            <w:rFonts w:ascii="Calibri" w:hAnsi="Calibri" w:eastAsia="Calibri" w:cs="Calibri"/>
            <w:color w:val="2E74B5"/>
            <w:u w:val="single"/>
          </w:rPr>
          <w:t xml:space="preserve">https://doi.org/10.1080/08957347.2013.824451</w:t>
        </w:r>
      </w:hyperlink>
    </w:p>
    <w:p>
      <w:pPr>
        <w:pStyle w:val="ReferenceEntry"/>
        <w:widowControl/>
      </w:pPr>
      <w:r>
        <w:t xml:space="preserve">Trakulphadetkrai, N. V., Courtney, L., Clenton, J., Treffers-Daller, J., &amp; Tsakalaki, A. (2020). The contribution of general language ability, reading comprehension and working memory to mathematics achievement among children with English as an additional language: An exploratory study. </w:t>
      </w:r>
      <w:r>
        <w:rPr>
          <w:rFonts w:ascii="Calibri" w:hAnsi="Calibri" w:eastAsia="Calibri" w:cs="Calibri"/>
          <w:i/>
        </w:rPr>
        <w:t>International Journal of Bilingual Education and Bilingualism, 23</w:t>
      </w:r>
      <w:r>
        <w:t xml:space="preserve">(4), 473-487. </w:t>
      </w:r>
      <w:hyperlink r:id="rId76">
        <w:r>
          <w:rPr>
            <w:rFonts w:ascii="Calibri" w:hAnsi="Calibri" w:eastAsia="Calibri" w:cs="Calibri"/>
            <w:color w:val="2E74B5"/>
            <w:u w:val="single"/>
          </w:rPr>
          <w:t xml:space="preserve">https://doi.org/10.1080/13670050.2017.1373742</w:t>
        </w:r>
      </w:hyperlink>
    </w:p>
    <w:p>
      <w:pPr>
        <w:pStyle w:val="ReferenceEntry"/>
        <w:widowControl/>
      </w:pPr>
      <w:r>
        <w:t xml:space="preserve">Panse, A., Alcock, L., &amp; Inglis, M. (2018). Reading proofs for validation and comprehension: An expert-novice eye-movement study. </w:t>
      </w:r>
      <w:r>
        <w:rPr>
          <w:rFonts w:ascii="Calibri" w:hAnsi="Calibri" w:eastAsia="Calibri" w:cs="Calibri"/>
          <w:i/>
        </w:rPr>
        <w:t>International Journal of Research in Undergraduate Mathematics Education, 4</w:t>
      </w:r>
      <w:r>
        <w:t xml:space="preserve">, 357-375. </w:t>
      </w:r>
      <w:hyperlink r:id="rId77">
        <w:r>
          <w:rPr>
            <w:rFonts w:ascii="Calibri" w:hAnsi="Calibri" w:eastAsia="Calibri" w:cs="Calibri"/>
            <w:color w:val="2E74B5"/>
            <w:u w:val="single"/>
          </w:rPr>
          <w:t xml:space="preserve">https://doi.org/10.1007/s40753-018-0077-6</w:t>
        </w:r>
      </w:hyperlink>
    </w:p>
    <w:p>
      <w:pPr>
        <w:pStyle w:val="ReferenceEntry"/>
        <w:widowControl/>
      </w:pPr>
      <w:r>
        <w:t xml:space="preserve">Prasad, K. V. S., &amp; Virk, S. M. (2012). Computational evidence that Hindi and Urdu share a grammar but not the lexicon. In </w:t>
      </w:r>
      <w:r>
        <w:rPr>
          <w:rFonts w:ascii="Calibri" w:hAnsi="Calibri" w:eastAsia="Calibri" w:cs="Calibri"/>
          <w:i/>
        </w:rPr>
        <w:t>Proceedings of the 3rd Workshop on South and Southeast Asian Natural Language Processing</w:t>
      </w:r>
      <w:r>
        <w:t xml:space="preserve">. Association for Computational Linguistics. </w:t>
      </w:r>
      <w:hyperlink r:id="rId78">
        <w:r>
          <w:rPr>
            <w:rFonts w:ascii="Calibri" w:hAnsi="Calibri" w:eastAsia="Calibri" w:cs="Calibri"/>
            <w:color w:val="2E74B5"/>
            <w:u w:val="single"/>
          </w:rPr>
          <w:t xml:space="preserve">https://aclanthology.org/W12-5001/</w:t>
        </w:r>
      </w:hyperlink>
    </w:p>
    <w:p>
      <w:pPr>
        <w:pStyle w:val="ReferenceEntry"/>
        <w:widowControl/>
      </w:pPr>
      <w:r>
        <w:t xml:space="preserve">Gooskens, C., van Heuven, V. J., Golubović, J., Schüppert, A., Swarte, F., &amp; Voigt, S. (2018). Mutual intelligibility between closely related languages in Europe. </w:t>
      </w:r>
      <w:r>
        <w:rPr>
          <w:rFonts w:ascii="Calibri" w:hAnsi="Calibri" w:eastAsia="Calibri" w:cs="Calibri"/>
          <w:i/>
        </w:rPr>
        <w:t>International Journal of Multilingualism, 15</w:t>
      </w:r>
      <w:r>
        <w:t xml:space="preserve">(2), 169-193. </w:t>
      </w:r>
      <w:hyperlink r:id="rId79">
        <w:r>
          <w:rPr>
            <w:rFonts w:ascii="Calibri" w:hAnsi="Calibri" w:eastAsia="Calibri" w:cs="Calibri"/>
            <w:color w:val="2E74B5"/>
            <w:u w:val="single"/>
          </w:rPr>
          <w:t xml:space="preserve">https://doi.org/10.1080/14790718.2017.1350185</w:t>
        </w:r>
      </w:hyperlink>
    </w:p>
    <w:p>
      <w:pPr>
        <w:pStyle w:val="ReferenceEntry"/>
        <w:widowControl/>
      </w:pPr>
      <w:r>
        <w:t xml:space="preserve">Merunka, V., van Steenbergen, J., Yordanova, L., &amp; Kocór, M. (2019). The Interslavic language as a tool for supporting e-democracy in Central and Eastern Europe. </w:t>
      </w:r>
      <w:r>
        <w:rPr>
          <w:rFonts w:ascii="Calibri" w:hAnsi="Calibri" w:eastAsia="Calibri" w:cs="Calibri"/>
          <w:i/>
        </w:rPr>
        <w:t>International Journal of Electronic Governance, 11</w:t>
      </w:r>
      <w:r>
        <w:t xml:space="preserve">(3/4), 260-288. </w:t>
      </w:r>
      <w:hyperlink r:id="rId80">
        <w:r>
          <w:rPr>
            <w:rFonts w:ascii="Calibri" w:hAnsi="Calibri" w:eastAsia="Calibri" w:cs="Calibri"/>
            <w:color w:val="2E74B5"/>
            <w:u w:val="single"/>
          </w:rPr>
          <w:t xml:space="preserve">https://doi.org/10.1504/IJEG.2019.10017091</w:t>
        </w:r>
      </w:hyperlink>
    </w:p>
    <w:p>
      <w:pPr>
        <w:pStyle w:val="ReferenceEntry"/>
        <w:widowControl/>
      </w:pPr>
      <w:r>
        <w:t xml:space="preserve">National Statistical Office of Thailand. (2012). </w:t>
      </w:r>
      <w:r>
        <w:rPr>
          <w:rFonts w:ascii="Calibri" w:hAnsi="Calibri" w:eastAsia="Calibri" w:cs="Calibri"/>
          <w:i/>
        </w:rPr>
        <w:t>The 2010 population and housing census: Whole Kingdom</w:t>
      </w:r>
      <w:r>
        <w:t xml:space="preserve">. Ministry of Information and Communication Technology. </w:t>
      </w:r>
      <w:hyperlink r:id="rId81">
        <w:r>
          <w:rPr>
            <w:rFonts w:ascii="Calibri" w:hAnsi="Calibri" w:eastAsia="Calibri" w:cs="Calibri"/>
            <w:color w:val="2E74B5"/>
            <w:u w:val="single"/>
          </w:rPr>
          <w:t xml:space="preserve">https://catalogapi.nso.go.th/api/doc/department/D10/SD10_04/SD10_04_165_2.pdf</w:t>
        </w:r>
      </w:hyperlink>
    </w:p>
    <w:p>
      <w:pPr>
        <w:pStyle w:val="ReferenceEntry"/>
        <w:widowControl/>
      </w:pPr>
      <w:r>
        <w:t xml:space="preserve">Directorate-General of Budget, Accounting and Statistics. (2020). </w:t>
      </w:r>
      <w:r>
        <w:rPr>
          <w:rFonts w:ascii="Calibri" w:hAnsi="Calibri" w:eastAsia="Calibri" w:cs="Calibri"/>
          <w:i/>
        </w:rPr>
        <w:t>2020 population and housing census, Table 6: Language usage for the resident nationals aged 6 years and over</w:t>
      </w:r>
      <w:r>
        <w:t xml:space="preserve"> [Data set]. </w:t>
      </w:r>
      <w:hyperlink r:id="rId82">
        <w:r>
          <w:rPr>
            <w:rFonts w:ascii="Calibri" w:hAnsi="Calibri" w:eastAsia="Calibri" w:cs="Calibri"/>
            <w:color w:val="2E74B5"/>
            <w:u w:val="single"/>
          </w:rPr>
          <w:t xml:space="preserve">https://ws.dgbas.gov.tw/001/Upload/463/relfile/11065/230300/t006.xlsx</w:t>
        </w:r>
      </w:hyperlink>
    </w:p>
    <w:p>
      <w:pPr>
        <w:pStyle w:val="ReferenceEntry"/>
        <w:widowControl/>
      </w:pPr>
      <w:r>
        <w:t xml:space="preserve">United Nations High Commissioner for Refugees. (2026). </w:t>
      </w:r>
      <w:r>
        <w:rPr>
          <w:rFonts w:ascii="Calibri" w:hAnsi="Calibri" w:eastAsia="Calibri" w:cs="Calibri"/>
          <w:i/>
        </w:rPr>
        <w:t>Global trends 2025</w:t>
      </w:r>
      <w:r>
        <w:t xml:space="preserve">. </w:t>
      </w:r>
      <w:hyperlink r:id="rId83">
        <w:r>
          <w:rPr>
            <w:rFonts w:ascii="Calibri" w:hAnsi="Calibri" w:eastAsia="Calibri" w:cs="Calibri"/>
            <w:color w:val="2E74B5"/>
            <w:u w:val="single"/>
          </w:rPr>
          <w:t xml:space="preserve">https://www.unhcr.org/global-trends</w:t>
        </w:r>
      </w:hyperlink>
    </w:p>
    <w:p>
      <w:pPr>
        <w:pStyle w:val="ReferenceEntry"/>
        <w:widowControl/>
      </w:pPr>
      <w:r>
        <w:t xml:space="preserve">United Nations High Commissioner for Refugees. (2026). </w:t>
      </w:r>
      <w:r>
        <w:rPr>
          <w:rFonts w:ascii="Calibri" w:hAnsi="Calibri" w:eastAsia="Calibri" w:cs="Calibri"/>
          <w:i/>
        </w:rPr>
        <w:t>Mid-year trends 2025</w:t>
      </w:r>
      <w:r>
        <w:t xml:space="preserve">. </w:t>
      </w:r>
      <w:hyperlink r:id="rId84">
        <w:r>
          <w:rPr>
            <w:rFonts w:ascii="Calibri" w:hAnsi="Calibri" w:eastAsia="Calibri" w:cs="Calibri"/>
            <w:color w:val="2E74B5"/>
            <w:u w:val="single"/>
          </w:rPr>
          <w:t xml:space="preserve">https://www.unhcr.org/mid-year-trends</w:t>
        </w:r>
      </w:hyperlink>
    </w:p>
    <w:p>
      <w:pPr>
        <w:pStyle w:val="ReferenceEntry"/>
        <w:widowControl/>
      </w:pPr>
      <w:r>
        <w:t xml:space="preserve">OpenStax. (n.d.). </w:t>
      </w:r>
      <w:r>
        <w:rPr>
          <w:rFonts w:ascii="Calibri" w:hAnsi="Calibri" w:eastAsia="Calibri" w:cs="Calibri"/>
          <w:i/>
        </w:rPr>
        <w:t>Subjects</w:t>
      </w:r>
      <w:r>
        <w:t xml:space="preserve">. Rice University. Retrieved September 1, 2026, from </w:t>
      </w:r>
      <w:hyperlink r:id="rId85">
        <w:r>
          <w:rPr>
            <w:rFonts w:ascii="Calibri" w:hAnsi="Calibri" w:eastAsia="Calibri" w:cs="Calibri"/>
            <w:color w:val="2E74B5"/>
            <w:u w:val="single"/>
          </w:rPr>
          <w:t xml:space="preserve">https://openstax.org/subjects</w:t>
        </w:r>
      </w:hyperlink>
    </w:p>
    <w:sectPr>
      <w:headerReference w:type="default" r:id="rId24"/>
      <w:footerReference w:type="default" r:id="rId2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6"/>
      </w:rPr>
      <w:t>OPEN EDUCATIONAL ACCESS RESEARCH</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jc w:val="right"/>
    </w:pPr>
    <w:r>
      <w:rPr>
        <w:rFonts w:ascii="Calibri" w:hAnsi="Calibri" w:eastAsia="Calibri" w:cs="Calibri"/>
        <w:color w:val="66717E"/>
        <w:sz w:val="17"/>
      </w:rP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MARGINAL EDUCATIONAL ACCESS</w:t>
    </w:r>
    <w:r>
      <w:rPr>
        <w:rFonts w:ascii="Calibri" w:hAnsi="Calibri" w:eastAsia="Calibri" w:cs="Calibri"/>
        <w:color w:val="66717E"/>
        <w:sz w:val="17"/>
      </w:rPr>
      <w:tab/>
      <w:t>RESEARCH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29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360" w:val="right"/>
      </w:tabs>
      <w:spacing w:after="0"/>
      <w:jc w:val="left"/>
    </w:pPr>
    <w:r>
      <w:rPr>
        <w:rFonts w:ascii="Calibri" w:hAnsi="Calibri" w:eastAsia="Calibri" w:cs="Calibri"/>
        <w:b/>
        <w:color w:val="66717E"/>
        <w:sz w:val="17"/>
      </w:rPr>
      <w:t>AI COMPUTE FOR EDUCATIONAL ACCESS</w:t>
    </w:r>
    <w:r>
      <w:rPr>
        <w:rFonts w:ascii="Calibri" w:hAnsi="Calibri" w:eastAsia="Calibri" w:cs="Calibri"/>
        <w:color w:val="66717E"/>
        <w:sz w:val="17"/>
      </w:rPr>
      <w:tab/>
      <w:t>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pPr>
      <w:rPr>
        <w:rFonts w:ascii="Calibri" w:hAnsi="Calibri"/>
      </w:rPr>
    </w:lvl>
  </w:abstractNum>
  <w:abstractNum w:abstractNumId="10">
    <w:multiLevelType w:val="singleLevel"/>
    <w:lvl w:ilvl="0">
      <w:start w:val="1"/>
      <w:numFmt w:val="decimal"/>
      <w:lvlText w:val="%1."/>
      <w:suff w:val="tab"/>
      <w:pPr>
        <w:tabs>
          <w:tab w:val="num" w:pos="540"/>
        </w:tabs>
        <w:ind w:left="540" w:hanging="279"/>
      </w:pPr>
      <w:rPr>
        <w:rFonts w:ascii="Calibri" w:hAnsi="Calibri"/>
      </w:rPr>
    </w:lvl>
  </w:abstractNum>
  <w:num w:numId="10">
    <w:abstractNumId w:val="10"/>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eastAsia="Calibri" w:cs="Calibri"/>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widowControl/>
      <w:spacing w:before="360" w:after="200"/>
      <w:outlineLvl w:val="0"/>
    </w:pPr>
    <w:rPr>
      <w:rFonts w:asciiTheme="majorHAnsi" w:eastAsiaTheme="majorEastAsia" w:hAnsiTheme="majorHAnsi" w:cstheme="majorBidi" w:ascii="Calibri" w:hAnsi="Calibri" w:eastAsia="Calibri" w:cs="Calibri"/>
      <w:b/>
      <w:bCs/>
      <w:color w:val="2E74B5"/>
      <w:sz w:val="32"/>
      <w:szCs w:val="28"/>
      <w:lang w:val="en-US"/>
    </w:rPr>
  </w:style>
  <w:style w:type="paragraph" w:styleId="Heading2">
    <w:name w:val="heading 2"/>
    <w:basedOn w:val="Normal"/>
    <w:next w:val="Normal"/>
    <w:link w:val="Heading2Char"/>
    <w:uiPriority w:val="9"/>
    <w:unhideWhenUsed/>
    <w:qFormat/>
    <w:rsid w:val="00FC693F"/>
    <w:pPr>
      <w:keepNext/>
      <w:keepLines/>
      <w:pageBreakBefore w:val="0"/>
      <w:widowControl/>
      <w:spacing w:before="240" w:after="120"/>
      <w:outlineLvl w:val="1"/>
    </w:pPr>
    <w:rPr>
      <w:rFonts w:asciiTheme="majorHAnsi" w:eastAsiaTheme="majorEastAsia" w:hAnsiTheme="majorHAnsi" w:cstheme="majorBidi" w:ascii="Calibri" w:hAnsi="Calibri" w:eastAsia="Calibri" w:cs="Calibri"/>
      <w:b/>
      <w:bCs/>
      <w:color w:val="2E74B5"/>
      <w:sz w:val="26"/>
      <w:szCs w:val="26"/>
      <w:lang w:val="en-US"/>
    </w:rPr>
  </w:style>
  <w:style w:type="paragraph" w:styleId="Heading3">
    <w:name w:val="heading 3"/>
    <w:basedOn w:val="Normal"/>
    <w:next w:val="Normal"/>
    <w:link w:val="Heading3Char"/>
    <w:uiPriority w:val="9"/>
    <w:unhideWhenUsed/>
    <w:qFormat/>
    <w:rsid w:val="00FC693F"/>
    <w:pPr>
      <w:keepNext/>
      <w:keepLines/>
      <w:pageBreakBefore w:val="0"/>
      <w:widowControl/>
      <w:spacing w:before="160" w:after="80"/>
      <w:outlineLvl w:val="2"/>
    </w:pPr>
    <w:rPr>
      <w:rFonts w:asciiTheme="majorHAnsi" w:eastAsiaTheme="majorEastAsia" w:hAnsiTheme="majorHAnsi" w:cstheme="majorBidi" w:ascii="Calibri" w:hAnsi="Calibri" w:eastAsia="Calibri" w:cs="Calibri"/>
      <w:b/>
      <w:bCs/>
      <w:color w:val="1F4D78"/>
      <w:sz w:val="24"/>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80" w:line="240" w:lineRule="auto" w:before="0"/>
      <w:contextualSpacing/>
      <w:jc w:val="center"/>
    </w:pPr>
    <w:rPr>
      <w:rFonts w:asciiTheme="majorHAnsi" w:eastAsiaTheme="majorEastAsia" w:hAnsiTheme="majorHAnsi" w:cstheme="majorBidi" w:ascii="Calibri" w:hAnsi="Calibri" w:eastAsia="Calibri" w:cs="Calibri"/>
      <w:b/>
      <w:color w:val="203748"/>
      <w:spacing w:val="5"/>
      <w:kern w:val="28"/>
      <w:sz w:val="6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520"/>
      <w:jc w:val="center"/>
    </w:pPr>
    <w:rPr>
      <w:rFonts w:asciiTheme="majorHAnsi" w:eastAsiaTheme="majorEastAsia" w:hAnsiTheme="majorHAnsi" w:cstheme="majorBidi" w:ascii="Calibri" w:hAnsi="Calibri" w:eastAsia="Calibri" w:cs="Calibri"/>
      <w:i w:val="0"/>
      <w:iCs/>
      <w:color w:val="2B5163"/>
      <w:spacing w:val="15"/>
      <w:sz w:val="30"/>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40" w:lineRule="auto" w:before="100" w:after="140"/>
    </w:pPr>
    <w:rPr>
      <w:rFonts w:ascii="Calibri" w:hAnsi="Calibri" w:eastAsia="Calibri" w:cs="Calibri"/>
      <w:b/>
      <w:bCs/>
      <w:i/>
      <w:color w:val="66717E"/>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List">
    <w:name w:val="Proposal List"/>
    <w:pPr>
      <w:widowControl/>
      <w:spacing w:before="0" w:after="80" w:line="290" w:lineRule="auto"/>
    </w:pPr>
    <w:rPr>
      <w:rFonts w:ascii="Calibri" w:hAnsi="Calibri" w:eastAsia="Calibri" w:cs="Calibri"/>
      <w:color w:val="000000"/>
      <w:sz w:val="22"/>
      <w:lang w:val="en-US"/>
    </w:rPr>
  </w:style>
  <w:style w:type="paragraph" w:customStyle="1" w:styleId="ReferenceEntry">
    <w:name w:val="Reference Entry"/>
    <w:pPr>
      <w:widowControl/>
      <w:spacing w:before="0" w:after="120" w:line="264" w:lineRule="auto"/>
      <w:ind w:left="360" w:hanging="360"/>
      <w:jc w:val="left"/>
    </w:pPr>
    <w:rPr>
      <w:rFonts w:ascii="Calibri" w:hAnsi="Calibri" w:eastAsia="Calibri" w:cs="Calibri"/>
      <w:color w:val="000000"/>
      <w:sz w:val="19"/>
      <w:lang w:val="en-US"/>
    </w:rPr>
  </w:style>
  <w:style w:type="paragraph" w:customStyle="1" w:styleId="Equation">
    <w:name w:val="Equation"/>
    <w:pPr>
      <w:keepLines/>
      <w:spacing w:before="140" w:after="180"/>
      <w:jc w:val="center"/>
    </w:pPr>
    <w:rPr>
      <w:rFonts w:ascii="Cambria Math" w:hAnsi="Cambria Math" w:eastAsia="Cambria Math" w:cs="Cambria Math"/>
      <w:color w:val="203748"/>
      <w:sz w:val="21"/>
      <w:lang w:val="en-US"/>
    </w:rPr>
  </w:style>
  <w:style w:type="paragraph" w:customStyle="1" w:styleId="TableSourceNote">
    <w:name w:val="Table Source Note"/>
    <w:pPr>
      <w:spacing w:before="80" w:after="80" w:line="240" w:lineRule="auto"/>
    </w:pPr>
    <w:rPr>
      <w:rFonts w:ascii="Calibri" w:hAnsi="Calibri" w:eastAsia="Calibri" w:cs="Calibri"/>
      <w:color w:val="66717E"/>
      <w:sz w:val="18"/>
      <w:lang w:val="en-US"/>
    </w:rPr>
  </w:style>
  <w:style w:type="paragraph" w:customStyle="1" w:styleId="ResearchQuote">
    <w:name w:val="Research Quote"/>
    <w:pPr>
      <w:widowControl/>
      <w:spacing w:before="100" w:after="180" w:line="288" w:lineRule="auto"/>
      <w:ind w:left="504" w:right="288"/>
    </w:pPr>
    <w:rPr>
      <w:rFonts w:ascii="Calibri" w:hAnsi="Calibri" w:eastAsia="Calibri" w:cs="Calibri"/>
      <w:color w:val="203748"/>
      <w:sz w:val="22"/>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yperlink" Target="https://github.com/KokunoYumeto/allocating-ai-translation-compute-for-educational-access" TargetMode="Externa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yperlink" Target="https://doi.org/10.1002/cl2.1351" TargetMode="External"/><Relationship Id="rId27" Type="http://schemas.openxmlformats.org/officeDocument/2006/relationships/hyperlink" Target="https://doi.org/10.54675/MLIO7101" TargetMode="External"/><Relationship Id="rId28" Type="http://schemas.openxmlformats.org/officeDocument/2006/relationships/hyperlink" Target="https://iite.unesco.org/files/news/639224/UNESCO-OOSCreport-Full-web.pdf" TargetMode="External"/><Relationship Id="rId29" Type="http://schemas.openxmlformats.org/officeDocument/2006/relationships/hyperlink" Target="https://doi.org/10.1017/CBO9780511979026.017" TargetMode="External"/><Relationship Id="rId30" Type="http://schemas.openxmlformats.org/officeDocument/2006/relationships/hyperlink" Target="https://documents1.worldbank.org/curated/en/517851626203470278/pdf/Loud-and-Clear-Effective-Language-of-Instruction-Policies-For-Learning.pdf" TargetMode="External"/><Relationship Id="rId31" Type="http://schemas.openxmlformats.org/officeDocument/2006/relationships/hyperlink" Target="https://doi.org/10.1038/s41562-024-02028-x" TargetMode="External"/><Relationship Id="rId32" Type="http://schemas.openxmlformats.org/officeDocument/2006/relationships/hyperlink" Target="https://doi.org/10.3366/edinburgh/9781474485463.001.0001" TargetMode="External"/><Relationship Id="rId33" Type="http://schemas.openxmlformats.org/officeDocument/2006/relationships/hyperlink" Target="https://uis.unesco.org/sites/default/files/documents/international-standard-classification-of-education-isced-2011-en.pdf" TargetMode="External"/><Relationship Id="rId34" Type="http://schemas.openxmlformats.org/officeDocument/2006/relationships/hyperlink" Target="https://uis.unesco.org/sites/default/files/documents/isced-fields-of-education-and-training-2013-en.pdf" TargetMode="External"/><Relationship Id="rId35" Type="http://schemas.openxmlformats.org/officeDocument/2006/relationships/hyperlink" Target="https://gaml.uis.unesco.org/wp-content/uploads/sites/2/2021/03/Global-Proficiency-Framework-Reading.pdf" TargetMode="External"/><Relationship Id="rId36" Type="http://schemas.openxmlformats.org/officeDocument/2006/relationships/hyperlink" Target="https://www.unicef.org/media/122921/file/State%20of%20Learning%20Poverty%202022.pdf" TargetMode="External"/><Relationship Id="rId37" Type="http://schemas.openxmlformats.org/officeDocument/2006/relationships/hyperlink" Target="https://datacatalog.worldbank.org/search/dataset/0038947/learning-poverty-global-database-historical-data-and-sub-components" TargetMode="External"/><Relationship Id="rId38" Type="http://schemas.openxmlformats.org/officeDocument/2006/relationships/hyperlink" Target="https://doi.org/10.1177/2332858419872212" TargetMode="External"/><Relationship Id="rId39" Type="http://schemas.openxmlformats.org/officeDocument/2006/relationships/hyperlink" Target="https://doi.org/10.1007/s11423-016-9434-9" TargetMode="External"/><Relationship Id="rId40" Type="http://schemas.openxmlformats.org/officeDocument/2006/relationships/hyperlink" Target="https://doi.org/10.1016/j.ijer.2024.102365" TargetMode="External"/><Relationship Id="rId41" Type="http://schemas.openxmlformats.org/officeDocument/2006/relationships/hyperlink" Target="https://www.unesco.org/en/legal-affairs/recommendation-open-educational-resources-oer" TargetMode="External"/><Relationship Id="rId42" Type="http://schemas.openxmlformats.org/officeDocument/2006/relationships/hyperlink" Target="https://www.gsma.com/somic/wp-content/uploads/2025/09/The-State-of-Mobile-Internet-Connectivity-2025-Overview-Report.pdf" TargetMode="External"/><Relationship Id="rId43" Type="http://schemas.openxmlformats.org/officeDocument/2006/relationships/hyperlink" Target="https://www.worldbank.org/en/topic/energy/publication/tracking-sdg-7-the-energy-progress-report-2025" TargetMode="External"/><Relationship Id="rId44" Type="http://schemas.openxmlformats.org/officeDocument/2006/relationships/hyperlink" Target="https://www.itu.int/en/ITU-D/Statistics/Pages/facts/default.aspx" TargetMode="External"/><Relationship Id="rId45" Type="http://schemas.openxmlformats.org/officeDocument/2006/relationships/hyperlink" Target="https://www.unicef.org/media/88381/file/How-many-children-and-young-people-have-internet-access-at-home-2020.pdf" TargetMode="External"/><Relationship Id="rId46" Type="http://schemas.openxmlformats.org/officeDocument/2006/relationships/hyperlink" Target="https://doi.org/10.1016/S2214-109X(20)30488-5" TargetMode="External"/><Relationship Id="rId47" Type="http://schemas.openxmlformats.org/officeDocument/2006/relationships/hyperlink" Target="https://doi.org/10.1016/S0140-6736(21)00516-X" TargetMode="External"/><Relationship Id="rId48" Type="http://schemas.openxmlformats.org/officeDocument/2006/relationships/hyperlink" Target="https://www.un.org/development/desa/disabilities/convention-on-the-rights-of-persons-with-disabilities/article-24-education.html" TargetMode="External"/><Relationship Id="rId49" Type="http://schemas.openxmlformats.org/officeDocument/2006/relationships/hyperlink" Target="https://data.unicef.org/resources/children-with-disabilities-report-2021/" TargetMode="External"/><Relationship Id="rId50" Type="http://schemas.openxmlformats.org/officeDocument/2006/relationships/hyperlink" Target="https://wfdeaf.org/resources/statement-on-standardised-sign-language/" TargetMode="External"/><Relationship Id="rId51" Type="http://schemas.openxmlformats.org/officeDocument/2006/relationships/hyperlink" Target="https://wfdeaf.org/contact/faqs/" TargetMode="External"/><Relationship Id="rId52" Type="http://schemas.openxmlformats.org/officeDocument/2006/relationships/hyperlink" Target="https://www.who.int/news-room/fact-sheets/detail/disability-and-health" TargetMode="External"/><Relationship Id="rId53" Type="http://schemas.openxmlformats.org/officeDocument/2006/relationships/hyperlink" Target="https://www.who.int/publications/i/item/9789240049451" TargetMode="External"/><Relationship Id="rId54" Type="http://schemas.openxmlformats.org/officeDocument/2006/relationships/hyperlink" Target="https://www.w3.org/TR/epub-a11y-11/" TargetMode="External"/><Relationship Id="rId55" Type="http://schemas.openxmlformats.org/officeDocument/2006/relationships/hyperlink" Target="https://www.w3.org/TR/WCAG22/" TargetMode="External"/><Relationship Id="rId56" Type="http://schemas.openxmlformats.org/officeDocument/2006/relationships/hyperlink" Target="https://doi.org/10.1371/journal.pbio.3002184" TargetMode="External"/><Relationship Id="rId57" Type="http://schemas.openxmlformats.org/officeDocument/2006/relationships/hyperlink" Target="https://doi.org/10.18653/v1/2023.emnlp-main.614" TargetMode="External"/><Relationship Id="rId58" Type="http://schemas.openxmlformats.org/officeDocument/2006/relationships/hyperlink" Target="https://doi.org/10.1162/tacl_a_00615" TargetMode="External"/><Relationship Id="rId59" Type="http://schemas.openxmlformats.org/officeDocument/2006/relationships/hyperlink" Target="https://doi.org/10.1162/coli_a_00446" TargetMode="External"/><Relationship Id="rId60" Type="http://schemas.openxmlformats.org/officeDocument/2006/relationships/hyperlink" Target="https://ddd.uab.cat/pub/tradumatica/tradumatica_a2014n12/tradumatica_a2014n12p455.pdf" TargetMode="External"/><Relationship Id="rId61" Type="http://schemas.openxmlformats.org/officeDocument/2006/relationships/hyperlink" Target="https://doi.org/10.1038/s41586-024-07335-x" TargetMode="External"/><Relationship Id="rId62" Type="http://schemas.openxmlformats.org/officeDocument/2006/relationships/hyperlink" Target="https://doi.org/10.52202/075280-1608" TargetMode="External"/><Relationship Id="rId63" Type="http://schemas.openxmlformats.org/officeDocument/2006/relationships/hyperlink" Target="https://www.routledge.com/Bayesian-Data-Analysis/Gelman-Carlin-Stern-Dunson-Vehtari-Rubin/p/book/9781439840955" TargetMode="External"/><Relationship Id="rId64" Type="http://schemas.openxmlformats.org/officeDocument/2006/relationships/hyperlink" Target="https://doi.org/10.1111/j.1468-0262.2004.00555.x" TargetMode="External"/><Relationship Id="rId65" Type="http://schemas.openxmlformats.org/officeDocument/2006/relationships/hyperlink" Target="https://doi.org/10.1002/9781119482260" TargetMode="External"/><Relationship Id="rId66" Type="http://schemas.openxmlformats.org/officeDocument/2006/relationships/hyperlink" Target="https://link.springer.com/book/10.1007/b97478" TargetMode="External"/><Relationship Id="rId67" Type="http://schemas.openxmlformats.org/officeDocument/2006/relationships/hyperlink" Target="https://doi.org/10.1111/mbe.12386" TargetMode="External"/><Relationship Id="rId68" Type="http://schemas.openxmlformats.org/officeDocument/2006/relationships/hyperlink" Target="https://doi.org/10.3389/fpsyg.2015.00348" TargetMode="External"/><Relationship Id="rId69" Type="http://schemas.openxmlformats.org/officeDocument/2006/relationships/hyperlink" Target="https://doi.org/10.1016/j.actpsy.2021.103456" TargetMode="External"/><Relationship Id="rId70" Type="http://schemas.openxmlformats.org/officeDocument/2006/relationships/hyperlink" Target="https://doi.org/10.1007/s10649-005-9016-y" TargetMode="External"/><Relationship Id="rId71" Type="http://schemas.openxmlformats.org/officeDocument/2006/relationships/hyperlink" Target="https://doi.org/10.1016/j.learninstruc.2018.04.010" TargetMode="External"/><Relationship Id="rId72" Type="http://schemas.openxmlformats.org/officeDocument/2006/relationships/hyperlink" Target="https://doi.org/10.1111/jcal.12426" TargetMode="External"/><Relationship Id="rId73" Type="http://schemas.openxmlformats.org/officeDocument/2006/relationships/hyperlink" Target="https://doi.org/10.1016/S0010-0277(00)00108-6" TargetMode="External"/><Relationship Id="rId74" Type="http://schemas.openxmlformats.org/officeDocument/2006/relationships/hyperlink" Target="https://doi.org/10.1017/S1366728917000530" TargetMode="External"/><Relationship Id="rId75" Type="http://schemas.openxmlformats.org/officeDocument/2006/relationships/hyperlink" Target="https://doi.org/10.1080/08957347.2013.824451" TargetMode="External"/><Relationship Id="rId76" Type="http://schemas.openxmlformats.org/officeDocument/2006/relationships/hyperlink" Target="https://doi.org/10.1080/13670050.2017.1373742" TargetMode="External"/><Relationship Id="rId77" Type="http://schemas.openxmlformats.org/officeDocument/2006/relationships/hyperlink" Target="https://doi.org/10.1007/s40753-018-0077-6" TargetMode="External"/><Relationship Id="rId78" Type="http://schemas.openxmlformats.org/officeDocument/2006/relationships/hyperlink" Target="https://aclanthology.org/W12-5001/" TargetMode="External"/><Relationship Id="rId79" Type="http://schemas.openxmlformats.org/officeDocument/2006/relationships/hyperlink" Target="https://doi.org/10.1080/14790718.2017.1350185" TargetMode="External"/><Relationship Id="rId80" Type="http://schemas.openxmlformats.org/officeDocument/2006/relationships/hyperlink" Target="https://doi.org/10.1504/IJEG.2019.10017091" TargetMode="External"/><Relationship Id="rId81" Type="http://schemas.openxmlformats.org/officeDocument/2006/relationships/hyperlink" Target="https://catalogapi.nso.go.th/api/doc/department/D10/SD10_04/SD10_04_165_2.pdf" TargetMode="External"/><Relationship Id="rId82" Type="http://schemas.openxmlformats.org/officeDocument/2006/relationships/hyperlink" Target="https://ws.dgbas.gov.tw/001/Upload/463/relfile/11065/230300/t006.xlsx" TargetMode="External"/><Relationship Id="rId83" Type="http://schemas.openxmlformats.org/officeDocument/2006/relationships/hyperlink" Target="https://www.unhcr.org/global-trends" TargetMode="External"/><Relationship Id="rId84" Type="http://schemas.openxmlformats.org/officeDocument/2006/relationships/hyperlink" Target="https://www.unhcr.org/mid-year-trends" TargetMode="External"/><Relationship Id="rId85" Type="http://schemas.openxmlformats.org/officeDocument/2006/relationships/hyperlink" Target="https://openstax.org/subjec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Allocating AI Compute for Global Educational Access</dc:title>
  <dc:subject>Evidence-bound methods for language, stage, subject, and accessibility allocation</dc:subject>
  <dc:creator/>
  <cp:keywords>educational access; language; open educational resources; AI compute</cp:keywords>
  <dc:description>Built from PAPER.md using the narrative_proposal design preset.</dc:description>
  <cp:lastModifiedBy/>
  <cp:revision>1</cp:revision>
  <dcterms:created xsi:type="dcterms:W3CDTF">2026-09-01T00:00:00Z</dcterms:created>
  <dcterms:modified xsi:type="dcterms:W3CDTF">2026-09-01T00:00:00Z</dcterms:modified>
  <cp:category>Research report</cp:category>
  <cp:version>from_scratch_20260901</cp:version>
  <cp:contentStatus>Draft for deterministic QA</cp:contentStatus>
</cp:coreProperties>
</file>