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360"/>
        <w:jc w:val="center"/>
      </w:pPr>
      <w:r>
        <w:rPr>
          <w:rFonts w:ascii="Calibri" w:hAnsi="Calibri" w:eastAsia="Calibri" w:cs="Calibri"/>
          <w:b/>
          <w:color w:val="8A6A12"/>
          <w:sz w:val="21"/>
        </w:rPr>
        <w:t>RESEARCH REPORT</w:t>
      </w:r>
    </w:p>
    <w:p>
      <w:pPr>
        <w:pStyle w:val="Title"/>
        <w:widowControl/>
      </w:pPr>
      <w:r>
        <w:rPr>
          <w:color w:val="000000"/>
        </w:rPr>
        <w:t>Allocating AI assisted educational publishing for greater access</w:t>
      </w:r>
    </w:p>
    <w:p>
      <w:pPr>
        <w:pStyle w:val="Subtitle"/>
        <w:widowControl/>
      </w:pPr>
      <w:r>
        <w:rPr>
          <w:color w:val="000000"/>
        </w:rPr>
        <w:t>Evidence bound methods for language stage subject and accessibility allocation</w:t>
      </w:r>
    </w:p>
    <w:p>
      <w:pPr>
        <w:widowControl/>
        <w:spacing w:before="200" w:after="1440"/>
        <w:jc w:val="center"/>
      </w:pPr>
      <w:r>
        <w:rPr>
          <w:rFonts w:ascii="Calibri" w:hAnsi="Calibri" w:eastAsia="Calibri" w:cs="Calibri"/>
          <w:i/>
          <w:color w:val="8A6A12"/>
          <w:sz w:val="21"/>
        </w:rPr>
        <w:t>A global portfolio model for language, shared-core, accessibility, and open-curriculum decisions</w:t>
      </w:r>
    </w:p>
    <w:p>
      <w:pPr>
        <w:widowControl/>
        <w:jc w:val="center"/>
      </w:pPr>
      <w:r>
        <w:t>Working snapshot 0.7.0 - 7 September 2026</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color w:val="000000"/>
        </w:rPr>
        <w:t>Abstract</w:t>
      </w:r>
    </w:p>
    <w:p>
      <w:pPr>
        <w:widowControl/>
        <w:jc w:val="left"/>
      </w:pPr>
      <w:r>
        <w:t>AI-assisted translation can expand educational access when it moves complete material into a language, register and format that people can actually use. This working paper asks how a fixed production-compute budget can create the largest additional functional educational understanding. It does not rank the worth of languages or communities. The analysis first estimates who may be reached without deleting under-researched communities, then compares concrete language × stage × subject × package × format interventions on compatible educational endpoints. Under the disclosed common missing-data assumption, the largest displayed non-English reach opportunities begin with Simplified Standard Written Chinese, Hindi, Spanish, Arabic, French, Urdu, Bangla, Portuguese, Indonesian and Russian. Simplified Standard Written Chinese is the first proposed writing profile for the Mandarin row, not a claim that all Sinitic communities use one edition. English is also an access target: ordinary English use does not establish comfortable independent use of academic English, so adult register-to-register translations remain a separate, currently unmeasured global opportunity.</w:t>
      </w:r>
    </w:p>
    <w:p>
      <w:pPr>
        <w:widowControl/>
        <w:jc w:val="left"/>
      </w:pPr>
      <w:r>
        <w:t>The paper compares language, subject, educational stage and delivery format from early learning through research. It retains every language when evidence is missing, separates population plausibly helped from learning effect and production cost, and gives no automatic coverage credit to a colonial, national, prestige or geopolitically coercive language. Initial source comparisons identify substantial foundational and secondary opportunities, research-stage language burdens, accessibility needs, and distinct routes for signed, displaced, local-language and independent learners. The new register-translation method preserves every proposition, definition, quantifier, proof dependency, number, citation and uncertainty marker while changing how the content is expressed for a specified adult audience. The worldwide synthesis is ongoing and non-exhaustive; missing evidence is a research obligation, never evidence of low need. The current allocation work has two levels: a 775-edition fixed-package budget calculation, and a nine-route PISA-context workload sensitivity. The latter is not an observed effect or a funding order. Together they show how a stated workload budget can be allocated under explicit scenarios while leaving the unknown educational effect visible.</w:t>
      </w:r>
    </w:p>
    <w:p>
      <w:pPr>
        <w:pStyle w:val="Heading1"/>
        <w:widowControl/>
      </w:pPr>
      <w:r>
        <w:rPr>
          <w:color w:val="000000"/>
        </w:rPr>
        <w:t>Current checkpoint worldwide reach and a fixed package compute proxy</w:t>
      </w:r>
    </w:p>
    <w:p>
      <w:pPr>
        <w:widowControl/>
      </w:pPr>
      <w:r>
        <w:t>The public comparison now contains 775 non-English language-and-script edition profiles rather than a short convenience sample. The first table below shows the first ten of a real 100-row potential-reach table. A separate 100-row table then divides the same reach numerator by the estimated token-event workload for one identical 100,000-source-token text package and one nominal quality target. Stable profile identifiers are never positions.</w:t>
      </w:r>
    </w:p>
    <w:p>
      <w:pPr>
        <w:widowControl/>
      </w:pPr>
      <w:r>
        <w:t>The point seed remains 89.57%, the population-weighted share who did not report English across 17 India Census 2011 C-17 mother-tongue rows: 1,044,314,726 of 1,165,872,176 people. The sensitivity range is 70% to 99%. This is a transparent preservation assumption, not an observed worldwide rate of academic-English access. It keeps an under-researched community visible. Comparable target research replaces it only when audience, educational task, register threshold, stage and material endpoint match.</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885"/>
        <w:gridCol w:w="2913"/>
        <w:gridCol w:w="1979"/>
        <w:gridCol w:w="2583"/>
      </w:tblGrid>
      <w:tr>
        <w:trPr>
          <w:tblHeader w:val="true"/>
          <w:cantSplit w:val="true"/>
        </w:trPr>
        <w:tc>
          <w:tcPr>
            <w:tcW w:type="dxa" w:w="188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291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9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Population point</w:t>
            </w:r>
          </w:p>
        </w:tc>
        <w:tc>
          <w:tcPr>
            <w:tcW w:type="dxa" w:w="258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Plausibly helped at common point</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1.286 billion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1.152 billion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580.3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519.8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507.6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454.7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378.8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339.3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333.0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298.2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313.1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280.4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279.9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250.7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249.5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223.5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248.5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222.6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201.2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180.2 million</w:t>
            </w:r>
          </w:p>
        </w:tc>
      </w:tr>
    </w:tbl>
    <w:p>
      <w:pPr>
        <w:widowControl/>
        <w:spacing w:before="0" w:after="40"/>
      </w:pPr>
    </w:p>
    <w:p>
      <w:pPr>
        <w:widowControl/>
      </w:pPr>
      <w:r>
        <w:t>The Indonesian point retains the direct 2022 BPS estimate of people aged five and older able to understand and produce comprehensible Indonesian; it does not equate oral ability with academic reading or package effect. The other rows use CLDR 48 interface-fluent L1/L2 estimates resolved to likely scripts. CLDR is a locale-planning source, not a complete census of independently usable academic editions. Multilingual, macrolanguage/member and multiscript rows overlap and cannot be summed into a world total.</w:t>
      </w:r>
    </w:p>
    <w:p>
      <w:pPr>
        <w:widowControl/>
      </w:pPr>
      <w:r>
        <w:t>Under the fixed-package workload proxy, the first ten are Simplified Standard Written Chinese, Hindi, Spanish, Arabic, French, Urdu, Portuguese, Indonesian, Bangla and Russian. Indonesian moves from reach position 9 to proxy position 8; Chinese remains first. These positions do not yet measure learning effect, delivery, physical compute, price, shared terminology, accessibility work or overlapping beneficiaries. Fresh-equivalent token events are workload scenarios, not hardware operations, energy, time, money or quality.</w:t>
      </w:r>
    </w:p>
    <w:p>
      <w:pPr>
        <w:widowControl/>
      </w:pPr>
      <w:r>
        <w:t>Ukrainian is present at reach position 62 and fixed-package proxy position 62 under the pinned CLDR layer: 24.1 million interface-fluent users and 21.6 million at the common point. That source omits part of the displaced diaspora, so this is not a final addressable-audience estimate. Russian knowledge receives no automatic coverage credit. Any overlap deduction requires the same material to be technically sufficient, linguistically usable, socially and politically acceptable, accessible, safe and actually available. The same rule applies worldwide to colonial, state, prestige and regional lingua-franca routes.</w:t>
      </w:r>
    </w:p>
    <w:p>
      <w:pPr>
        <w:widowControl/>
      </w:pPr>
      <w:r>
        <w:t xml:space="preserve">The complete two 100-row tables, all 775 rows, exact source and workload bindings, formulas and limitations appear in the appendix </w:t>
      </w:r>
      <w:r>
        <w:rPr>
          <w:rFonts w:ascii="Calibri" w:hAnsi="Calibri" w:eastAsia="Calibri" w:cs="Calibri"/>
          <w:b/>
        </w:rPr>
        <w:t>Worldwide reach and common-package allocation checkpoint</w:t>
      </w:r>
      <w:r>
        <w:t xml:space="preserve"> and in the accompanying CSV and JSON files. They restore the quantitative allocation chain; they do not replace the target-specific educational-effect and physical-compute research still needed.</w:t>
      </w:r>
    </w:p>
    <w:p>
      <w:pPr>
        <w:widowControl/>
        <w:sectPr>
          <w:headerReference w:type="default" r:id="rId11"/>
          <w:footerReference w:type="default" r:id="rId12"/>
          <w:pgSz w:w="12240" w:h="15840"/>
          <w:pgMar w:top="1440" w:right="1440" w:bottom="1440" w:left="1440" w:header="708" w:footer="708" w:gutter="0"/>
          <w:cols w:space="720"/>
          <w:docGrid w:linePitch="360"/>
          <w:pgNumType w:start="1"/>
        </w:sectPr>
      </w:pPr>
    </w:p>
    <w:p>
      <w:pPr>
        <w:pStyle w:val="Heading1"/>
        <w:widowControl/>
        <w:ind w:right="1800" w:left="1800"/>
      </w:pPr>
      <w:r>
        <w:rPr>
          <w:color w:val="000000"/>
        </w:rPr>
        <w:t>Current checkpoint a nine route PISA context workload sensitivity</w:t>
      </w:r>
    </w:p>
    <w:p>
      <w:pPr>
        <w:widowControl/>
        <w:ind w:right="1800" w:left="1800"/>
      </w:pPr>
      <w:r>
        <w:t xml:space="preserve">The catalogue and the worldwide reach screen are not, by themselves, the allocation answer. The allocation question remains active and is answered only for explicitly declared scenario units below. The decision unit is a concrete intervention: one language or register, one educational stage and endpoint, one package and format, one delivery route and one time horizon. The first checked subset in which a common context measure is available contains nine secondary quantitative-catch-up routes. For route </w:t>
      </w:r>
      <w:r>
        <w:rPr>
          <w:rFonts w:ascii="Calibri" w:hAnsi="Calibri" w:eastAsia="Calibri" w:cs="Calibri"/>
          <w:i/>
        </w:rPr>
        <w:t>i</w:t>
      </w:r>
      <w:r>
        <w:t xml:space="preserve">, the current conditional coefficient is </w:t>
      </w:r>
      <w:r>
        <w:rPr>
          <w:rFonts w:ascii="Consolas" w:hAnsi="Consolas" w:eastAsia="Consolas" w:cs="Consolas"/>
          <w:color w:val="31465A"/>
          <w:sz w:val="21"/>
        </w:rPr>
        <w:t>N_i/C_i</w:t>
      </w:r>
      <w:r>
        <w:t xml:space="preserve">, where </w:t>
      </w:r>
      <w:r>
        <w:rPr>
          <w:rFonts w:ascii="Consolas" w:hAnsi="Consolas" w:eastAsia="Consolas" w:cs="Consolas"/>
          <w:color w:val="31465A"/>
          <w:sz w:val="21"/>
        </w:rPr>
        <w:t>N_i</w:t>
      </w:r>
      <w:r>
        <w:t xml:space="preserve"> is a source-defined prevalence or context count and </w:t>
      </w:r>
      <w:r>
        <w:rPr>
          <w:rFonts w:ascii="Consolas" w:hAnsi="Consolas" w:eastAsia="Consolas" w:cs="Consolas"/>
          <w:color w:val="31465A"/>
          <w:sz w:val="21"/>
        </w:rPr>
        <w:t>C_i</w:t>
      </w:r>
      <w:r>
        <w:t xml:space="preserve"> is the audited token-event workload. It is not yet a measure of people helped. Actual additional access per workload is </w:t>
      </w:r>
      <w:r>
        <w:rPr>
          <w:rFonts w:ascii="Consolas" w:hAnsi="Consolas" w:eastAsia="Consolas" w:cs="Consolas"/>
          <w:color w:val="31465A"/>
          <w:sz w:val="21"/>
        </w:rPr>
        <w:t>(N_i/C_i)q_i</w:t>
      </w:r>
      <w:r>
        <w:t xml:space="preserve">, where </w:t>
      </w:r>
      <w:r>
        <w:rPr>
          <w:rFonts w:ascii="Consolas" w:hAnsi="Consolas" w:eastAsia="Consolas" w:cs="Consolas"/>
          <w:color w:val="31465A"/>
          <w:sz w:val="21"/>
        </w:rPr>
        <w:t>q_i</w:t>
      </w:r>
      <w:r>
        <w:t xml:space="preserve"> is the still-unmeasured average net probability that a person in that context gains the specified endpoint because of the intervention.</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293"/>
        <w:gridCol w:w="2012"/>
        <w:gridCol w:w="2503"/>
        <w:gridCol w:w="3257"/>
        <w:gridCol w:w="2895"/>
      </w:tblGrid>
      <w:tr>
        <w:trPr>
          <w:tblHeader w:val="true"/>
          <w:cantSplit w:val="true"/>
        </w:trPr>
        <w:tc>
          <w:tcPr>
            <w:tcW w:type="dxa" w:w="22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Route</w:t>
            </w:r>
          </w:p>
        </w:tc>
        <w:tc>
          <w:tcPr>
            <w:tcW w:type="dxa" w:w="20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Context count </w:t>
            </w:r>
            <w:r>
              <w:rPr>
                <w:rFonts w:ascii="Calibri" w:hAnsi="Calibri" w:eastAsia="Calibri" w:cs="Calibri"/>
                <w:b/>
                <w:color w:val="31465A"/>
                <w:sz w:val="16"/>
              </w:rPr>
              <w:t>N</w:t>
            </w:r>
          </w:p>
        </w:tc>
        <w:tc>
          <w:tcPr>
            <w:tcW w:type="dxa" w:w="25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Point token-event workload </w:t>
            </w:r>
            <w:r>
              <w:rPr>
                <w:rFonts w:ascii="Calibri" w:hAnsi="Calibri" w:eastAsia="Calibri" w:cs="Calibri"/>
                <w:b/>
                <w:color w:val="31465A"/>
                <w:sz w:val="16"/>
              </w:rPr>
              <w:t>C</w:t>
            </w:r>
          </w:p>
        </w:tc>
        <w:tc>
          <w:tcPr>
            <w:tcW w:type="dxa" w:w="32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Conditional coefficient per million token events if </w:t>
            </w:r>
            <w:r>
              <w:rPr>
                <w:rFonts w:ascii="Calibri" w:hAnsi="Calibri" w:eastAsia="Calibri" w:cs="Calibri"/>
                <w:b/>
                <w:color w:val="31465A"/>
                <w:sz w:val="16"/>
              </w:rPr>
              <w:t>q=1</w:t>
            </w:r>
          </w:p>
        </w:tc>
        <w:tc>
          <w:tcPr>
            <w:tcW w:type="dxa" w:w="289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color w:val="31465A"/>
                <w:sz w:val="16"/>
              </w:rPr>
              <w:t>q</w:t>
            </w:r>
            <w:r>
              <w:rPr>
                <w:rFonts w:ascii="Calibri" w:hAnsi="Calibri" w:eastAsia="Calibri" w:cs="Calibri"/>
                <w:b/>
                <w:sz w:val="16"/>
              </w:rPr>
              <w:t xml:space="preserve"> relative to Indonesian required to lead</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Indonesian</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3,095,344</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1,342,749</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2,305,230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1.00×</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Brazilian Portuguese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1,660,603</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1,331,473</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1,247,193</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1.85×</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Filipino</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1,498,419</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1,574,846</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951,470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2.42×</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Thai</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412,820</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1,677,044</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246,160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9.36×</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Vietnamese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264,513</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1,455,161</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181,776</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12.68×</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Standard Malay, Malaysia</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230,285</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1,574,846</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146,227</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15.76×</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Japanese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122,172</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1,533,971</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79,644</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28.94×</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Central Khmer</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111,241</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2,318,470</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47,980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48.05×</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Ukrainian</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70,228</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1,576,517</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44,546</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51.75×</w:t>
            </w:r>
          </w:p>
        </w:tc>
      </w:tr>
    </w:tbl>
    <w:p>
      <w:pPr>
        <w:widowControl/>
        <w:spacing w:before="0" w:after="40"/>
      </w:pPr>
    </w:p>
    <w:p>
      <w:pPr>
        <w:widowControl/>
        <w:ind w:right="1800" w:left="1800"/>
      </w:pPr>
      <w:r>
        <w:t xml:space="preserve">This is a conditional comparison, not a claim that Indonesian currently has the largest real effect. For example, Brazilian Portuguese exceeds Indonesian if its target-specific </w:t>
      </w:r>
      <w:r>
        <w:rPr>
          <w:rFonts w:ascii="Consolas" w:hAnsi="Consolas" w:eastAsia="Consolas" w:cs="Consolas"/>
          <w:color w:val="31465A"/>
          <w:sz w:val="21"/>
        </w:rPr>
        <w:t>q</w:t>
      </w:r>
      <w:r>
        <w:t xml:space="preserve"> is more than about 1.85 times as large; Filipino does so above about 2.42 times. Those ratios are reversal-threshold sensitivities, not value-of-information estimates or a measurement-priority ranking: no prior, measurement likelihood, decision utility or measurement cost has been specified. Thai, Vietnamese, Standard Malay, Japanese, Central Khmer and Ukrainian remain possible outrankers if their target-specific net yields are sufficiently higher. The thresholds show exactly how much the unknown effect would have to differ; they do not rank people or entitlement to educational material.</w:t>
      </w:r>
    </w:p>
    <w:p>
      <w:pPr>
        <w:widowControl/>
        <w:ind w:right="1800" w:left="1800"/>
      </w:pPr>
      <w:r>
        <w:t>The effect term is being bound through six observable stages: exact-audience fit, reach, acquisition, practical usability, active use and endpoint gain, minus any endpoint loss. This factorization is a measurement plan, not an independence assumption; a directly comparable intent-to-treat estimate would replace the product. Every component is currently recorded as unmeasured rather than zero. Fifteen routes with numeric context remain in the frontier; six use different endpoints and are retained without being forced into this cross-ranking. All 1,022 candidate routes remain possible outrankers.</w:t>
      </w:r>
    </w:p>
    <w:p>
      <w:pPr>
        <w:widowControl/>
        <w:ind w:right="1800" w:left="1800"/>
      </w:pPr>
      <w:r>
        <w:t>Token-event workload is still not physical compute. Provider accelerator work cannot be recovered from cached-input, fresh-input, output-token, elapsed-time or price counters. The final denominator will therefore use a declared reference replay: accelerator-seconds per accepted package plus full-system joules, under cold-isolated and stated operational scenarios. Until that replay exists, the physical-compute field is explicitly unidentified.</w:t>
      </w:r>
    </w:p>
    <w:p>
      <w:pPr>
        <w:widowControl/>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widowControl/>
      </w:pPr>
      <w:r>
        <w:rPr>
          <w:color w:val="000000"/>
        </w:rPr>
        <w:t>Current checkpoint academic English is also a translation target</w:t>
      </w:r>
    </w:p>
    <w:p>
      <w:pPr>
        <w:widowControl/>
      </w:pPr>
      <w:r>
        <w:t xml:space="preserve">The English source population is 1.5 billion in the same rounded source, but the share unable to use academic English for a specified task is not measured globally. The honest expression is therefore </w:t>
      </w:r>
      <w:r>
        <w:rPr>
          <w:rFonts w:ascii="Calibri" w:hAnsi="Calibri" w:eastAsia="Calibri" w:cs="Calibri"/>
          <w:b/>
        </w:rPr>
        <w:t>1.5 billion multiplied by q for the relevant academic-register mismatch</w:t>
      </w:r>
      <w:r>
        <w:t>. English-first-language identity, conversational English, years of schooling, or conformity to British or American prestige norms cannot set that mismatch to zero.</w:t>
      </w:r>
    </w:p>
    <w:p>
      <w:pPr>
        <w:widowControl/>
      </w:pPr>
      <w:r>
        <w:t>The governing premise is a sufficiently plausible access thesis, not a go/no-go hypothesis: inherited command of academic register is one institutionally distributed advantage, and any credible nonzero educational benefit makes a source-faithful adult register edition eligible. Research determines how the translation should be designed, checked, measured and revised. It may not turn correlations among schooling, family education, income, test performance, language exposure or attainment into claims of innate capability or reasons to withhold translation.</w:t>
      </w:r>
    </w:p>
    <w:p>
      <w:pPr>
        <w:widowControl/>
      </w:pPr>
      <w:r>
        <w:t xml:space="preserve">The method is </w:t>
      </w:r>
      <w:r>
        <w:rPr>
          <w:rFonts w:ascii="Calibri" w:hAnsi="Calibri" w:eastAsia="Calibri" w:cs="Calibri"/>
          <w:b/>
        </w:rPr>
        <w:t>full-content diaphasic intralingual translation</w:t>
      </w:r>
      <w:r>
        <w:t>: translation between registers within English for a declared adult audience. It is not abridgment, remediation, child-directed explanation, or replacement of the original. The target may be longer. It may unpack dense grammar, define terms, split overloaded sentences, make logical relations explicit, resolve references, reorder with tracked dependencies, and add clearly labeled examples or background. It may not omit, generalize, silently strengthen or weaken, or substitute intuition for a proof.</w:t>
      </w:r>
    </w:p>
    <w:p>
      <w:pPr>
        <w:widowControl/>
      </w:pPr>
      <w:r>
        <w:t>There is no single universal Plain English. The current design distinguishes at least international/ELF-friendly adult English, educated non-specialist English, profession-adjacent novice English, localized adult Englishes, an academic-convention companion, and separately commissioned accessibility editions. Every version preserves the same protected content while making different lexical, grammatical, pragmatic and navigation choices.</w:t>
      </w:r>
    </w:p>
    <w:p>
      <w:pPr>
        <w:widowControl/>
      </w:pPr>
      <w:r>
        <w:t>The evidence is supportive but appropriately bounded. Parent education and socioeconomic position are associated with unequal educational trajectories; qualitative work documents tacit institutional discourse and hidden rules; academic-language knowledge predicts reading comprehension in several school samples; experiments show that jargon and document design can change processing or understanding; and one randomized university intervention found that making background-linked challenges and navigation strategies explicit improved first-generation outcomes. No identified study tests the complete chain from parent education through full-content register translation to long-run attainment. That gap defines what to measure; it does not veto the intervention.</w:t>
      </w:r>
    </w:p>
    <w:p>
      <w:pPr>
        <w:widowControl/>
      </w:pPr>
      <w:r>
        <w:t>Ordinary text simplification is not an adequate production objective. One document-level dataset reports deletion as 44% of sampled operations, and factuality studies show omissions and unsupported additions that common metrics miss. This project therefore requires bidirectional source-target claim alignment and zero critical errors for definitions, propositions, quantifiers, conditions, numbers, formulas, proof dependencies, cross-references, attribution and epistemic status. Readability and similarity scores are alarms, not proof of fidelity.</w:t>
      </w:r>
    </w:p>
    <w:p>
      <w:pPr>
        <w:widowControl/>
      </w:pPr>
      <w:r>
        <w:t xml:space="preserve">The full evidence synthesis, 42-source register, six target profiles, 13 protected content classes and 20-step production workflow are published in </w:t>
      </w:r>
      <w:r>
        <w:rPr>
          <w:rFonts w:ascii="Calibri" w:hAnsi="Calibri" w:eastAsia="Calibri" w:cs="Calibri"/>
          <w:color w:val="2E74B5"/>
          <w:u w:val="single"/>
        </w:rPr>
        <w:t>ACADEMIC_REGISTER_TRANSLATION_RESEARCH_v1.md</w:t>
      </w:r>
      <w:r>
        <w:t xml:space="preserve">. The anti-hegemony model and deterministic counterfactual tests are published in </w:t>
      </w:r>
      <w:r>
        <w:rPr>
          <w:rFonts w:ascii="Calibri" w:hAnsi="Calibri" w:eastAsia="Calibri" w:cs="Calibri"/>
          <w:color w:val="2E74B5"/>
          <w:u w:val="single"/>
        </w:rPr>
        <w:t>HEGEMONY_BIAS_AUDIT_v1.md</w:t>
      </w:r>
      <w:r>
        <w:t>.</w:t>
      </w:r>
    </w:p>
    <w:p>
      <w:pPr>
        <w:pStyle w:val="Heading1"/>
        <w:widowControl/>
      </w:pPr>
      <w:r>
        <w:rPr>
          <w:color w:val="000000"/>
        </w:rPr>
        <w:t>1 Research question</w:t>
      </w:r>
    </w:p>
    <w:p>
      <w:pPr>
        <w:widowControl/>
      </w:pPr>
      <w:r>
        <w:t>Which educational publications could create the greatest additional usable access per standardized unit of AI production effort? The relevant decision is not simply which language has the most speakers. It is which material, in which language or shared register, would help which learners do something educationally valuable that their existing options do not adequately support.</w:t>
      </w:r>
    </w:p>
    <w:p>
      <w:pPr>
        <w:widowControl/>
      </w:pPr>
      <w:r>
        <w:t>Education includes preschool and school learning, vocational development, university study and research. A mathematical research text can be an important educational resource even when few school learners need it. Equally, a technically advanced translation does not address missing early arithmetic. The analysis therefore keeps stages and learning tasks explicit instead of assigning each language one universal need score.</w:t>
      </w:r>
    </w:p>
    <w:p>
      <w:pPr>
        <w:widowControl/>
      </w:pPr>
      <w:r>
        <w:t xml:space="preserve">Throughout the paper, the stage codes are </w:t>
      </w:r>
      <w:r>
        <w:rPr>
          <w:rFonts w:ascii="Calibri" w:hAnsi="Calibri" w:eastAsia="Calibri" w:cs="Calibri"/>
          <w:b/>
        </w:rPr>
        <w:t>P</w:t>
      </w:r>
      <w:r>
        <w:t xml:space="preserve"> for preschool/early childhood, </w:t>
      </w:r>
      <w:r>
        <w:rPr>
          <w:rFonts w:ascii="Calibri" w:hAnsi="Calibri" w:eastAsia="Calibri" w:cs="Calibri"/>
          <w:b/>
        </w:rPr>
        <w:t>F</w:t>
      </w:r>
      <w:r>
        <w:t xml:space="preserve"> for foundational/primary, </w:t>
      </w:r>
      <w:r>
        <w:rPr>
          <w:rFonts w:ascii="Calibri" w:hAnsi="Calibri" w:eastAsia="Calibri" w:cs="Calibri"/>
          <w:b/>
        </w:rPr>
        <w:t>S</w:t>
      </w:r>
      <w:r>
        <w:t xml:space="preserve"> for secondary, </w:t>
      </w:r>
      <w:r>
        <w:rPr>
          <w:rFonts w:ascii="Calibri" w:hAnsi="Calibri" w:eastAsia="Calibri" w:cs="Calibri"/>
          <w:b/>
        </w:rPr>
        <w:t>V</w:t>
      </w:r>
      <w:r>
        <w:t xml:space="preserve"> for vocational/practical, </w:t>
      </w:r>
      <w:r>
        <w:rPr>
          <w:rFonts w:ascii="Calibri" w:hAnsi="Calibri" w:eastAsia="Calibri" w:cs="Calibri"/>
          <w:b/>
        </w:rPr>
        <w:t>U</w:t>
      </w:r>
      <w:r>
        <w:t xml:space="preserve"> for university or taught tertiary, and </w:t>
      </w:r>
      <w:r>
        <w:rPr>
          <w:rFonts w:ascii="Calibri" w:hAnsi="Calibri" w:eastAsia="Calibri" w:cs="Calibri"/>
          <w:b/>
        </w:rPr>
        <w:t>R</w:t>
      </w:r>
      <w:r>
        <w:t xml:space="preserve"> for postgraduate/research. They identify different educational uses; they are not grades, scores or a priority order.</w:t>
      </w:r>
    </w:p>
    <w:p>
      <w:pPr>
        <w:widowControl/>
      </w:pPr>
      <w:r>
        <w:t>Autonomous learners are a central audience. The availability of teachers, uninterrupted internet, expensive software or institutional subscriptions is not assumed. Downloadable, phone-readable material with prerequisites, exercises, answers and usable navigation can offer a different route from classroom instruction. Classroom use, independent study and research/reference use are analyzed as distinct, potentially overlapping endpoints.</w:t>
      </w:r>
    </w:p>
    <w:p>
      <w:pPr>
        <w:widowControl/>
      </w:pPr>
      <w:r>
        <w:t>The unit is an intervention: a specified population and language/variety/script profile, a defined educational package, a format and a time horizon. A multilingual learner may have several viable routes. Those alternatives are compared without counting the learner repeatedly in a combined portfolio.</w:t>
      </w:r>
    </w:p>
    <w:p>
      <w:pPr>
        <w:pStyle w:val="Heading1"/>
        <w:widowControl/>
      </w:pPr>
      <w:r>
        <w:rPr>
          <w:color w:val="000000"/>
        </w:rPr>
        <w:t>2 What counts as additional access</w:t>
      </w:r>
    </w:p>
    <w:p>
      <w:pPr>
        <w:widowControl/>
      </w:pPr>
      <w:r>
        <w:t>For a specified educational task, additional access is the difference between what learners can use with the intervention and what they could use otherwise. A file's existence is not proof that everyone has access to it. Conversely, failure to find a title on one website is not proof that an entire language lacks educational resources.</w:t>
      </w:r>
    </w:p>
    <w:p>
      <w:pPr>
        <w:widowControl/>
      </w:pPr>
      <w:r>
        <w:t>Open licensing is important because it enables lawful translation, adaptation and redistribution without charging each learner or institution. Price, independent-download access, device compatibility and permission to adapt are separate attributes. A free-to-view video, a reusable textbook and a complete offline course are different resources. Existing paid or institutionally restricted material may serve some people while leaving substantial unmet need among others.</w:t>
      </w:r>
    </w:p>
    <w:p>
      <w:pPr>
        <w:widowControl/>
      </w:pPr>
      <w:r>
        <w:t>The programme used as a case study does not change the estimated educational needs of a language community. Its local files, completed translations, recent publication counts or sunk production effort are not inputs to global need, eligibility or priority. The research concerns the world's educational opportunities, not a schedule of what one project should do next.</w:t>
      </w:r>
    </w:p>
    <w:p>
      <w:pPr>
        <w:pStyle w:val="Heading1"/>
        <w:widowControl/>
      </w:pPr>
      <w:r>
        <w:rPr>
          <w:color w:val="000000"/>
        </w:rPr>
        <w:t>3 Evidence and comparison method</w:t>
      </w:r>
    </w:p>
    <w:p>
      <w:pPr>
        <w:pStyle w:val="Heading2"/>
        <w:widowControl/>
      </w:pPr>
      <w:r>
        <w:rPr>
          <w:color w:val="000000"/>
        </w:rPr>
        <w:t>3 1 Population and inclusion</w:t>
      </w:r>
    </w:p>
    <w:p>
      <w:pPr>
        <w:widowControl/>
      </w:pPr>
      <w:r>
        <w:t>The candidate universe starts with the frozen Glottolog language-level register and overlays exact varieties, scripts, signing communities, displaced populations, accessibility modes and possible interlanguages. Historical and unresolved entries remain traceable with their appropriate interpretation. Registry membership is not itself proof of a current speaker population, and a macro-language is not automatically an intelligible edition for each constituent community.</w:t>
      </w:r>
    </w:p>
    <w:p>
      <w:pPr>
        <w:widowControl/>
      </w:pPr>
      <w:r>
        <w:t>Population evidence preserves the construct a source actually measures: mother tongue, home language, additional-language use, literacy or technical reading. These cannot be substituted without explanation. Historical counts retain their dates; cross-year projections or cross-source combinations are explicit inferences. National totals may constrain a resident subset when the relationship is defensible, but do not bound an entire worldwide diaspora.</w:t>
      </w:r>
    </w:p>
    <w:p>
      <w:pPr>
        <w:widowControl/>
      </w:pPr>
      <w:r>
        <w:t>Missing evidence does not remove a community or assign it zero need. A related educational system can motivate a hypothesis and, where its mechanism is supported, a bounded inference. It does not automatically supply the same population, need rate or rank. The analysis records both expected candidates and unexpected possible contenders.</w:t>
      </w:r>
    </w:p>
    <w:p>
      <w:pPr>
        <w:pStyle w:val="Heading2"/>
        <w:widowControl/>
      </w:pPr>
      <w:r>
        <w:rPr>
          <w:color w:val="000000"/>
        </w:rPr>
        <w:t>3 2 Need benefit and cost</w:t>
      </w:r>
    </w:p>
    <w:p>
      <w:pPr>
        <w:widowControl/>
      </w:pPr>
      <w:r>
        <w:t>Let B describe a specified population with a stated educational need. Let q describe its average net change in usable access, relative to independent existing options, for a specified task and time horizon. With access normalized between zero and one, q lies between −1 and 1. The simplest common-endpoint net benefit is Bq. Both components may vary across subgroups; the general analysis sums over mutually exclusive learner strata.</w:t>
      </w:r>
    </w:p>
    <w:p>
      <w:pPr>
        <w:widowControl/>
      </w:pPr>
      <w:r>
        <w:t>Net change is not the same as the gross number newly gaining access. For binary access, q equals the share gaining access minus the share losing it. A nonnegative scenario explicitly assumes no access losses; their absence is not established by missing evidence. An optional additional resource can motivate that assumption for availability when existing routes remain intact, but it does not establish a nonnegative effect on learning. Being below a proficiency benchmark also does not mean a learner had no usable resources beforehand.</w:t>
      </w:r>
    </w:p>
    <w:p>
      <w:pPr>
        <w:widowControl/>
      </w:pPr>
      <w:r>
        <w:t>Benefit per standardized production cost is Bq/C. A large B can coexist with modest benefit per person. A smaller population can justify a high-value intervention because its unmet need, language fit or practical delivery is different. The analysis reports these components separately.</w:t>
      </w:r>
    </w:p>
    <w:p>
      <w:pPr>
        <w:widowControl/>
      </w:pPr>
      <w:r>
        <w:t>When q is not measured, useful conditional comparisons remain possible. For positive population and cost terms and q_B&gt;0, intervention A exceeds B on a matched endpoint when q_A/q_B exceeds (B_B/B_A)(C_A/C_B). Otherwise the analysis compares B_A q_A C_B with B_B q_B C_A directly, preserving signed and zero effects. This identifies what would have to be true for one option to be more efficient. It does not disguise an assumed common yield as an empirical estimate.</w:t>
      </w:r>
    </w:p>
    <w:p>
      <w:pPr>
        <w:widowControl/>
      </w:pPr>
      <w:r>
        <w:t xml:space="preserve">Language-of-instruction evidence supplies mechanisms for the q decomposition but not a universal translation effect. The World Bank's cross-country synthesis reports that nearly 37% of students in low- and middle-income countries are taught in a language they do not understand, and links language-of-instruction policy to learning, access, equity, cost-effectiveness and inclusion. UNESCO's mother-tongue-based bilingual-education synthesis identifies language status, instructional quality, access, inclusion, family and community conditions, and political and economic context as moderators. In this study those findings justify measuring audience fit, usable acquisition, exposure, endpoint gain and possible loss separately; they do not turn a cross-country prevalence estimate into people helped by a particular edition. The World Bank source PDF is preserved in </w:t>
      </w:r>
      <w:r>
        <w:rPr>
          <w:rFonts w:ascii="Consolas" w:hAnsi="Consolas" w:eastAsia="Consolas" w:cs="Consolas"/>
          <w:color w:val="31465A"/>
          <w:sz w:val="21"/>
        </w:rPr>
        <w:t>sources/language_instruction/WORLD_BANK_LOUD_AND_CLEAR_2021.pdf</w:t>
      </w:r>
      <w:r>
        <w:t>; the UNESCO report remains URL-bound because its direct PDF endpoint returned a 403 challenge during source acquisition (World Bank, 2021; UNESCO, 2011).</w:t>
      </w:r>
    </w:p>
    <w:p>
      <w:pPr>
        <w:widowControl/>
      </w:pPr>
      <w:r>
        <w:t>Observed data, evidence-based transport and illustrative scenarios are labelled separately. Common priors cannot produce a high-confidence rank. Uncertain comparisons remain visible alongside the information that could change them. The final Top 10 and Top 100 are intended as transparent portfolios with possible alternatives, not an eligibility boundary for everyone outside them.</w:t>
      </w:r>
    </w:p>
    <w:p>
      <w:pPr>
        <w:pStyle w:val="Heading2"/>
        <w:widowControl/>
      </w:pPr>
      <w:r>
        <w:rPr>
          <w:color w:val="000000"/>
        </w:rPr>
        <w:t>3 3 Hypotheses and anomaly investigation</w:t>
      </w:r>
    </w:p>
    <w:p>
      <w:pPr>
        <w:widowControl/>
      </w:pPr>
      <w:r>
        <w:t>Before the next ordering, we record twelve hypotheses and one hundred expected candidate profiles. They predict large additional-language opportunities, school-to-academic-language transitions, stage-specific shortages, useful interlanguage designs, independent-learning routes and displacement-related needs. Initial stage annotations never exclude other stages.</w:t>
      </w:r>
    </w:p>
    <w:p>
      <w:pPr>
        <w:widowControl/>
      </w:pPr>
      <w:r>
        <w:t xml:space="preserve">The initial high-reach expectation includes Indonesian, Hindi, Bangla, Simplified Written Chinese and Urdu, with Telugu, Tamil, Marathi, Hausa and Kiswahili as further strong investigations. This is not a predicted exact order or a guaranteed final ten. The complete </w:t>
      </w:r>
      <w:r>
        <w:rPr>
          <w:rFonts w:ascii="Calibri" w:hAnsi="Calibri" w:eastAsia="Calibri" w:cs="Calibri"/>
          <w:color w:val="2E74B5"/>
          <w:u w:val="single"/>
        </w:rPr>
        <w:t>100-profile forecast</w:t>
      </w:r>
      <w:r>
        <w:t xml:space="preserve"> includes regional, research, signed-language and shared-register candidates; its sections are not priority bands. Profiles outside that forecast remain eligible. The forecast was recorded after earlier analyses, so it is prospective only for the next analysis, not an original preregistration.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088"/>
        <w:gridCol w:w="3088"/>
        <w:gridCol w:w="3184"/>
      </w:tblGrid>
      <w:tr>
        <w:trPr>
          <w:tblHeader w:val="true"/>
          <w:cantSplit w:val="true"/>
        </w:trPr>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Expected pattern</w:t>
            </w:r>
          </w:p>
        </w:tc>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A result that would require investigation</w:t>
            </w:r>
          </w:p>
        </w:tc>
        <w:tc>
          <w:tcPr>
            <w:tcW w:type="dxa" w:w="31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What could legitimately change the expectation?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additional-language audiences make Indonesian and other common educational languages important contenders.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model counts only mother-tongue speakers, or removes a language because a local project translated material.</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Source-specific literacy, educational-stage need and independently usable provision can change a package's expected benefit.</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need found in one Slavic community suggests checking comparable needs elsewhere, including Ukrainian.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is compared while Ukrainian or other relevant communities disappear.</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Different population sizes, interruption of schooling, publication markets or usable alternatives can produce different results. They must be investigated, not assumed.</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School-to-academic-language transitions create opportunities beyond early schooling.</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Regional-language learners vanish because their country has an official academic lingua franca.</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Evidence of comfortable subject access or an equally usable existing package can weaken the proposed intervention.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Established scientific languages can still have specific educational gaps.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 provision removes Japanese, Chinese, English or another language from every stage.</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accessible equivalent can weaken a specific proposed package; it does not answer every other subject and stage.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Formula-rich interlanguages may retain enough benefit to justify their lower shared-production cost.</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design is assigned either zero comprehension or the entire language-family population.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Findings on exact mathematical tasks, scripts, reader preparation and design cost can support or weaken the advantage.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Written-language comparisons miss some signing, displacement and access-format needs.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entire modality or displaced community is absent without an investigated reason.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Actual language routes and task-specific provision can distinguish useful from ineffective packages.</w:t>
            </w:r>
          </w:p>
        </w:tc>
      </w:tr>
    </w:tbl>
    <w:p>
      <w:pPr>
        <w:widowControl/>
        <w:spacing w:before="0" w:after="40"/>
      </w:pPr>
    </w:p>
    <w:p>
      <w:pPr>
        <w:widowControl/>
      </w:pPr>
      <w:r>
        <w:t>An unexpected absence prompts a trace through identity, population, educational need, provision, overlap, cost and implementation. If a rule caused the absence, it is checked across the entire retained candidate-stage universe. For example, a population-data join that excludes one language must be tested against every initially unmeasured language, not patched only for the noticed case. Evidence can justify unequal outcomes; it cannot justify equating missing measurement with no need.</w:t>
      </w:r>
    </w:p>
    <w:p>
      <w:pPr>
        <w:widowControl/>
      </w:pPr>
      <w:r>
        <w:t xml:space="preserve">The </w:t>
      </w:r>
      <w:r>
        <w:rPr>
          <w:rFonts w:ascii="Calibri" w:hAnsi="Calibri" w:eastAsia="Calibri" w:cs="Calibri"/>
          <w:color w:val="2E74B5"/>
          <w:u w:val="single"/>
        </w:rPr>
        <w:t>expectation-versus-investigation table</w:t>
      </w:r>
      <w:r>
        <w:t xml:space="preserve"> exposes the work still missing. In this bounded calculation, 63 of the 100 expected profiles have at least one proposed route and 37 do not; separate shared-register analyses are not counted in those figures. These are investigation counts, not rankings or proportions of educational need covered. All 100 retain preschool, foundation, secondary, vocational, university and research stages. Preschool is an explicit column, not an invisible part of foundation. Source references, proposed designs, identity qualifications and unresolved population estimates are represented separately; none supplies an implicit low rank.</w:t>
      </w:r>
    </w:p>
    <w:p>
      <w:pPr>
        <w:pStyle w:val="Heading2"/>
        <w:widowControl/>
      </w:pPr>
      <w:r>
        <w:rPr>
          <w:color w:val="000000"/>
        </w:rPr>
        <w:t>3 4 Standardized production scenarios</w:t>
      </w:r>
    </w:p>
    <w:p>
      <w:pPr>
        <w:widowControl/>
      </w:pPr>
      <w:r>
        <w:t xml:space="preserve">The currently reusable production model measures token traffic, not physical computing operations, electricity, subscription consumption or money. It combines a declared workflow with recorded tokenization measurements from 1,012 aligned general-domain sentences. Target counts use </w:t>
      </w:r>
      <w:r>
        <w:rPr>
          <w:rFonts w:ascii="Consolas" w:hAnsi="Consolas" w:eastAsia="Consolas" w:cs="Consolas"/>
          <w:color w:val="31465A"/>
          <w:sz w:val="21"/>
        </w:rPr>
        <w:t>o200k_base</w:t>
      </w:r>
      <w:r>
        <w:t xml:space="preserve">; the fixed source reference uses </w:t>
      </w:r>
      <w:r>
        <w:rPr>
          <w:rFonts w:ascii="Consolas" w:hAnsi="Consolas" w:eastAsia="Consolas" w:cs="Consolas"/>
          <w:color w:val="31465A"/>
          <w:sz w:val="21"/>
        </w:rPr>
        <w:t>cl100k_base</w:t>
      </w:r>
      <w:r>
        <w:t>. That mixed reference is explicit and is not a measurement of a contemporary model's actual mathematical-translation workflow.</w:t>
      </w:r>
    </w:p>
    <w:p>
      <w:pPr>
        <w:widowControl/>
      </w:pPr>
      <w:r>
        <w:t xml:space="preserve">For the base text scenario, traffic is approximately </w:t>
      </w:r>
      <w:r>
        <w:rPr>
          <w:rFonts w:ascii="Consolas" w:hAnsi="Consolas" w:eastAsia="Consolas" w:cs="Consolas"/>
          <w:color w:val="31465A"/>
          <w:sz w:val="21"/>
        </w:rPr>
        <w:t>T = S(7.585897 + 4.73R)</w:t>
      </w:r>
      <w:r>
        <w:t>, where S is the source-reference token count and R is the target working-token count divided by the source-reference count. The coefficients describe stipulated production and checking work, not observed learning benefit. Extra model work remains an explicit additional term; rendering, speech and signed-video production require separate resources.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530"/>
        <w:gridCol w:w="5830"/>
      </w:tblGrid>
      <w:tr>
        <w:trPr>
          <w:tblHeader w:val="true"/>
          <w:cantSplit w:val="true"/>
        </w:trPr>
        <w:tc>
          <w:tcPr>
            <w:tcW w:type="dxa" w:w="35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 benchmark</w:t>
            </w:r>
          </w:p>
        </w:tc>
        <w:tc>
          <w:tcPr>
            <w:tcW w:type="dxa" w:w="58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Base-scenario token traffic for 100,000 source-reference tokens</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Indonesian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Bangla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1.559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Urdu</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1.531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1.494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Chinese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1.342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Japanese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Ukrainian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1.577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1.423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Hausa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1.484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Kiswahili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1.453 million</w:t>
            </w:r>
          </w:p>
        </w:tc>
      </w:tr>
    </w:tbl>
    <w:p>
      <w:pPr>
        <w:widowControl/>
        <w:spacing w:before="0" w:after="40"/>
      </w:pPr>
    </w:p>
    <w:p>
      <w:pPr>
        <w:widowControl/>
      </w:pPr>
      <w:r>
        <w:t xml:space="preserve">These scenario costs can inform conditional benefit thresholds; they cannot determine a language's need. An unmeasured language retains a symbolic cost or an explicitly labelled predictive scenario, not a penalty or exclusion. General-domain tokenization is also an imperfect transport to mathematics, where shared formulas may change relative expansion. The exact source bindings, coefficients and reconstruction checks are retained in </w:t>
      </w:r>
      <w:r>
        <w:rPr>
          <w:rFonts w:ascii="Consolas" w:hAnsi="Consolas" w:eastAsia="Consolas" w:cs="Consolas"/>
          <w:color w:val="31465A"/>
          <w:sz w:val="21"/>
        </w:rPr>
        <w:t>structured/STANDARDIZED_COMPUTE_REUSE_20260904.json</w:t>
      </w:r>
      <w:r>
        <w:t>; no local programme completion or sunk-compute adjustment enters this model.</w:t>
      </w:r>
    </w:p>
    <w:p>
      <w:pPr>
        <w:pStyle w:val="Heading2"/>
        <w:widowControl/>
      </w:pPr>
      <w:r>
        <w:rPr>
          <w:color w:val="000000"/>
        </w:rPr>
        <w:t>3 5 Complete courses and smaller additions must be compared on the same outcome</w:t>
      </w:r>
    </w:p>
    <w:p>
      <w:pPr>
        <w:widowControl/>
      </w:pPr>
      <w:r>
        <w:t xml:space="preserve">A short companion is not automatically more efficient than a complete course. For the same community and educational outcome, let a smaller package have net additional access </w:t>
      </w:r>
      <w:r>
        <w:rPr>
          <w:rFonts w:ascii="Consolas" w:hAnsi="Consolas" w:eastAsia="Consolas" w:cs="Consolas"/>
          <w:color w:val="31465A"/>
          <w:sz w:val="21"/>
        </w:rPr>
        <w:t>G_s</w:t>
      </w:r>
      <w:r>
        <w:t xml:space="preserve"> and positive cost </w:t>
      </w:r>
      <w:r>
        <w:rPr>
          <w:rFonts w:ascii="Consolas" w:hAnsi="Consolas" w:eastAsia="Consolas" w:cs="Consolas"/>
          <w:color w:val="31465A"/>
          <w:sz w:val="21"/>
        </w:rPr>
        <w:t>C_s</w:t>
      </w:r>
      <w:r>
        <w:t xml:space="preserve">, and a fuller sequence have </w:t>
      </w:r>
      <w:r>
        <w:rPr>
          <w:rFonts w:ascii="Consolas" w:hAnsi="Consolas" w:eastAsia="Consolas" w:cs="Consolas"/>
          <w:color w:val="31465A"/>
          <w:sz w:val="21"/>
        </w:rPr>
        <w:t>G_f</w:t>
      </w:r>
      <w:r>
        <w:t xml:space="preserve"> and positive cost </w:t>
      </w:r>
      <w:r>
        <w:rPr>
          <w:rFonts w:ascii="Consolas" w:hAnsi="Consolas" w:eastAsia="Consolas" w:cs="Consolas"/>
          <w:color w:val="31465A"/>
          <w:sz w:val="21"/>
        </w:rPr>
        <w:t>C_f</w:t>
      </w:r>
      <w:r>
        <w:t xml:space="preserve">. The smaller package has more access per cost only when </w:t>
      </w:r>
      <w:r>
        <w:rPr>
          <w:rFonts w:ascii="Consolas" w:hAnsi="Consolas" w:eastAsia="Consolas" w:cs="Consolas"/>
          <w:color w:val="31465A"/>
          <w:sz w:val="21"/>
        </w:rPr>
        <w:t>G_s × C_f &gt; G_f × C_s</w:t>
      </w:r>
      <w:r>
        <w:t xml:space="preserve">. If both packages address the same potential population and have positive yields, this becomes </w:t>
      </w:r>
      <w:r>
        <w:rPr>
          <w:rFonts w:ascii="Consolas" w:hAnsi="Consolas" w:eastAsia="Consolas" w:cs="Consolas"/>
          <w:color w:val="31465A"/>
          <w:sz w:val="21"/>
        </w:rPr>
        <w:t>q_s/q_f &gt; C_s/C_f</w:t>
      </w:r>
      <w:r>
        <w:t>. Negative or zero effects require the cross-product form rather than that ratio.</w:t>
      </w:r>
    </w:p>
    <w:p>
      <w:pPr>
        <w:widowControl/>
      </w:pPr>
      <w:r>
        <w:t xml:space="preserve">The source scale is no longer represented solely by an arbitrary 100,000-token canon. A bounded measurement of the exact OpenStax </w:t>
      </w:r>
      <w:r>
        <w:rPr>
          <w:rFonts w:ascii="Calibri" w:hAnsi="Calibri" w:eastAsia="Calibri" w:cs="Calibri"/>
          <w:i/>
        </w:rPr>
        <w:t>Prealgebra 2e</w:t>
      </w:r>
      <w:r>
        <w:t xml:space="preserve"> source at commit </w:t>
      </w:r>
      <w:r>
        <w:rPr>
          <w:rFonts w:ascii="Consolas" w:hAnsi="Consolas" w:eastAsia="Consolas" w:cs="Consolas"/>
          <w:color w:val="31465A"/>
          <w:sz w:val="21"/>
        </w:rPr>
        <w:t>38cae454e644abf9f0a623e876994553881597c9</w:t>
      </w:r>
      <w:r>
        <w:t xml:space="preserve"> finds 75 unique CNXML modules across 11 chapters. NFC-normalized text extracted from the learning-content elements contains </w:t>
      </w:r>
      <w:r>
        <w:rPr>
          <w:rFonts w:ascii="Calibri" w:hAnsi="Calibri" w:eastAsia="Calibri" w:cs="Calibri"/>
          <w:b/>
        </w:rPr>
        <w:t>364,270 `cl100k_base` tokens</w:t>
      </w:r>
      <w:r>
        <w:t xml:space="preserve">. A declared six-chapter quantitative sequence-whole numbers, integers, fractions, percents, linear equations and graphs-contains 173,958 tokens, or </w:t>
      </w:r>
      <w:r>
        <w:rPr>
          <w:rFonts w:ascii="Calibri" w:hAnsi="Calibri" w:eastAsia="Calibri" w:cs="Calibri"/>
          <w:b/>
        </w:rPr>
        <w:t>47.8%</w:t>
      </w:r>
      <w:r>
        <w:t xml:space="preserve"> of that measured full source. The fractions chapter contains 41,336 tokens, or </w:t>
      </w:r>
      <w:r>
        <w:rPr>
          <w:rFonts w:ascii="Calibri" w:hAnsi="Calibri" w:eastAsia="Calibri" w:cs="Calibri"/>
          <w:b/>
        </w:rPr>
        <w:t>11.3%</w:t>
      </w:r>
      <w:r>
        <w:t>. These are source representations, not teaching-time, difficulty or learning-effect measurements. The archive excludes media, and text extraction omits mathematical and document structure; tokenizing the complete XML instead gives 2,811,119 tokens because markup and metadata are included (OpenStax, 2026a).</w:t>
      </w:r>
    </w:p>
    <w:p>
      <w:pPr>
        <w:widowControl/>
      </w:pPr>
      <w:r>
        <w:t xml:space="preserve">Under the declared text-workflow coefficient and the general-domain Indonesian expansion measurement, the corresponding traffic scenarios before unmeasured extra work are approximately </w:t>
      </w:r>
      <w:r>
        <w:rPr>
          <w:rFonts w:ascii="Calibri" w:hAnsi="Calibri" w:eastAsia="Calibri" w:cs="Calibri"/>
          <w:b/>
        </w:rPr>
        <w:t>4.89 million</w:t>
      </w:r>
      <w:r>
        <w:t xml:space="preserve">, </w:t>
      </w:r>
      <w:r>
        <w:rPr>
          <w:rFonts w:ascii="Calibri" w:hAnsi="Calibri" w:eastAsia="Calibri" w:cs="Calibri"/>
          <w:b/>
        </w:rPr>
        <w:t>2.34 million</w:t>
      </w:r>
      <w:r>
        <w:t xml:space="preserve"> and </w:t>
      </w:r>
      <w:r>
        <w:rPr>
          <w:rFonts w:ascii="Calibri" w:hAnsi="Calibri" w:eastAsia="Calibri" w:cs="Calibri"/>
          <w:b/>
        </w:rPr>
        <w:t>0.56 million</w:t>
      </w:r>
      <w:r>
        <w:t xml:space="preserve"> token events. They are neither actual model usage nor money or physical compute. The same measured English source scale is carried through all ten currently measured language profiles rather than charging each a different source canon.</w:t>
      </w:r>
    </w:p>
    <w:p>
      <w:pPr>
        <w:widowControl/>
      </w:pPr>
      <w:r>
        <w:t>At zero common setup cost and equal per-source-token workflow, the six-chapter package needs more than 47.8% of the full course's net benefit on their common endpoint to be more efficient. If shared setup costs both alternatives an additional 10% of the full course's variable cost, the threshold is 52.5%; if setup equals the full variable cost, it is 73.9%. The corresponding fractions-only thresholds are 11.3%, 19.4% and 55.7%. These figures demonstrate why a small-content shortcut can lose its apparent advantage once terminology, formats and validation infrastructure are substantial. They do not estimate either package's educational effect.</w:t>
      </w:r>
    </w:p>
    <w:p>
      <w:pPr>
        <w:widowControl/>
      </w:pPr>
      <w:r>
        <w:t xml:space="preserve">The comparison must also preserve outcomes that exist only in the full course. A fractions unit and a complete prealgebra sequence can be compared on fractions access, while the latter's additional algebra, decimal, geometry and graph outcomes are reported separately or assigned explicit weights. Counting every stage as a new person would double-count overlapping learners. Conversely, once common infrastructure has been produced, the next decision compares the </w:t>
      </w:r>
      <w:r>
        <w:rPr>
          <w:rFonts w:ascii="Calibri" w:hAnsi="Calibri" w:eastAsia="Calibri" w:cs="Calibri"/>
          <w:i/>
        </w:rPr>
        <w:t>marginal</w:t>
      </w:r>
      <w:r>
        <w:t xml:space="preserve"> benefit and cost of the next unit; sunk production never reduces a community's educational need.</w:t>
      </w:r>
    </w:p>
    <w:p>
      <w:pPr>
        <w:pStyle w:val="Heading1"/>
        <w:widowControl/>
      </w:pPr>
      <w:r>
        <w:rPr>
          <w:color w:val="000000"/>
        </w:rPr>
        <w:t>4 Initial findings</w:t>
      </w:r>
    </w:p>
    <w:p>
      <w:pPr>
        <w:pStyle w:val="Heading2"/>
        <w:widowControl/>
      </w:pPr>
      <w:r>
        <w:rPr>
          <w:color w:val="000000"/>
        </w:rPr>
        <w:t>4 1 Indonesian access includes a large additional language audience</w:t>
      </w:r>
    </w:p>
    <w:p>
      <w:pPr>
        <w:widowControl/>
      </w:pPr>
      <w:r>
        <w:t>BPS's 2022 tables report 248,501,794 Indonesian-capable residents aged five or above, compared with 71,971,184 whose first-acquired language was Indonesian. These are different constructs. With the reported national marginals treated as fixed, approximately 176.53-181.71 million residents can use Indonesian without having acquired it first. This is a conditional joint-event bound, not a measure of advanced reading. It nevertheless demonstrates why an L1-only audience would omit a substantial potential route (BPS, 2022a, 2022b).</w:t>
      </w:r>
    </w:p>
    <w:p>
      <w:pPr>
        <w:widowControl/>
      </w:pPr>
      <w:r>
        <w:t>Regional-language needs do not disappear because Indonesian is widely used. Javanese, Sundanese and other routes may offer distinct benefits for particular ages, tasks or readers. They must be compared as overlapping interventions rather than assigned either complete national-language coverage or complete separation.</w:t>
      </w:r>
    </w:p>
    <w:p>
      <w:pPr>
        <w:pStyle w:val="Heading2"/>
        <w:widowControl/>
      </w:pPr>
      <w:r>
        <w:rPr>
          <w:color w:val="000000"/>
        </w:rPr>
        <w:t>4 2 Secondary mathematics reading and science give matched need measures</w:t>
      </w:r>
    </w:p>
    <w:p>
      <w:pPr>
        <w:widowControl/>
      </w:pPr>
      <w:r>
        <w:t>The complete PISA 2022 comparison covers 81 jurisdictions and uses the same represented-student population frame for mathematics, reading and science. Among Indonesia's represented cohort, approximately 3.10 million students are below Level 2 in mathematics, 2.83 million in reading and 2.50 million in science. The corresponding shares are 81.7%, 74.5% and 65.8%. The Philippines has similarly large observed shares-84.0%, 76.3% and 77.2%-while Japan's are 12.0%, 13.8% and 8.0%. These are educational-system observations, not language-specific translation-benefit counts (OECD, 2023a, 2023b).</w:t>
      </w:r>
    </w:p>
    <w:p>
      <w:pPr>
        <w:widowControl/>
      </w:pPr>
      <w:r>
        <w:t>The three counts overlap within students and cannot be added. Because the published marginal tables do not identify each student's joint status, the derivative publishes sharp bounds rather than assuming independence. For Indonesia, between approximately 0.84 million and 2.50 million represented students could be below Level 2 in all three subjects; between 3.10 million and the full 3.79-million represented cohort could be below Level 2 in at least one. These bounds describe assessment status, not the audience or effect of a translated package.</w:t>
      </w:r>
    </w:p>
    <w:p>
      <w:pPr>
        <w:widowControl/>
      </w:pPr>
      <w:r>
        <w:t>The matched comparison supports substantial Indonesian secondary-foundation investigation and shows why the package cannot be chosen from a mathematics score alone. Reading prerequisites may affect whether a learner can use mathematics, science, finance or computing material. It does not show that every assessed learner needs a translation, that Japanese education has no gaps, or that university, research, minority-language and accessibility needs are unimportant. Independent provision, exact language fit, delivery and the package's actual contribution remain consequential.</w:t>
      </w:r>
    </w:p>
    <w:p>
      <w:pPr>
        <w:widowControl/>
      </w:pPr>
      <w:r>
        <w:t>A bounded inspection of current official Indonesian supply changes the content hypothesis without lowering the measured need. The SIBI interface displayed 642 Kurikulum Merdeka PDF books overall and 115 at SMP/MTS level. Its subject filters displayed five mathematics, six science, six Indonesian-language and six informatics books at that level. The acquired Grade VII sample contains a student book and a separate teacher guide for mathematics, science and Indonesian language. All six PDFs are readable and visually substantive; the three teacher guides contain answer-key markers, while the corresponding student books do not contain that phrase in extractable text. This is evidence of existing public supply and teacher-facing feedback-not evidence of adoption, learner possession, independent usability, open adaptation rights or educational effect (Kementerian Pendidikan Dasar dan Menengah, n.d.).</w:t>
      </w:r>
    </w:p>
    <w:p>
      <w:pPr>
        <w:widowControl/>
      </w:pPr>
      <w:r>
        <w:t>The resulting first secondary hypothesis is not another undifferentiated textbook. It is three separable but interoperable learner companions-mathematics, reading and scientific language, and science-sharing a prerequisite diagnostic, route map, worked explanations, learner-facing answers and error feedback, remediation, cumulative review and download-once navigation. Science additionally needs low-equipment activities, safety guidance and offline substitutes for linked resources. That bounded companion must be compared with a complete independently usable lower-secondary foundation sequence at the same outcome. Neither alternative has a measured effect, complete production cost or rank; source length alone cannot choose between them.</w:t>
      </w:r>
    </w:p>
    <w:p>
      <w:pPr>
        <w:widowControl/>
      </w:pPr>
      <w:r>
        <w:t>Early-grade language support is a different intervention. Indonesian law establishes Indonesian as the national educational medium while allowing regional languages at the initial stage when needed. A ministry policy brief describes 718 local languages, reports that approximately 73% of people aged five or above use a local language at home, and presents several readiness-based pathways into Indonesian. Those national statements are not exact-language learner denominators. A defensible portfolio therefore specifies each local language, variety, script or orthography, location and stage rather than treating “regional languages” as one production target (Badan Pemeriksa Keuangan, 2003; Pusat Standar dan Kebijakan Pendidikan, 2023).</w:t>
      </w:r>
    </w:p>
    <w:p>
      <w:pPr>
        <w:widowControl/>
      </w:pPr>
      <w:r>
        <w:t>Delivery remains part of the intervention. BPS reports national 2024 marginals of 72.78% having accessed the internet, 68.65% owning a mobile phone and 18.52% of households owning a computer. These figures support phone-readable semantic HTML or EPUB, tagged PDF, printable units, local sharing and resumable offline progress. They do not imply universal phone ownership or continuous affordable access, and they are not student-by-language cross-tabs that can be multiplied into a beneficiary estimate (Badan Pusat Statistik, 2025).</w:t>
      </w:r>
    </w:p>
    <w:p>
      <w:pPr>
        <w:widowControl/>
      </w:pPr>
      <w:r>
        <w:t>Coverage can change the comparison materially. Under an explicit subset assumption and treating source population estimates as fixed, allowing all unrepresented learners' proficiency to remain unknown gives a Cambodia age-15 need range of approximately 111,000-333,000, compared with 122,000-210,000 in Japan. The represented point estimates alone therefore cannot settle that comparison. The complete calculation retains sampling cautions and source inconsistencies rather than repairing them silently.</w:t>
      </w:r>
    </w:p>
    <w:p>
      <w:pPr>
        <w:widowControl/>
      </w:pPr>
      <w:r>
        <w:t>The Ukrainian data require particular care. The same sample represents 165,591.78 students in both an 18-region and a national population frame. The observed regional estimates below Level 2 are approximately 70,228 in mathematics, 67,803 in reading and 56,326 in science. The corresponding conditional national envelopes are about 70,000-303,000, 68,000-301,000 and 56,000-289,000. They do not extend participating-region percentages to all Ukraine or add the national frame as a second population. These are 2022 observations, not a current wartime educational census.</w:t>
      </w:r>
    </w:p>
    <w:p>
      <w:pPr>
        <w:pStyle w:val="Heading2"/>
        <w:widowControl/>
      </w:pPr>
      <w:r>
        <w:rPr>
          <w:color w:val="000000"/>
        </w:rPr>
        <w:t>4 3 Different regional needs suggest different packages</w:t>
      </w:r>
    </w:p>
    <w:p>
      <w:pPr>
        <w:widowControl/>
      </w:pPr>
      <w:r>
        <w:t>Bangladesh's MICS 2025 indicators report foundational reading for 50.2% and numeracy for 39.2% of children aged 7-14. Pakistan's HIES 2024-25 reports 28% of children aged 5-16 out of school. These findings support investigating foundational catch-up, school re-entry and secondary progression, while preserving the different survey populations and constructs (UNICEF Bangladesh, 2026; Pakistan Bureau of Statistics, 2026).</w:t>
      </w:r>
    </w:p>
    <w:p>
      <w:pPr>
        <w:widowControl/>
      </w:pPr>
      <w:r>
        <w:t>For Bangladesh, combining the age-specific numeracy rate with projected age groups and explicit within-group age assumptions gives approximately 15.3-15.7 million children aged 7-14 not meeting the numeracy criterion. This is a range across three cross-source scenarios, not a confidence interval or direct census count. Without a within-age-bin composition assumption, the fixed-source sensitivity range is much wider, about 10.0-19.5 million. The calculation does not multiply a child learning rate by an all-age language population. It motivates a concrete package of number concepts, comparison, addition, patterns and worked practice, while existing national textbooks remain part of the provision baseline (UNICEF Data, n.d.; BBS &amp; UNICEF Bangladesh, 2026).</w:t>
      </w:r>
    </w:p>
    <w:p>
      <w:pPr>
        <w:widowControl/>
      </w:pPr>
      <w:r>
        <w:t>Actual content inspection narrows that proposal. The sampled 2026 NCTB Grade 2 book already covers all four numerical domains with visual explanations, worked answers and practice; selected Bangla Khan Academy lessons also provide explanations and exercises. For this task set, a portable diagnostic/feedback companion is a stronger provisional addition than an undifferentiated replacement book. It would link to existing examples and supply entry checks, prerequisite routing, self-check keys and short explanations of wrong answers. The sample does not establish complete national supply or universal autonomous usability, and it does not lower the population need estimate. Other stages and subject packages remain separate questions (National Curriculum and Textbook Board, 2026; Khan Academy, n.d.).</w:t>
      </w:r>
    </w:p>
    <w:p>
      <w:pPr>
        <w:widowControl/>
      </w:pPr>
      <w:r>
        <w:t>The language choices differ. Bangladesh has a large broad Bangla-language route, with exact-variety questions still important. Pakistan's census records several substantial mother-tongue communities: Urdu cannot stand for all Pakistanis. Urdu editions and Punjabi, Sindhi, Pashto, Saraiki and other editions require explicit capability and overlap comparisons.</w:t>
      </w:r>
    </w:p>
    <w:p>
      <w:pPr>
        <w:widowControl/>
      </w:pPr>
      <w:r>
        <w:t>Pakistan's 2023 census provides a matched historical count: 25,373,350 out-of-school children among 71,270,068 children aged 5-16 in its detailed-characteristics population. These are published school-status counts and summed single-year age counts, respectively. The newer HIES rate of 28% would imply 19.96 million only if that older cohort size and relevant frames were held constant; this is a scenario, not a measured decline between the two sources. Headcount-only populations missing detailed characteristics, AJK, Gilgit-Baltistan and diaspora communities remain outside this particular estimate, not outside the research (Pakistan Bureau of Statistics, 2023a, 2023c, 2026).</w:t>
      </w:r>
    </w:p>
    <w:p>
      <w:pPr>
        <w:widowControl/>
      </w:pPr>
      <w:r>
        <w:t>The same census makes a stronger language-specific inference possible. Rural Sindh has 25,623,864 residents, 23,605,495 with Sindhi as mother tongue, and 5,117,164 out-of-school children aged 5-16. Even if every non-Sindhi resident were in that last group, at least 3,098,795 out-of-school children must be Sindhi-mother-tongue children. Combining ten disjoint geographic cells gives a national detailed-frame interval of 3,098,795-8,757,513 for that intersection. This is a logical bound on the recorded margins, not an estimate of comfortable readers or beneficiaries. It supports investigating a distinct Sindhi foundational-learning route without assuming that a province is a language or that Urdu serves everyone (Pakistan Bureau of Statistics, 2023b, 2023c).</w:t>
      </w:r>
    </w:p>
    <w:p>
      <w:pPr>
        <w:widowControl/>
      </w:pPr>
      <w:r>
        <w:t>Considering several editions requires joint population accounting. Urdu, Punjabi, Sindhi, Pashto and Saraiki mother-tongue categories together contain between 9,929,282 and 25,373,350 of the recorded out-of-school children, conditional on the ten geographic cells' margins. Adding their separately maximized upper bounds would instead yield an impossible 54,141,695. The integrated calculation retains the shared constraints and feasible endpoint allocations. It also adds a Western/Pakistani Punjabi written-profile challenger outside the original forecast, while preserving uncertainty about how the census category maps to an exact edition. None of these membership bounds is a measured package-benefit count.</w:t>
      </w:r>
    </w:p>
    <w:p>
      <w:pPr>
        <w:widowControl/>
      </w:pPr>
      <w:r>
        <w:t>Existing distance education is a material countercheck. Bangladesh Open University already lists Bangla financial-management and business-statistics content; Pakistan's Virtual University lists extensive mathematics and related subjects. The useful additional package may therefore be a prerequisite companion, complete worked practice, accessible offline material or a specific missing topic-not another generic introductory volume. Catalogue presence alone does not establish which learners can use the material or what adaptation rights apply.</w:t>
      </w:r>
    </w:p>
    <w:p>
      <w:pPr>
        <w:widowControl/>
      </w:pPr>
      <w:r>
        <w:t>The Bangladesh comparison has now been extended across all six stages. The 2024 official report records 9,063,422 students in classes 6-10, 1,619,349 technical and vocational enrolments, and 1,069,579 university students. These are stage-scale context counts, not Bangla-only populations, unmet-need totals or expected beneficiaries. The accompanying source freeze contains 299 NCTB secondary, Dakhil, technical and higher-secondary catalog rows, of which 297 expose at least one link. It also contains 394 Bangladesh Open University course cells-326 unique program-title keys-including 65 cells in explicitly Bangla-medium BBA and MBA programs. Two sampled BOU mathematics units visibly contain Bangla explanations, but their legacy font encoding defeats ordinary Unicode extraction; a sampled computing unit is in English. The finding is therefore substantial but heterogeneous supply, not either universal adequacy or universal absence (Bangladesh Bureau of Educational Information and Statistics [BANBEIS], 2026; Bangladesh Open University, n.d.; National Curriculum and Textbook Board, 2026).</w:t>
      </w:r>
    </w:p>
    <w:p>
      <w:pPr>
        <w:widowControl/>
      </w:pPr>
      <w:r>
        <w:t>Delivery evidence changes the endpoint. The national 2024-25 ICT survey reports household computer access of 9.0%, home internet access of 55.1%, individual internet use of 53.4%, mobile-phone use of 88.4% and mobile-phone ownership of 65.5%. Rural individual internet use is 43.5%, compared with 84.2% in city-corporation areas. Among people who do not use the internet, 49.4% report not knowing how to use it and 18.6% report that service cost is too high. These are differently conditioned, sometimes multiple-response indicators, not additive barriers. They support phone-readable, low-bandwidth, downloadable, resumable and printable editions with simple onboarding; they rule out treating continuous connectivity or personal smartphone ownership as universal (Bangladesh Bureau of Statistics, 2026).</w:t>
      </w:r>
    </w:p>
    <w:p>
      <w:pPr>
        <w:widowControl/>
      </w:pPr>
      <w:r>
        <w:t>Institutional access is also stage-dependent. Among the 20,631 secondary institutions in the BANBEIS table, 98.94% report electricity, 87.90% a computer facility, 80.98% internet and 69.52% multimedia. Junior-secondary institutions report only 49.12% internet and 24.15% multimedia, compared with 84.70% and 74.75% for secondary schools. Institution-level presence does not prove reliable personal learner access, but it makes a single delivery assumption indefensible. An offline learner edition, a printable unit and a classroom projection asset can be complementary outputs rather than rivals (BANBEIS, 2026, Tables 3.5.1-3.5.3).</w:t>
      </w:r>
    </w:p>
    <w:p>
      <w:pPr>
        <w:widowControl/>
      </w:pPr>
      <w:r>
        <w:t>The package implications differ by stage. At preschool level, the present evidence is still missing and the route remains visible rather than being assigned zero need. At foundational level, a twelve-item diagnostic/feedback companion can be tested against a complete accessible sequence on the same numerical tasks. At secondary level, a coherent mathematics, reading/academic-language and science pathway should be compared with curriculum-linked feedback and transition companions. Vocational work must be tied to a named curriculum, occupation or qualification; the official total spans 9,310 institutions and changed scope in 2024. At university level, full Bangla open textbooks should be compared with bilingual Bangla-English terminology, prerequisite and worked-practice bridges. At research level, full advanced translations and smaller bilingual navigation or terminology companions remain separate candidates. Readiness for a bounded test is not an educational-need or funding rank.</w:t>
      </w:r>
    </w:p>
    <w:p>
      <w:pPr>
        <w:widowControl/>
      </w:pPr>
      <w:r>
        <w:t>The university bridge is more than a generic analogy. A qualitative study of seven senior university teachers reports a preference for Bangla and recommends a bilingual curriculum. A second qualitative study interviewed eight teachers in four Dhaka universities and identifies English-medium learning and mother-tongue textbook mechanisms. A 2025 open-access study surveyed 301 first-year engineering students and conducted focus groups with ten students; it reports moderate difficulties with English-medium lectures, assignments, examinations and communicating subject knowledge. The last article is internally inconsistent about whether participants came from one or two universities, and none of the three estimates national prevalence or the effect of a translated package. Together they justify a bounded Bangla-English engineering-transition test, not a national effect claim (Karim et al., 2023; Sultana &amp; Fang, 2024; Islam et al., 2025).</w:t>
      </w:r>
    </w:p>
    <w:p>
      <w:pPr>
        <w:widowControl/>
      </w:pPr>
      <w:r>
        <w:t>Finally, the national Bangla route is not the whole country. The universal register contains 50 Glottolog language-level nodes linked to Bangladesh. Bengali (</w:t>
      </w:r>
      <w:r>
        <w:rPr>
          <w:rFonts w:ascii="Consolas" w:hAnsi="Consolas" w:eastAsia="Consolas" w:cs="Consolas"/>
          <w:color w:val="31465A"/>
          <w:sz w:val="21"/>
        </w:rPr>
        <w:t>ben</w:t>
      </w:r>
      <w:r>
        <w:t xml:space="preserve">, </w:t>
      </w:r>
      <w:r>
        <w:rPr>
          <w:rFonts w:ascii="Consolas" w:hAnsi="Consolas" w:eastAsia="Consolas" w:cs="Consolas"/>
          <w:color w:val="31465A"/>
          <w:sz w:val="21"/>
        </w:rPr>
        <w:t>beng1280</w:t>
      </w:r>
      <w:r>
        <w:t>) is the national written route considered here, but it cannot be counted as automatic coverage for Sylheti (</w:t>
      </w:r>
      <w:r>
        <w:rPr>
          <w:rFonts w:ascii="Consolas" w:hAnsi="Consolas" w:eastAsia="Consolas" w:cs="Consolas"/>
          <w:color w:val="31465A"/>
          <w:sz w:val="21"/>
        </w:rPr>
        <w:t>syl</w:t>
      </w:r>
      <w:r>
        <w:t>), Chittagonian (</w:t>
      </w:r>
      <w:r>
        <w:rPr>
          <w:rFonts w:ascii="Consolas" w:hAnsi="Consolas" w:eastAsia="Consolas" w:cs="Consolas"/>
          <w:color w:val="31465A"/>
          <w:sz w:val="21"/>
        </w:rPr>
        <w:t>ctg</w:t>
      </w:r>
      <w:r>
        <w:t>), Rohingya (</w:t>
      </w:r>
      <w:r>
        <w:rPr>
          <w:rFonts w:ascii="Consolas" w:hAnsi="Consolas" w:eastAsia="Consolas" w:cs="Consolas"/>
          <w:color w:val="31465A"/>
          <w:sz w:val="21"/>
        </w:rPr>
        <w:t>rhg</w:t>
      </w:r>
      <w:r>
        <w:t>), signing communities or the other country-linked nodes. Glottolog currently links Indian Sign Language (</w:t>
      </w:r>
      <w:r>
        <w:rPr>
          <w:rFonts w:ascii="Consolas" w:hAnsi="Consolas" w:eastAsia="Consolas" w:cs="Consolas"/>
          <w:color w:val="31465A"/>
          <w:sz w:val="21"/>
        </w:rPr>
        <w:t>ins</w:t>
      </w:r>
      <w:r>
        <w:t xml:space="preserve">, </w:t>
      </w:r>
      <w:r>
        <w:rPr>
          <w:rFonts w:ascii="Consolas" w:hAnsi="Consolas" w:eastAsia="Consolas" w:cs="Consolas"/>
          <w:color w:val="31465A"/>
          <w:sz w:val="21"/>
        </w:rPr>
        <w:t>indi1237</w:t>
      </w:r>
      <w:r>
        <w:t>) to Bangladesh, India and Pakistan; that catalog identity does not establish that one standardized signed route serves every Bangladeshi signing community. Each remains a separate evidence obligation.</w:t>
      </w:r>
    </w:p>
    <w:p>
      <w:pPr>
        <w:widowControl/>
      </w:pPr>
      <w:r>
        <w:t>Regional investigations also identify distinct transition mechanisms: regional-language schooling to English technical education in India; Kiswahili-supported entry to English-medium secondary subjects in Tanzania; and Hausa-French learning routes in Niger. Their population magnitudes, independent provision and package effects must be estimated separately. A familiar mechanism is a research lead, not permission to copy one country's rate into another.</w:t>
      </w:r>
    </w:p>
    <w:p>
      <w:pPr>
        <w:widowControl/>
      </w:pPr>
      <w:r>
        <w:t>India illustrates how a hypothesis should change when confronted with evidence. Among higher-secondary students in the 2017-18 NSS survey's home-language categories, the English-medium shares were 19.5% for Hindi, 37.4% for Tamil, 74.5% for Telugu and 28.2% for Marathi. Thus a universal story of switching to English only upon entering university is particularly weak for the Telugu group. These historical cross-sections are neither English-proficiency measurements nor the same learners followed into university (Ministry of Statistics and Programme Implementation, 2020, Statement 4.17).</w:t>
      </w:r>
    </w:p>
    <w:p>
      <w:pPr>
        <w:widowControl/>
      </w:pPr>
      <w:r>
        <w:t>A more precise candidate is an optional bilingual prerequisite companion. Inspection of actual Hindi and Telugu NPTEL pages finds substantial existing explanations, worked examples, answers and glossaries. Both inspected mathematics books open with Rolle's theorem. A provisional eight-page entry insert can supply prerequisite orientation, six transfer tasks with explanatory answers, two compact foundation bridges and precise navigation to the existing lectures. This is a design scenario, not a demonstrated optimum or proof that similar support is unavailable elsewhere. Tamil and Marathi content remains uninspected in this comparison. English-medium learners remain eligible for local-language support; regional-language learners are not presumed incapable of English (NPTEL, n.d.).</w:t>
      </w:r>
    </w:p>
    <w:p>
      <w:pPr>
        <w:widowControl/>
      </w:pPr>
      <w:r>
        <w:t>Tanzania offers a different, source-bound transition example. Uwezo's 2017 Standard 7 reading margins imply that 39%-53% of the assessed cohort could pass the basic Kiswahili task but not the English task. Adding its subtraction-test margin gives a 19%-53% interval for pupils passing both Kiswahili and subtraction while not passing English, without assuming independence. This supports investigating paired subject explanations and English task practice, with separate foundational support. The tests concern basic competencies among assessed ages 6-16, not current technical-reading ability or a guaranteed translation effect (Uwezo Tanzania, 2019). A separately labeled transport scenario scales these bounds to historical administrative grade enrollment; it does not turn them into a current population estimate.</w:t>
      </w:r>
    </w:p>
    <w:p>
      <w:pPr>
        <w:widowControl/>
        <w:sectPr>
          <w:headerReference w:type="default" r:id="rId15"/>
          <w:footerReference w:type="default" r:id="rId16"/>
          <w:pgSz w:w="12240" w:h="15840"/>
          <w:pgMar w:top="1440" w:right="1440" w:bottom="1440" w:left="1440" w:header="708" w:footer="708" w:gutter="0"/>
          <w:cols w:space="720"/>
          <w:docGrid w:linePitch="360"/>
        </w:sectPr>
      </w:pPr>
    </w:p>
    <w:p>
      <w:pPr>
        <w:pStyle w:val="Heading2"/>
        <w:widowControl/>
        <w:ind w:right="1800" w:left="1800"/>
      </w:pPr>
      <w:r>
        <w:rPr>
          <w:color w:val="000000"/>
        </w:rPr>
        <w:t>4 4 A high consequence omission gate changes missing evidence into a research obligation</w:t>
      </w:r>
    </w:p>
    <w:p>
      <w:pPr>
        <w:widowControl/>
        <w:ind w:right="1800" w:left="1800"/>
      </w:pPr>
      <w:r>
        <w:t>A source-bound omission audit now tests the prospective portfolio against all 22 scheduled-language groups in the Census of India 2011 C-16/C-17 frame. The frame contains one group above 100 million, seven at or above 50 million and thirteen at or above 10 million. These are historical census-group populations, not exact modern varieties, current learner counts or benefit estimates. The audit retains every group and gives every missing route an explicit possible-outranker state (Office of the Registrar General &amp; Census Commissioner, India, 2011a, 2011b).</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511"/>
        <w:gridCol w:w="1903"/>
        <w:gridCol w:w="2479"/>
        <w:gridCol w:w="3201"/>
        <w:gridCol w:w="2866"/>
      </w:tblGrid>
      <w:tr>
        <w:trPr>
          <w:tblHeader w:val="true"/>
          <w:cantSplit w:val="true"/>
        </w:trPr>
        <w:tc>
          <w:tcPr>
            <w:tcW w:type="dxa" w:w="2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Published Census language group</w:t>
            </w:r>
          </w:p>
        </w:tc>
        <w:tc>
          <w:tcPr>
            <w:tcW w:type="dxa" w:w="19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2011 population</w:t>
            </w:r>
          </w:p>
        </w:tc>
        <w:tc>
          <w:tcPr>
            <w:tcW w:type="dxa" w:w="24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Prior internal scenario stages</w:t>
            </w:r>
          </w:p>
        </w:tc>
        <w:tc>
          <w:tcPr>
            <w:tcW w:type="dxa" w:w="32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Unbound stages in that scenario set</w:t>
            </w:r>
          </w:p>
        </w:tc>
        <w:tc>
          <w:tcPr>
            <w:tcW w:type="dxa" w:w="28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NPTEL catalogue title labels</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Hindi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528,347,193</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Bengali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97,237,669</w:t>
            </w:r>
          </w:p>
        </w:tc>
        <w:tc>
          <w:tcPr>
            <w:tcW w:type="dxa" w:w="247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foundational, vocational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university,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Marathi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83,026,680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Telugu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81,127,740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Tamil</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69,026,881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248</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Gujarati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55,492,554</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none</w:t>
            </w:r>
          </w:p>
        </w:tc>
        <w:tc>
          <w:tcPr>
            <w:tcW w:type="dxa" w:w="320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all six stages</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Urdu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50,772,631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foundational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vocational, university, research</w:t>
            </w:r>
          </w:p>
        </w:tc>
        <w:tc>
          <w:tcPr>
            <w:tcW w:type="dxa" w:w="28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not inspected in the current 12-page census</w:t>
            </w:r>
          </w:p>
        </w:tc>
      </w:tr>
    </w:tbl>
    <w:p>
      <w:pPr>
        <w:widowControl/>
        <w:spacing w:before="0" w:after="40"/>
      </w:pPr>
    </w:p>
    <w:p>
      <w:pPr>
        <w:widowControl/>
        <w:ind w:right="1800" w:left="1800"/>
      </w:pPr>
      <w:r>
        <w:rPr>
          <w:rFonts w:ascii="Calibri" w:hAnsi="Calibri" w:eastAsia="Calibri" w:cs="Calibri"/>
          <w:b/>
        </w:rPr>
        <w:t>Table note.</w:t>
      </w:r>
      <w:r>
        <w:t xml:space="preserve"> The scenario-stage columns are an internal research inventory, not worldwide educational coverage. Prior project work is a case study and has zero effect on a population's educational need or funding priority. The catalogue column records unique title labels extracted from one NPTEL language page. It does not measure complete courses, open licensing, accessibility, uptake, quality or adequate provision. Existing material therefore does not reduce the language group's educational need; it only changes the additionality question for a particular proposed package (NPTEL, n.d.).</w:t>
      </w:r>
    </w:p>
    <w:p>
      <w:pPr>
        <w:widowControl/>
        <w:ind w:right="1800" w:left="1800"/>
      </w:pPr>
      <w:r>
        <w:t>The immediate finding is not a new rank. It is that Gujarati cannot disappear because no matched intervention route has yet been assembled, and that one university-stage hypothesis for Hindi, Marathi, Telugu or Tamil does not amount to access across the educational life course. The same audit retains Kannada, Odia, Malayalam and the Punjabi-linked profile as route-free possible outrankers below the 50-million alarm line, and retains Assamese, Bodo, Dogri, Kashmiri, Konkani, Manipuri, Sanskrit and Sindhi outside the frozen 100 without treating that forecast boundary as a funding boundary.</w:t>
      </w:r>
    </w:p>
    <w:p>
      <w:pPr>
        <w:widowControl/>
        <w:ind w:right="1800" w:left="1800"/>
      </w:pPr>
      <w:r>
        <w:t>The language-group labels themselves require care. The published Hindi group cannot be substituted for one exact Hindi variety, and the Punjabi group cannot be substituted for an exact Eastern Punjabi readership without resolving mother-tongue composition, script and community. Reporting English among up to two subsidiary languages is not academic proficiency; not reporting English or Hindi in those slots is not proof that neither is understood. These measures expose overlap questions, not ready-made access multipliers.</w:t>
      </w:r>
    </w:p>
    <w:p>
      <w:pPr>
        <w:widowControl/>
        <w:ind w:right="1800" w:left="1800"/>
      </w:pPr>
      <w:r>
        <w:t>This is the first national high-consequence omission gate, not a sufficient global audit. The same operation must be repeated for every country and territory, large official and minoritized language, displaced and signed-language population, and then for communities that national tables fail to enumerate. Population magnitude sounds an alarm; it does not supply a need score.</w:t>
      </w:r>
    </w:p>
    <w:p>
      <w:pPr>
        <w:widowControl/>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2"/>
        <w:widowControl/>
      </w:pPr>
      <w:r>
        <w:rPr>
          <w:color w:val="000000"/>
        </w:rPr>
        <w:t>4 5 Existing Chinese and Japanese provision tests the package hypotheses</w:t>
      </w:r>
    </w:p>
    <w:p>
      <w:pPr>
        <w:widowControl/>
      </w:pPr>
      <w:r>
        <w:t>Existing materials can weaken a proposed intervention without resolving a community's broader needs. A Chinese probability/statistics textbook already supplies Python explanations and advertises maintained source code. A teacher-qualified support offer does not establish that all supplementary material is restricted (Xu, 2023). The University of Tokyo provides public Japanese programming lessons, scientific-computing topics and exercise-answer routes (University of Tokyo, n.d.).</w:t>
      </w:r>
    </w:p>
    <w:p>
      <w:pPr>
        <w:widowControl/>
      </w:pPr>
      <w:r>
        <w:t>These are concrete alternatives, not evidence that all learners are served. They require a new package to identify its additional contribution: a different task, prerequisite sequence, price, format or otherwise unavailable explanation. They also weaken any automatic inference that Chinese or Japanese opportunity must move wholesale from school to research. The remaining comparison is package-specific at every stage.</w:t>
      </w:r>
    </w:p>
    <w:p>
      <w:pPr>
        <w:pStyle w:val="Heading3"/>
        <w:widowControl/>
      </w:pPr>
      <w:r>
        <w:rPr>
          <w:color w:val="000000"/>
        </w:rPr>
        <w:t>4 5 1 One Chinese score would collapse six different allocation questions</w:t>
      </w:r>
    </w:p>
    <w:p>
      <w:pPr>
        <w:widowControl/>
      </w:pPr>
      <w:r>
        <w:t xml:space="preserve">The new </w:t>
      </w:r>
      <w:r>
        <w:rPr>
          <w:rFonts w:ascii="Calibri" w:hAnsi="Calibri" w:eastAsia="Calibri" w:cs="Calibri"/>
          <w:color w:val="2E74B5"/>
          <w:u w:val="single"/>
        </w:rPr>
        <w:t>China and Simplified Written Chinese checkpoint</w:t>
      </w:r>
      <w:r>
        <w:t xml:space="preserve"> makes that package-specific rule operational from preschool through research. The Ministry of Education reports 280.4043 million formal learners and 18.7010 million full-time teachers in 2025. Its stage counts include 32.2552 million preschool children, 101.7829 million primary learners, 55.0934 million junior-secondary learners, 30.3950 million ordinary senior-secondary learners, 11.1877 million secondary-vocational learners, 39.5396 million ordinary and vocational undergraduate/associate learners, and 4.2995 million postgraduate learners (Ministry of Education of the People's Republic of China, 2026). These are administrative contact populations, not unmet-need counts or automatic beneficiaries.</w:t>
      </w:r>
    </w:p>
    <w:p>
      <w:pPr>
        <w:widowControl/>
      </w:pPr>
      <w:r>
        <w:t>Domestic supply is also large. The national Smart Education platform reports more than 130,000 K-12 resources, more than 12,500 vocational courses, about 145,000 higher-education courses and more than 178 million users (Ministry of Education of the People's Republic of China, 2025). That is strong counterevidence to a blanket claim that Chinese educational material is scarce. It does not establish item-level open licences, accessible equivalence, answer completeness, autonomous-study coherence, resumable offline use or the additional effect of a proposed package. A national score would therefore obscure the actual comparisons: early-language and numeracy routes at P; foundational feedback and mobility continuity at F; subject/prerequisite bridges at S; qualification- or task-specific practical learning at V; exact open course alternatives at U; and proof, source-search and academic-language bridges at R.</w:t>
      </w:r>
    </w:p>
    <w:p>
      <w:pPr>
        <w:widowControl/>
      </w:pPr>
      <w:r>
        <w:t xml:space="preserve">The language boundary is equally consequential. A conditional calculation gives about 1.052-1.121 billion age-15+ users of normative Chinese characters under explicit matching-population assumptions, but it is only a written-standard proxy. It is not an exact Simplified-Chinese readership, academic-comprehension, need or benefit interval. The Ministry's 80.72% Putonghua prevalence is a separate construct and is not multiplied into that proxy (Ministry of Education of the People's Republic of China, 2021). Independently, the universal register retains 452 Glottolog language-level nodes linked to </w:t>
      </w:r>
      <w:r>
        <w:rPr>
          <w:rFonts w:ascii="Consolas" w:hAnsi="Consolas" w:eastAsia="Consolas" w:cs="Consolas"/>
          <w:color w:val="31465A"/>
          <w:sz w:val="21"/>
        </w:rPr>
        <w:t>CN</w:t>
      </w:r>
      <w:r>
        <w:t xml:space="preserve">, including nineteen bookkeeping nodes and five sign-language nodes. Registry linkage can cover historical, regional, cross-border, Hong Kong, Macau, Taiwan and multinational associations; none is automatically a present mainland audience or covered by </w:t>
      </w:r>
      <w:r>
        <w:rPr>
          <w:rFonts w:ascii="Consolas" w:hAnsi="Consolas" w:eastAsia="Consolas" w:cs="Consolas"/>
          <w:color w:val="31465A"/>
          <w:sz w:val="21"/>
        </w:rPr>
        <w:t>zh-Hans-CN</w:t>
      </w:r>
      <w:r>
        <w:t>.</w:t>
      </w:r>
    </w:p>
    <w:p>
      <w:pPr>
        <w:widowControl/>
      </w:pPr>
      <w:r>
        <w:t>Cross-cutting constraints also remain separate. The official 2020 analysis reports 138 million migration-affected children under its definitions; the 2025 migrant-worker report counts 301.15 million workers, 65.4% with junior-secondary education or less. Disability sources report more than 85 million disabled people, over 17 million people with visual disability and about 27.8 million with hearing disability, alongside adapted-reading shortages (National Bureau of Statistics of China, UNICEF, &amp; UNFPA, 2023; National Press and Publication Administration, 2026). These overlapping measures motivate continuity, practical-learning, semantic HTML/MathML, screen-reader, large-print, braille/tactile, audio, caption and exact signed-language comparisons. They are never added or substituted for language audiences.</w:t>
      </w:r>
    </w:p>
    <w:p>
      <w:pPr>
        <w:widowControl/>
      </w:pPr>
      <w:r>
        <w:t>The resulting finding is deliberately asymmetric with neither blanket inclusion nor blanket exclusion: Chinese packages are high-consequence candidates, while no national rank is assigned. All nine measured OpenStax sources remain available as complete-versus-bounded comparison baselines; Open Logic and the Stacks Project provide separate university/research baselines. Exact audience, incremental educational effect, physical compute, currency cost, dominance and rank remain null until a named language-stage-subject-format package is compared with current usable provision at a common endpoint. The constructor passes 57 source and structural checks, an independently implemented readback passes 82, the manuscript/state integration passes 77, and two complete builds are byte-identical.</w:t>
      </w:r>
    </w:p>
    <w:p>
      <w:pPr>
        <w:pStyle w:val="Heading3"/>
        <w:widowControl/>
      </w:pPr>
      <w:r>
        <w:rPr>
          <w:color w:val="000000"/>
        </w:rPr>
        <w:t>4 5 2 India is not one Hindi target</w:t>
      </w:r>
    </w:p>
    <w:p>
      <w:pPr>
        <w:widowControl/>
      </w:pPr>
      <w:r>
        <w:t xml:space="preserve">The </w:t>
      </w:r>
      <w:r>
        <w:rPr>
          <w:rFonts w:ascii="Calibri" w:hAnsi="Calibri" w:eastAsia="Calibri" w:cs="Calibri"/>
          <w:color w:val="2E74B5"/>
          <w:u w:val="single"/>
        </w:rPr>
        <w:t>India cross-stage checkpoint</w:t>
      </w:r>
      <w:r>
        <w:t xml:space="preserve"> applies the same six-stage comparison without substituting either a country or a Census category for an exact language. It carries all 518 Glottolog language-level nodes whose registry association includes </w:t>
      </w:r>
      <w:r>
        <w:rPr>
          <w:rFonts w:ascii="Consolas" w:hAnsi="Consolas" w:eastAsia="Consolas" w:cs="Consolas"/>
          <w:color w:val="31465A"/>
          <w:sz w:val="21"/>
        </w:rPr>
        <w:t>IN</w:t>
      </w:r>
      <w:r>
        <w:t>, including 27 bookkeeping nodes and four signed-language nodes. It also retains all 22 scheduled-language groups in the Census frame. Registry association does not establish current residence, use, vitality, need or comprehension of Hindi or English; the scheduled-language groups are historical administrative categories that can aggregate multiple mother tongues.</w:t>
      </w:r>
    </w:p>
    <w:p>
      <w:pPr>
        <w:widowControl/>
      </w:pPr>
      <w:r>
        <w:t xml:space="preserve">That distinction is especially important for the 2011 Census </w:t>
      </w:r>
      <w:r>
        <w:rPr>
          <w:rFonts w:ascii="Consolas" w:hAnsi="Consolas" w:eastAsia="Consolas" w:cs="Consolas"/>
          <w:color w:val="31465A"/>
          <w:sz w:val="21"/>
        </w:rPr>
        <w:t>HINDI</w:t>
      </w:r>
      <w:r>
        <w:t xml:space="preserve"> group. Its published total is 528,347,193, but the source decomposes it into 57 named or residual rows. The largest source-labelled components include Hindi (322,230,097), Bhojpuri (50,579,447), Rajasthani (25,806,344), Chhattisgarhi (16,245,190), Magadhi/Magahi (12,706,825), Haryanvi (9,806,519), Khortha/Khotta (8,038,735) and Marwari (7,831,749). Some labels map cleanly to a Glottolog language, some remain unresolved, and some are residual buckets. The group total therefore cannot be used as the addressable audience for Standard Hindi in Devanagari. Reporting English among at most two subsidiary languages is likewise a reporting variable, not a test of comfortable academic comprehension (Office of the Registrar General &amp; Census Commissioner, India, 2011a, 2011b).</w:t>
      </w:r>
    </w:p>
    <w:p>
      <w:pPr>
        <w:widowControl/>
      </w:pPr>
      <w:r>
        <w:t>The stage evidence identifies different questions rather than one national deficit. UDISE+ reports 246,932,680 enrolments from foundational through secondary education in 2024-25, with 52,312,506 in the foundational stage, 66,115,921 preparatory, 63,695,100 middle and 64,809,153 secondary; these administrative counts are not language-specific unmet need (Department of School Education &amp; Literacy, 2025). In rural ASER 2024, 23.4% of government-school Standard III pupils could read a Standard II text, 33.7% of all-school Standard III pupils could perform the subtraction task, 30.7% of Standard V pupils could perform the division task and 45.8% of Standard VIII pupils could perform the basic arithmetic task. These named-task results make foundational explanation and feedback consequential, but they do not identify language as the cause or translation as the measured remedy (ASER Centre, 2025).</w:t>
      </w:r>
    </w:p>
    <w:p>
      <w:pPr>
        <w:widowControl/>
      </w:pPr>
      <w:r>
        <w:t>Higher and practical education remain separate. AISHE 2023-24 reports nearly 45 million higher-education enrolments, a gross enrolment ratio of 30.0 for ages 18-23, 10,188,988 STEM enrolments across undergraduate through doctoral levels, and 343,559 PhD enrolments (Department of Higher Education, 2026). NPTEL explicitly describes a transition from regional-language schooling into mainly English technical education and provides translated material in eleven named languages. The frozen catalogue pages contain 292 unique Hindi title labels, 248 Tamil, 212 Gujarati, 209 Telugu, 199 each in Malayalam and Marathi, 188 Kannada, 181 Bengali, 35 Punjabi, 16 Odia and one Assamese. These are catalogue-presence counts, not complete-course, licence, accessibility, uptake, quality or satisfied-need measures. Actual inspected Hindi and Telugu mathematics books already contain explanations, worked examples, results and glossaries, so a generic duplicate prerequisite book is not yet justified; a smaller navigation/terminology/prerequisite bridge remains testable at the exact course endpoint (NPTEL, n.d.).</w:t>
      </w:r>
    </w:p>
    <w:p>
      <w:pPr>
        <w:widowControl/>
      </w:pPr>
      <w:r>
        <w:t>Delivery evidence makes a one-download autonomous-study route plausible but not universal. The 2025 telecom survey reports 86.3% of households with internet at home and, by adding mutually exclusive smartphone categories, 85.5% with some smartphone. Internet use in the preceding three months was 93.6% among ages 15-29 and 70.0% among ages 15 and older. These measures do not establish personal ownership, adequate storage or screens, accessible input, reliable power, affordable continuous data or successful study. ASER reports that rural smartphone ownership among 14-16-year-olds was 36.2% for boys and 26.9% for girls; among those reporting smartphone ability, 57% used one for education in the preceding week. Small downloads, phone-native layout, resumable offline state, print export and shared-device continuity must therefore be evaluated separately (National Statistical Office, 2025; ASER Centre, 2025).</w:t>
      </w:r>
    </w:p>
    <w:p>
      <w:pPr>
        <w:widowControl/>
      </w:pPr>
      <w:r>
        <w:t>The resulting package portfolio is stage-specific. At P/F, compare coherent exact child/home-language literacy and numeracy pathways with bounded diagnostics and worked feedback in phone, print, audio and appropriate signed forms. At S, bind a state or board, exact language, subject and transition; fractions-to-algebra, scientific reading, graphs/data and laboratory reasoning are concrete hypotheses. At V, attach finance, records, measurement, health, agriculture, management, computing or safety units to an actual qualification or job task. At U, compare complete open courses with bilingual prerequisite, terminology, formula-reading and offline-lab bridges. At R, compare complete graduate source chains with proof/search/terminology routes around open resources such as Open Logic and the Stacks Project. Indian Sign Language's 10,000-term video dictionary includes academic and vocational categories and records regional variation, but a dictionary is not a curriculum and one standardized sign route does not cover every signed variety (Indian Sign Language Research and Training Centre, n.d.).</w:t>
      </w:r>
    </w:p>
    <w:p>
      <w:pPr>
        <w:widowControl/>
      </w:pPr>
      <w:r>
        <w:t>No India-wide or Hindi-wide rank follows. All exact audiences, incremental effects, physical compute, currency costs and dominance relations remain null. Every scheduled group, HINDI-group component, signed-language node and other exact variety with missing matched evidence remains a possible outranker. The gate passes 28 source assertions and 11 constructor checks; an independent reconstruction passes 227 checks; four preserved PDFs contribute 2,029 source pages, ten page-level claim checks and nine visually inspected renders; five generated outputs are byte-identical across two complete builds.</w:t>
      </w:r>
    </w:p>
    <w:p>
      <w:pPr>
        <w:pStyle w:val="Heading3"/>
        <w:widowControl/>
      </w:pPr>
      <w:r>
        <w:rPr>
          <w:color w:val="000000"/>
        </w:rPr>
        <w:t>4 5 3 Nigeria is 589 language obligations not one English policy row</w:t>
      </w:r>
    </w:p>
    <w:p>
      <w:pPr>
        <w:widowControl/>
      </w:pPr>
      <w:r>
        <w:t xml:space="preserve">The </w:t>
      </w:r>
      <w:r>
        <w:rPr>
          <w:rFonts w:ascii="Calibri" w:hAnsi="Calibri" w:eastAsia="Calibri" w:cs="Calibri"/>
          <w:color w:val="2E74B5"/>
          <w:u w:val="single"/>
        </w:rPr>
        <w:t>Nigeria cross-stage checkpoint</w:t>
      </w:r>
      <w:r>
        <w:t xml:space="preserve"> retains all 589 Glottolog language-level nodes whose registry association includes </w:t>
      </w:r>
      <w:r>
        <w:rPr>
          <w:rFonts w:ascii="Consolas" w:hAnsi="Consolas" w:eastAsia="Consolas" w:cs="Consolas"/>
          <w:color w:val="31465A"/>
          <w:sz w:val="21"/>
        </w:rPr>
        <w:t>NG</w:t>
      </w:r>
      <w:r>
        <w:t>: 571 non-bookkeeping nodes, eighteen bookkeeping nodes and seven signed-language nodes. The World Bank reports a 2025 country population of 237,527,782, but that is not the audience for English, Hausa, Yoruba, Igbo, Nigerian Pidgin or any educational package. A 2025 federal announcement says that English is the medium of instruction from primary through tertiary education. Policy language is not a measurement of comfortable educational English, and it does not cover hundreds of other exact languages by declaration (Federal Ministry of Information and National Orientation, Nigeria, 2025; World Bank, 2026a).</w:t>
      </w:r>
    </w:p>
    <w:p>
      <w:pPr>
        <w:widowControl/>
      </w:pPr>
      <w:r>
        <w:t>The strongest evidence identifies serious educational tasks without assigning them to languages. Nigeria's 2021 MICS reports foundational reading skills for 26.8% and foundational numeracy skills for 25.3% of children ages 7-14. Reading tasks were available in English, Hausa, Igbo and Yoruba; 8% of interviewed children could not be evaluated in their home or school language. NALABE 2022 reports minimum proficiency of 50% in Primary 3 mathematics, 34% in Primary 5 mathematics and 14% in Junior Secondary 2 mathematics. At JS2, mathematics reasoning averaged 35% correct and science-and-technology application 36%. These national samples locate high-consequence foundational and secondary tasks. They do not show that language caused the results, that translation alone would solve them or how the burden divides among languages (National Bureau of Statistics of Nigeria &amp; UNICEF, 2022; Universal Basic Education Commission &amp; UNICEF, 2025).</w:t>
      </w:r>
    </w:p>
    <w:p>
      <w:pPr>
        <w:widowControl/>
      </w:pPr>
      <w:r>
        <w:t xml:space="preserve">Nor can the factsheet's ethnicity breakdown repair that missing language denominator. Its Hausa, Igbo, Yoruba, Fulani, Kanuri, Ijaw, Tiv, Ibibio and Edo categories refer to ethnicity of household head, not home language, reading ability or an addressable edition audience. The analysis therefore assigns none of those rows to a language. Instead it preserves exact target and script questions. Hausa Boko and Hausa Ajami are separate routes; Ajami naskh and Kano/Maghribi rendering and Nigeria/Niger conventions require their own evidence. Five Nigeria-linked Fulfulde nodes remain distinct, with Latin, Ajami and Adlam only investigation routes. Central and Manga-Dagera Kanuri remain separate. NERDC's unqualified labels </w:t>
      </w:r>
      <w:r>
        <w:rPr>
          <w:rFonts w:ascii="Consolas" w:hAnsi="Consolas" w:eastAsia="Consolas" w:cs="Consolas"/>
          <w:color w:val="31465A"/>
          <w:sz w:val="21"/>
        </w:rPr>
        <w:t>Fulfude</w:t>
      </w:r>
      <w:r>
        <w:t xml:space="preserve">, </w:t>
      </w:r>
      <w:r>
        <w:rPr>
          <w:rFonts w:ascii="Consolas" w:hAnsi="Consolas" w:eastAsia="Consolas" w:cs="Consolas"/>
          <w:color w:val="31465A"/>
          <w:sz w:val="21"/>
        </w:rPr>
        <w:t>Kanuri</w:t>
      </w:r>
      <w:r>
        <w:t xml:space="preserve"> and </w:t>
      </w:r>
      <w:r>
        <w:rPr>
          <w:rFonts w:ascii="Consolas" w:hAnsi="Consolas" w:eastAsia="Consolas" w:cs="Consolas"/>
          <w:color w:val="31465A"/>
          <w:sz w:val="21"/>
        </w:rPr>
        <w:t>Edo</w:t>
      </w:r>
      <w:r>
        <w:t xml:space="preserve"> do not automatically resolve those identities, and a reported common-core Naijá orthography does not prove that every Nigerian Pidgin community reads it (Nigerian Educational Research and Development Council, n.d.-a; IFRA-Nigeria, n.d.; Evans &amp; Warren-Rothlin, 2018).</w:t>
      </w:r>
    </w:p>
    <w:p>
      <w:pPr>
        <w:widowControl/>
      </w:pPr>
      <w:r>
        <w:t>The package comparisons differ by stage. At P/F, compare coherent child/caregiver-language oral, reading and numeracy pathways with smaller diagnostic and worked-feedback units in phone, print, audio and appropriate signed forms. At S, test fractions-to-algebra, mathematical reasoning, graphs/data, scientific reading and science application against a named curriculum and exam. At V, bind finance, bookkeeping, agriculture, health, management, digital skills, measurement or safety to an actual qualification or job task. At U, compare complete open courses with prerequisite, terminology, scientific-writing, formula-reading and runnable-computing bridges. At R, compare complete graduate source chains with proof, search, terminology and reproducible-methods layers around open sources. NERDC reports a nine-year basic curriculum, 42 mainstream senior-secondary subjects, 34 trade/entrepreneurship subjects, out-of-school-youth material, visually impaired curricula and instructional sign language; NBTE and TERAS expose vocational, online, repository and subscription routes. Those are supply signals, not proof of complete, openly reusable, accessible or effective provision (Nigerian Educational Research and Development Council, n.d.-b; National Board for Technical Education, n.d.; Tertiary Education Trust Fund, n.d.).</w:t>
      </w:r>
    </w:p>
    <w:p>
      <w:pPr>
        <w:widowControl/>
      </w:pPr>
      <w:r>
        <w:t>Delivery is a separate part of the intervention. The latest World Bank series reports 41.21139908% internet use and 62.5% electricity access in 2024. UNICEF reports that students ages 5-24 lived in households with 91% phone, 39% internet and 10% computer access, while 41% lacked television, internet or a computer. Household access is not personal ownership, permission, a smartphone, reliable electricity/data, storage, accessibility or successful independent study. Small downloads, phone-native layout, resumable offline state, print, audio, semantic HTML/MathML, screen-reader navigation and exact signed-language video must be costed separately. All seven signed-language nodes remain distinct; Nigerian Sign Language, Hausa Sign Language, Yoruba Sign Language, Bura, Ibokun, Magajingari and the multinational American Sign Language catalogue linkage do not cover one another by name (UNICEF Nigeria, 2023; World Bank, 2026a).</w:t>
      </w:r>
    </w:p>
    <w:p>
      <w:pPr>
        <w:widowControl/>
      </w:pPr>
      <w:r>
        <w:t>No Nigeria-wide or language-wide rank follows. All exact audiences, incremental effects, physical compute, currency costs and dominance relations remain null. Every one of the 589 linked nodes remains a possible outranker when matched evidence is missing. The gate passes 18 source assertions and 21 additional constructor checks; an independent reconstruction passes 160 checks; two preserved PDFs contribute 117 pages, six page-level claim groups and six visually inspected renders; all five tracked outputs are byte-identical across two complete constructor/checker cycles. Existing local project work has zero effect on Nigeria's educational need or global priority.</w:t>
      </w:r>
    </w:p>
    <w:p>
      <w:pPr>
        <w:pStyle w:val="Heading3"/>
        <w:widowControl/>
      </w:pPr>
      <w:r>
        <w:rPr>
          <w:color w:val="000000"/>
        </w:rPr>
        <w:t>4 5 4 Pakistan is 86 language obligations not one Urdu or English route</w:t>
      </w:r>
    </w:p>
    <w:p>
      <w:pPr>
        <w:widowControl/>
      </w:pPr>
      <w:r>
        <w:t xml:space="preserve">The </w:t>
      </w:r>
      <w:r>
        <w:rPr>
          <w:rFonts w:ascii="Calibri" w:hAnsi="Calibri" w:eastAsia="Calibri" w:cs="Calibri"/>
          <w:color w:val="2E74B5"/>
          <w:u w:val="single"/>
        </w:rPr>
        <w:t>Pakistan cross-stage checkpoint</w:t>
      </w:r>
      <w:r>
        <w:t xml:space="preserve"> retains all 86 Glottolog language-level nodes whose registry association includes PK: 83 non-bookkeeping nodes, three bookkeeping nodes and two signed-language nodes. Twenty-three high-consequence profiles receive explicit source questions; the other 63 remain visible source-research obligations. Country association does not establish current residence, language use, vitality, literacy or package need. The World Bank's 2025 country-population series reports 255,219,554 people, but that is not the audience for Urdu, English, Punjabi, Sindhi, Pashto or any other edition (Hammarström et al., 2026; World Bank, 2026b).</w:t>
      </w:r>
    </w:p>
    <w:p>
      <w:pPr>
        <w:widowControl/>
      </w:pPr>
      <w:r>
        <w:t>The strongest matched count is foundational rather than language-specific. In the 2023 detailed census frame, 25,373,350 of 71,270,068 children aged 5-16 were out of school: 20,033,448 had never attended and 5,339,902 were recorded as dropouts. Five published mother-tongue margins give logical intersection bounds, not readership or benefit estimates. Urdu is bounded at 0-7,778,163; Punjabi at 0-12,140,704; Sindhi at 3,098,795-8,757,513; Pushto at 0-13,298,209; and Saraiki at 0-12,167,106. The sharp union interval under the ten retained geographic margins is 9,929,282-25,373,350. Adding the five separate upper endpoints would produce an impossible 54,141,695, because each maximum assumes a different allocation of the same children (Pakistan Bureau of Statistics, 2023a, 2023b, 2023c).</w:t>
      </w:r>
    </w:p>
    <w:p>
      <w:pPr>
        <w:widowControl/>
      </w:pPr>
      <w:r>
        <w:t>Current supply narrows the intervention rather than settling it. The non-formal education census reports 1,073,704 enrolments, including 98,370 in accelerated primary, 38,686 in accelerated middle or middle-tech, 902,485 in non-formal basic primary, 1,231 in non-formal middle and 32,932 in adult literacy. The inclusive scheme specifies thirty-month A/B/C and eighteen-month D/E routes, with mathematics displayed in Urdu. Sindh's portal displays Sindhi, Urdu and English books; Punjab reports 6.2 million Urdu/English textbooks dispatched; Balochistan lists materials from Primer through Grade 12; and federal/KP sites expose curriculum and teacher-material routes. These are programme, portal and dispatch observations. They do not establish complete open supply, exercises and answers, offline access, accessibility or independent-study usability (National Curriculum Council, 2025; Pakistan Institute of Education, 2024a).</w:t>
      </w:r>
    </w:p>
    <w:p>
      <w:pPr>
        <w:widowControl/>
      </w:pPr>
      <w:r>
        <w:t>The National Achievement Test identifies concrete secondary tasks. Across its public-school sample, Grade 8 mathematics averaged 42% correct and science 51%; Grade 8 statistics and probability averaged 32.9%. Balochistan's Grade 8 mathematics sample averaged 30.6%, with 36.3% of pupils at or below the 25% threshold. The instruments were not one-language national measures: mathematics and science were offered in Urdu and Sindhi as well as the English booklet route described in the report. These results motivate mathematics, statistics and scientific-reading comparisons, but do not identify language as the cause, Balochi as the tested language or translation alone as the remedy (Pakistan Institute of Education, 2024b).</w:t>
      </w:r>
    </w:p>
    <w:p>
      <w:pPr>
        <w:widowControl/>
      </w:pPr>
      <w:r>
        <w:t>The six-stage portfolio therefore compares complete and bounded packages. At P/F, it tests exact child/caregiver-language early learning, literacy, numeracy and school re-entry against smaller diagnostic and worked-feedback units, with age-respectful prerequisite branches. At S, it compares complete mathematics/science/reading sequences with fractions-to-algebra, statistics/probability, graphs and scientific-reading bridges. At V, it binds applied numeracy, finance/management, digital skills and trade safety to an actual qualification. At U, it compares full degree foundations with gateway-course prerequisites, bilingual terminology and worked practice. At R, it compares complete open graduate source chains with terminology, proof-dependency, search and navigation layers. All nine measured OpenStax sources and the Open Logic/Stacks baselines remain alternatives, not automatic recommendations.</w:t>
      </w:r>
    </w:p>
    <w:p>
      <w:pPr>
        <w:widowControl/>
      </w:pPr>
      <w:r>
        <w:t>Exact identity remains part of every package. Western Panjabi/Shahmukhi and Eastern Panjabi/Gurmukhi are not assigned the whole census Punjabi interval. Central, Northern and Southern Pashto remain distinct within the broad Pushto margin. Eastern, Southern and Western Balochi remain distinct from one another and from Brahui; Shina and Kohistani Shina, Northern and Southern Hindko, Balti, Kashmiri, Khowar, Burushaski and Gujari remain separate. Pakistan Sign Language and the multinational Indian Sign Language registry linkage are separate nodes. A reported standardized Pakistan Sign Language book, sign interpreters and Urdu Braille activity do not establish a complete signed or tactile curriculum or equivalence between signing communities (Ministry of Human Rights, Pakistan, 2024).</w:t>
      </w:r>
    </w:p>
    <w:p>
      <w:pPr>
        <w:widowControl/>
      </w:pPr>
      <w:r>
        <w:t>Delivery must be compared independently. The latest World Bank series reports 57.253% internet use, 95.7% electricity access and 76.854 mobile subscriptions per 100 people in 2024. A subscription is not a unique smartphone owner, and a country-level connection or electricity indicator does not establish personal access, permission, reliable service, storage, accessibility or learning success. Phone-native, one-download offline, print, audio, signed video, semantic HTML/MathML, screen-reader and tactile/Braille routes therefore remain separately costed modes (World Bank, 2026b).</w:t>
      </w:r>
    </w:p>
    <w:p>
      <w:pPr>
        <w:widowControl/>
      </w:pPr>
      <w:r>
        <w:t>University and research needs also remain live. HEC reports 1,964,147 higher-education enrolments in 2022-23, more than 80,000 digital-skills learners, 31,353 PhD-directory registrants, 19,250 public dissertations and more than 30,000 journals. Its own FAQ says that digital-library access is institutional, IP-based, subscription-dependent and subject to cost sharing, not an open individual licence. This supports exact gateway-course and advanced-source comparisons without claiming that Pakistan lacks universities or journals (Higher Education Commission, Pakistan, 2025; Higher Education Commission, Pakistan, n.d.).</w:t>
      </w:r>
    </w:p>
    <w:p>
      <w:pPr>
        <w:widowControl/>
      </w:pPr>
      <w:r>
        <w:t>No Pakistan-wide or language-wide rank follows. Every exact audience, incremental effect, physical compute, currency cost and dominance relation remains null. The source audit passes 179 checks across eight preserved PDFs containing 1,055 pages, 23 page-bound claim groups, nine local official web surfaces, five infrastructure indicators and fourteen visually inspected renders. The constructor passes 21 source assertions and 22 additional checks; an independent implementation passes 601 checks; two complete constructor replays are byte-identical. Every missing exact-language measurement remains a possible outranker, not a low-need disposition.</w:t>
      </w:r>
    </w:p>
    <w:p>
      <w:pPr>
        <w:pStyle w:val="Heading3"/>
        <w:widowControl/>
      </w:pPr>
      <w:r>
        <w:rPr>
          <w:color w:val="000000"/>
        </w:rPr>
        <w:t>4 5 5 Ukraine and Russia are a paired omission check not one Slavic route</w:t>
      </w:r>
    </w:p>
    <w:p>
      <w:pPr>
        <w:widowControl/>
      </w:pPr>
      <w:r>
        <w:t xml:space="preserve">The </w:t>
      </w:r>
      <w:r>
        <w:rPr>
          <w:rFonts w:ascii="Calibri" w:hAnsi="Calibri" w:eastAsia="Calibri" w:cs="Calibri"/>
          <w:color w:val="2E74B5"/>
          <w:u w:val="single"/>
        </w:rPr>
        <w:t>Ukraine-Russia checkpoint</w:t>
      </w:r>
      <w:r>
        <w:t xml:space="preserve"> asks the same six stage questions of two separate country contexts. It is a sentinel for a global failure mode, not a comparison of national worth. The country-linked register retains 183 distinct Glottolog language-level nodes: 32 linked to Ukraine, 168 linked to the Russian Federation and seventeen appearing in both registry associations. The union contains one bookkeeping node and two signed-language nodes. A registry association can be historical, regional or cross-border; it does not establish current residence, language use, literacy, educational need or comprehension of a dominant language.</w:t>
      </w:r>
    </w:p>
    <w:p>
      <w:pPr>
        <w:widowControl/>
      </w:pPr>
      <w:r>
        <w:t>The latest retained World Bank population series reports 38,980,376 people for Ukraine and 143,513,328 for the Russian Federation in 2025. Neither number is the audience for a Ukrainian- or Russian-language edition. Ukraine's 2001 census reported 67.5% Ukrainian, 29.6% Russian and 2.5% other native languages; the dated categories are not multiplied by a current country or displacement total. A 2026 KIIS sample in government-controlled Ukraine reported 62% speaking mainly or always Ukrainian at home, 23% using both and 14% mainly or always Russian, but excluded occupied-territory residents and people who left abroad after February 2022. Those home-use categories do not measure preferred language for school, technical reading or research (State Statistics Committee of Ukraine, 2001; Kyiv International Institute of Sociology, 2026; World Bank, 2026c, 2026d).</w:t>
      </w:r>
    </w:p>
    <w:p>
      <w:pPr>
        <w:widowControl/>
      </w:pPr>
      <w:r>
        <w:t>Displacement creates a host-curriculum problem rather than one portable language count. Eurostat reported 4.41 million people who had fled Ukraine under temporary protection in the EU on 30 June 2026; 29.6% were minors, giving about 1,305,360 under the report's rounded inputs. That is an administrative and demographic context, not a school-enrolment, speaker or unmet-need count. A useful package hypothesis pairs Ukrainian explanation with the learner's actual host instructional language and offers Russian terminology where the learner chooses it. The separate Estonia evidence instead supports a Russian-Estonian subject-language transition route: only 63% of Russian-medium basic-school graduates reached Estonian B1 during the audited 2005-2020 period, against a 90% target. Neither corridor is transported to another country by analogy (Eurostat, 2026; National Audit Office of Estonia, n.d.).</w:t>
      </w:r>
    </w:p>
    <w:p>
      <w:pPr>
        <w:widowControl/>
      </w:pPr>
      <w:r>
        <w:t>Stage evidence also resists a single ordering. In the eighteen of twenty-seven Ukrainian regions represented by PISA 2022, 42% of students were below Level 2 in mathematics, 41% in reading and 34% in science; 30% attended schools whose principals reported teaching-staff shortages. The Russian 2025 data book reports 6.3853 million preschool, 17.9881 million general-education, 3.8506 million combined skilled-worker and mid-level vocational, 4.4317 million bachelor's/specialist's/master's and 125,900 postgraduate enrolments. Its separate 2023 national PISA-based assessment reported much lower below-basic shares, but that instrument and frame are not silently compared with the OECD Ukrainian result (OECD, 2023c; HSE University Institute for Statistical Studies and Economics of Knowledge, 2025).</w:t>
      </w:r>
    </w:p>
    <w:p>
      <w:pPr>
        <w:widowControl/>
      </w:pPr>
      <w:r>
        <w:t>The package implications therefore differ by stage and exact community. P/F compares coherent child- or caregiver-language early learning, literacy and numeracy with bounded oral, picture, diagnostic and worked-feedback units. S compares complete mathematics, science and reading sequences with prerequisite, subject-language and curriculum-continuity bridges. V requires a named trade, qualification and language rather than a national vocational total. U compares full open courses with gateway-prerequisite, terminology, formula-reading and runnable-computing companions. R compares coherent graduate source chains with proof, search, terminology and reproducible-methods layers. UNESCO's report that 12% of Ukrainian scientists and university teachers had relocated and about 30% of scientists were working remotely supports portable and restartable research access; it does not show a language effect (UNESCO &amp; United Nations Ukraine, 2024).</w:t>
      </w:r>
    </w:p>
    <w:p>
      <w:pPr>
        <w:widowControl/>
      </w:pPr>
      <w:r>
        <w:t>Existing Russian provision materially narrows some proposals. Yandex displays school mathematics and computing resources; Stepik's inspected introductory statistics page displayed 326,869 learners; Open Education displayed 1,459 courses and 419 programmes; MCCME provides full mathematical books; and Math-Net maintains journal archives. These are substantive alternatives, not proof of complete open licences, autonomous-study coherence, accessibility or zero additional need. They require a Russian package to identify the missing topic, prerequisite, answer support, format, rights or delivery advantage. They say nothing by themselves about the exact needs of Chechen, Tatar, Bashkir, Chuvash, Sakha, Tuvinian, Mari, Udmurt, Komi, Moksha, Ossetian, Nenets, Evenki, Chukchi, Nivkh or the other Russia-linked nodes.</w:t>
      </w:r>
    </w:p>
    <w:p>
      <w:pPr>
        <w:widowControl/>
      </w:pPr>
      <w:r>
        <w:t xml:space="preserve">Ukrainian, Russian, Belarusian, Polish, Crimean Tatar, several Romani nodes, Eastern Yiddish and every other intersecting node remain separate. Ukrainian Sign Language and Russian-Tajik Sign Language are separate signed routes whose video, notation, regional-variation and low-bandwidth costs are not represented by written token traffic. An Interslavic mathematics edition remains a valid experiment because notation and prepared-reader subject knowledge may reduce some prose burden. It receives no automatic audience or coverage: worked-example use, learning a new definition, following a proof and navigating a research reference remain separate tests. If </w:t>
      </w:r>
      <w:r>
        <w:rPr>
          <w:rFonts w:ascii="Consolas" w:hAnsi="Consolas" w:eastAsia="Consolas" w:cs="Consolas"/>
          <w:color w:val="31465A"/>
          <w:sz w:val="21"/>
        </w:rPr>
        <w:t>q</w:t>
      </w:r>
      <w:r>
        <w:t xml:space="preserve"> is the bridge's retained additional benefit relative to matched separate editions and </w:t>
      </w:r>
      <w:r>
        <w:rPr>
          <w:rFonts w:ascii="Consolas" w:hAnsi="Consolas" w:eastAsia="Consolas" w:cs="Consolas"/>
          <w:color w:val="31465A"/>
          <w:sz w:val="21"/>
        </w:rPr>
        <w:t>r</w:t>
      </w:r>
      <w:r>
        <w:t xml:space="preserve"> is its total-cost ratio, the bridge is more efficient only when </w:t>
      </w:r>
      <w:r>
        <w:rPr>
          <w:rFonts w:ascii="Consolas" w:hAnsi="Consolas" w:eastAsia="Consolas" w:cs="Consolas"/>
          <w:color w:val="31465A"/>
          <w:sz w:val="21"/>
        </w:rPr>
        <w:t>q &gt; r</w:t>
      </w:r>
      <w:r>
        <w:t xml:space="preserve">; the selected literature supplies no value for </w:t>
      </w:r>
      <w:r>
        <w:rPr>
          <w:rFonts w:ascii="Consolas" w:hAnsi="Consolas" w:eastAsia="Consolas" w:cs="Consolas"/>
          <w:color w:val="31465A"/>
          <w:sz w:val="21"/>
        </w:rPr>
        <w:t>q</w:t>
      </w:r>
      <w:r>
        <w:t>.</w:t>
      </w:r>
    </w:p>
    <w:p>
      <w:pPr>
        <w:widowControl/>
      </w:pPr>
      <w:r>
        <w:t>No Ukraine-versus-Russia, Ukrainian-versus-Russian or interlanguage-versus-native funding order follows. All 183 nodes retain P/F/S/V/U/R obligations, null audience/effect/compute/currency/dominance/rank fields, no automatic coverage and possible-outranker status. Fifty-eight nodes have a first explicit evidence question; the other 125 remain visible rather than being classified as low need. The source audit passes 257 checks across three PDFs containing 359 pages, eleven page-bound claim groups, thirteen local web-source groups, ten World Bank indicators and eleven manually inspected renders. An independent readback passes 1,715 checks, and two fresh constructor runs reproduce all three outputs byte-for-byte.</w:t>
      </w:r>
    </w:p>
    <w:p>
      <w:pPr>
        <w:pStyle w:val="Heading3"/>
        <w:widowControl/>
      </w:pPr>
      <w:r>
        <w:rPr>
          <w:color w:val="000000"/>
        </w:rPr>
        <w:t>4 5 6 Japan is not a negative control</w:t>
      </w:r>
    </w:p>
    <w:p>
      <w:pPr>
        <w:widowControl/>
      </w:pPr>
      <w:r>
        <w:t xml:space="preserve">The </w:t>
      </w:r>
      <w:r>
        <w:rPr>
          <w:rFonts w:ascii="Calibri" w:hAnsi="Calibri" w:eastAsia="Calibri" w:cs="Calibri"/>
          <w:color w:val="2E74B5"/>
          <w:u w:val="single"/>
        </w:rPr>
        <w:t>Japan cross-stage checkpoint</w:t>
      </w:r>
      <w:r>
        <w:t xml:space="preserve"> tests a proposition that the earlier comparison left unresolved: strong aggregate educational performance does not make a country or language an appropriate zero-need control. Japan's 2025 population of 123,366,734, its large school and research systems, and its strong national PISA results establish scale and substantial existing provision. None is an exact count of people who would gain access from a particular Japanese, other-language, signed-language or accessibility package (MEXT, 2024a, 2024c; World Bank, 2026e).</w:t>
      </w:r>
    </w:p>
    <w:p>
      <w:pPr>
        <w:widowControl/>
      </w:pPr>
      <w:r>
        <w:t>One current functional-access population is directly measured. MEXT defines learners needing Japanese-language instruction to include both learners without sufficient everyday Japanese and learners who can converse in Japanese but lack the grade-level academic language needed to participate in learning. The 2023 survey counts 69,123 enrolled learners: 57,718 of foreign nationality and 11,405 of Japanese nationality. Of these, 46,132 were in elementary school, 15,967 in lower secondary and 5,573 in upper secondary, with the balance in compulsory-education, secondary and special-support schools. Among 4,464 lower-secondary graduates in the survey frame, 90.3% progressed to further education, compared with 99.0% for all students in the source comparison; 5.0% were in neither progression nor employment, compared with 0.8%. These are measured transition signals, not a translation effect or a complete census of migrant, minority or multilingual learners (MEXT, 2024b).</w:t>
      </w:r>
    </w:p>
    <w:p>
      <w:pPr>
        <w:widowControl/>
      </w:pPr>
      <w:r>
        <w:t>The same survey prevents a one-language interpretation. Its two disjoint nationality partitions reconcile to broad daily-life-language counts of 13,754 Chinese, 12,579 Portuguese, 11,121 Filipino, 4,918 English, 4,046 Spanish, 3,978 Vietnamese, 669 Korean, 6,149 Japanese and 11,909 other. These are survey labels, not exact varieties, scripts or production tags. The report also records mother-tongue support routes in 409 local authorities, with further named examples including Nepali, Indonesian, Thai, Russian, Urdu, Mongolian, French, Hindi, Arabic, Bangla, Sinhala, Persian and Ukrainian. Authority counts do not measure staff capacity, learner coverage, material quality or effect.</w:t>
      </w:r>
    </w:p>
    <w:p>
      <w:pPr>
        <w:widowControl/>
      </w:pPr>
      <w:r>
        <w:t>The six educational stages therefore produce six different comparisons. At preschool and foundational stages, compare a coherent child/caregiver-language early-learning or literacy/numeracy pathway with a bounded diagnostic and academic-Japanese bridge in the exact home, signed or accessible route. At secondary level, compare complete mathematics, science, computing and reading pathways with a transition package for a named bottleneck such as algebra, data literacy, scientific reading or academic Japanese. At vocational level, bind a specific credential or work task before comparing full reskilling sequences with smaller statistics, finance, management, health or computing toolkits. At university level, compare a complete open course with a prerequisite, terminology, formula-reading or offline-laboratory companion. At postgraduate/research level, compare coherent advanced source chains with a source-faithful edition or bilingual proof, terminology and search scaffold for a named missing work.</w:t>
      </w:r>
    </w:p>
    <w:p>
      <w:pPr>
        <w:widowControl/>
      </w:pPr>
      <w:r>
        <w:t>Existing provision changes these comparisons rather than ending them. MEXT's tables report 607,951 specialized-training students, 2,945,599 university students, 168,706 master's students, 75,841 doctoral students and 910,393 researchers in the retained 2023 frames. J-STAGE reports more than 4,000 publications from more than 2,400 publishers and says that more than 90% of its articles are free to read; only items displaying an open-access licence establish the corresponding reuse permission. A historical 2010-2012 NISTEP analysis also shows a mixed Japanese/English publication ecology: domestic non-open-access journals were 53.2% English and 46.5% Japanese in its Scopus-derived frame, whereas domestic open-access journals were 89.6% English and 10.2% Japanese. Publication language does not measure comprehension, present-day shares or unmet educational need (Japan Science and Technology Agency, n.d.; NISTEP, 2016).</w:t>
      </w:r>
    </w:p>
    <w:p>
      <w:pPr>
        <w:widowControl/>
      </w:pPr>
      <w:r>
        <w:t xml:space="preserve">Japanese is not every Japan-linked language. The universal gate retains all 25 </w:t>
      </w:r>
      <w:r>
        <w:rPr>
          <w:rFonts w:ascii="Consolas" w:hAnsi="Consolas" w:eastAsia="Consolas" w:cs="Consolas"/>
          <w:color w:val="31465A"/>
          <w:sz w:val="21"/>
        </w:rPr>
        <w:t>JP</w:t>
      </w:r>
      <w:r>
        <w:t>-linked Glottolog language-level nodes. The Agency for Cultural Affairs separately names Ainu, Yaeyama, Yonaguni, Hachijo, Amami, Kunigami, Okinawan and Miyako as endangered language or variety categories. Broad labels such as Ainu and Amami are not forced into one exact node. Amami O Shima Sign Language, Japanese Sign Language and Miyakubo Sign Language remain three separate signed-language nodes; the 2025 statutory recognition of sign language does not establish that one signed route covers the others (Agency for Cultural Affairs, n.d.; Cabinet Office, 2025).</w:t>
      </w:r>
    </w:p>
    <w:p>
      <w:pPr>
        <w:widowControl/>
      </w:pPr>
      <w:r>
        <w:t>The immediate experimental order is not a funding rank: first test the measured academic-Japanese transition route with an exact home-language, signed-language or accessibility arm; separately test one matched offline/accessibility package, one named advanced Japanese edition or bilingual research scaffold, and one bounded endangered-language or signed-language prestige-domain prototype. All nine measured OpenStax collections, Open Logic, the Stacks Project and other advanced open corpora remain comparison baselines rather than automatic recommendations. Every exact audience, incremental effect, physical compute, currency cost, dominance relation and funding rank remains unset. The source audit passes 232 checks across eighteen retained sources, five PDFs containing 236 pages, five workbooks containing 106 sheets and sixteen visually inspected PDF pages. An independently implemented readback passes 298 checks, and two complete five-process replays reproduce all eight canonical outputs byte-for-byte.</w:t>
      </w:r>
    </w:p>
    <w:p>
      <w:pPr>
        <w:pStyle w:val="Heading3"/>
        <w:widowControl/>
      </w:pPr>
      <w:r>
        <w:rPr>
          <w:color w:val="000000"/>
        </w:rPr>
        <w:t>4 5 7 Brazil is not one Portuguese language audience</w:t>
      </w:r>
    </w:p>
    <w:p>
      <w:pPr>
        <w:widowControl/>
      </w:pPr>
      <w:r>
        <w:t xml:space="preserve">The </w:t>
      </w:r>
      <w:r>
        <w:rPr>
          <w:rFonts w:ascii="Calibri" w:hAnsi="Calibri" w:eastAsia="Calibri" w:cs="Calibri"/>
          <w:color w:val="2E74B5"/>
          <w:u w:val="single"/>
        </w:rPr>
        <w:t>Brazil cross-stage checkpoint</w:t>
      </w:r>
      <w:r>
        <w:t xml:space="preserve"> separates a large Portuguese-medium education system from exact Indigenous-language, signed-language, adult-re-entry, distance-learning, accessibility and research-access questions. The zero-disappearance register retains all 337 Glottolog language-level nodes associated with Brazil, including ten bookkeeping nodes and seven signed-language nodes. The 2022 Census table independently retains 304 census language labels. Those two taxonomies are not forced into a name-based crosswalk, and the sum of the census label counts-475,893-is not treated as a count of unique people because the source hierarchy and reporting categories can overlap (Brazilian Institute of Geography and Statistics [IBGE], 2025a).</w:t>
      </w:r>
    </w:p>
    <w:p>
      <w:pPr>
        <w:widowControl/>
      </w:pPr>
      <w:r>
        <w:t>The directly observed language-use frame is consequential but still not an intervention audience. Among 1,521,956 Indigenous people aged five or older in the relevant 2022 Census table, 433,980 were recorded as using an Indigenous language at home, 1,327,592 as using Portuguese at home and 181,641 as not using Portuguese at home. Portuguese and Indigenous-language use are overlapping categories, so neither the two yes-counts nor their percentages can be added. A separate simple-note literacy measure records 178,707 of 1,187,246 Indigenous people aged fifteen or older as not literate, or 15.05%, compared with 7% nationally. It does not identify their exact language, desired instructional route or likely response to a translated package (IBGE, 2025b, 2025c).</w:t>
      </w:r>
    </w:p>
    <w:p>
      <w:pPr>
        <w:widowControl/>
      </w:pPr>
      <w:r>
        <w:t>The stage denominators show why one national score would be misleading. The 2024 school census reports 47,088,922 basic-education enrolments, including 9,491,894 in early childhood, 26,002,356 in foundational education and 7,790,396 in secondary education. Its 2,576,293 vocational enrolments overlap secondary and adult-education categories and cannot be added as another population. Higher education contains 10,226,873 undergraduate enrolments, of which 5,189,391 are in distance education. CAPES records 419,915 distinct postgraduate people in its 2024 frame. PISA represents about 2.263 million fifteen-year-olds and reports 73% below Level 2 in mathematics, 50% in reading and 55% in science; those subject groups overlap, exclude an estimated 24% of the age cohort and do not establish a language cause (Inep, 2025a, 2025b; OECD, 2023d; CAPES, 2025).</w:t>
      </w:r>
    </w:p>
    <w:p>
      <w:pPr>
        <w:widowControl/>
      </w:pPr>
      <w:r>
        <w:t>Indigenous and signed-language provision is a distinct comparison rather than a residual after Portuguese. The retained federal report records 3,608 schools offering Indigenous education and 294,249 enrolments in 2024, plus teacher, higher-education and language-documentation programmes. Its reported count of fifty co-officialized oral and signed languages is a policy count, not an identity crosswalk or proof of complete curricular supply. Federal law establishes Libras and written Portuguese as a bilingual deaf-education route, but it supplies no equivalence between Libras and Macushi, Marajo, Maxakali, Papiu Yanomama, Terena or Urubú-Kaapor Sign Language. Each of the seven registry nodes therefore remains its own video, notation, regional-variation, transcript, caption and low-bandwidth research obligation (Ministry of Planning and Budget, Brazil, 2026; Federal Senate of Brazil, 2021).</w:t>
      </w:r>
    </w:p>
    <w:p>
      <w:pPr>
        <w:widowControl/>
      </w:pPr>
      <w:r>
        <w:t>The six educational stages consequently support different matched experiments. P compares coherent child/caregiver-language early learning with one bounded phone, print, audio or signed activity pack. F compares complete literacy, numeracy and science pathways with an exact-language or academic-Portuguese diagnostic and worked-feedback bridge. S compares full mathematics, statistics, computing and science sequences with one prerequisite, subject-language or data-literacy transition package. V requires an actual occupation or qualification before testing finance, management, statistics, computing, health or safety material. U compares complete degree-core sources with a prerequisite, terminology, accessibility or offline companion, particularly in the large distance route. R compares coherent advanced source chains with a source-faithful Portuguese edition or bilingual proof, terminology and search scaffold for a named missing work. Research education remains education; strong journal and university systems do not supply every advanced open work.</w:t>
      </w:r>
    </w:p>
    <w:p>
      <w:pPr>
        <w:widowControl/>
      </w:pPr>
      <w:r>
        <w:t>Eleven target profiles and all nine measured OpenStax source packages are now bound to these questions, alongside Open Logic, forallx and the Stacks Project as advanced baselines. The near-term experiment sequence starts with one exact Indigenous-language F route, one exact signed-language mathematics or science route, one Portuguese or bilingual S prerequisite route, one EJA/V practical route, one low-bandwidth U route and one named R comparison. This sequence is workflow, not funding rank. Exact audience, incremental effect, physical compute, currency cost, dominance and global rank remain unset. The source audit passes 858 checks across 26 retained source slots and nineteen visually inspected PDF pages; an independent reconstruction passes 5,310 checks; two complete six-process replays reproduce all nine canonical outputs byte-for-byte.</w:t>
      </w:r>
    </w:p>
    <w:p>
      <w:pPr>
        <w:pStyle w:val="Heading3"/>
        <w:widowControl/>
      </w:pPr>
      <w:r>
        <w:rPr>
          <w:color w:val="000000"/>
        </w:rPr>
        <w:t>4 5 8 Mexico is not one Spanish language audience</w:t>
      </w:r>
    </w:p>
    <w:p>
      <w:pPr>
        <w:widowControl/>
      </w:pPr>
      <w:r>
        <w:t xml:space="preserve">The </w:t>
      </w:r>
      <w:r>
        <w:rPr>
          <w:rFonts w:ascii="Calibri" w:hAnsi="Calibri" w:eastAsia="Calibri" w:cs="Calibri"/>
          <w:color w:val="2E74B5"/>
          <w:u w:val="single"/>
        </w:rPr>
        <w:t>Mexico cross-stage checkpoint</w:t>
      </w:r>
      <w:r>
        <w:t xml:space="preserve"> preserves three identity systems without pretending that they are interchangeable. Glottolog contributes 339 language-level nodes associated with Mexico, including seventeen bookkeeping nodes and five signed-language nodes. INALI independently specifies eleven families, 68 groupings, 364 catalogue variants and 476 self-denominations. Its own methodology says that a grouping can contain speech forms that are not mutually intelligible. INEGI's selected census chart instead reports ten broad labels plus an “other languages” category. A label such as Náhuatl, Maya, Mixteco or Zapoteco is therefore neither one automatic production audience nor a source-audited match to one Glottolog node (Instituto Nacional de Lenguas Indígenas [INALI], 2008; Instituto Nacional de Estadística y Geografía [INEGI], 2022).</w:t>
      </w:r>
    </w:p>
    <w:p>
      <w:pPr>
        <w:widowControl/>
      </w:pPr>
      <w:r>
        <w:t>The scale is consequential but does not settle the language boundary. The 2020 Census records 7,364,645 people aged three or older who spoke an Indigenous language, 6.1% of the same-age population. The 2023-2024 Indigenous-education report records 48,290 initial, 417,934 preschool and 779,514 primary enrollments: 1,245,738 in total, with 60,597 teachers or group-facing personnel and 22,315 schools. It also reports 569,547 Indigenous-language primary material copies distributed across twenty broad language columns. Copies are not unique titles, learners reached, exact variants served, open licenses, usability or learning effects. The material table therefore changes the next supply question; it does not erase any of the 364 exact-variant obligations (Dirección General de Educación Indígena, Intercultural y Bilingüe [DGEIIB], 2024; INEGI, 2022).</w:t>
      </w:r>
    </w:p>
    <w:p>
      <w:pPr>
        <w:widowControl/>
      </w:pPr>
      <w:r>
        <w:t>The six stages require different denominators. Current SEP figures report 3,996,767 preschool, 12,838,201 primary, 6,293,530 secondary and 5,492,491 upper-secondary enrollments in 2024-2025. The 43,597 professional-technical enrollments are nested within upper secondary. Higher education contains 5,519,791 enrollments, including 4,913,471 university and technological undergraduates and 478,382 postgraduate enrollments. PISA represents about 1,393,700 fifteen-year-olds-an estimated 64% of that age population-and reports 66% below Level 2 in mathematics, 47% in reading and 51% in science. Those three burdens overlap in the same represented cohort and cannot be added as separate people or attributed to language without a matched test (Organisation for Economic Co-operation and Development [OECD], 2023e; Secretaría de Educación Pública [SEP], 2025).</w:t>
      </w:r>
    </w:p>
    <w:p>
      <w:pPr>
        <w:widowControl/>
      </w:pPr>
      <w:r>
        <w:t>Observed supply is substantial but unevenly informative. CONALITEG exposes current preschool, primary, secondary and telesecundaria textbook routes. Cursos @prende.mx displays 2,708,965 cumulative registrations, 1,359 courses and 95 partner institutions; its help page describes Spanish-language courses that are free and available online around the clock, phone/tablet viewable, but better on a desktop or laptop. That is not evidence of downloadable offline supply, exact-language access or item-level open licensing. SciELO Mexico lists 288 journals and 183 current serials, while ANUIES exposes a current higher-education yearbook route. Current federal law separately names Indigenous, intercultural and plurilingual education, open and distance options, Mexican Sign Language, Braille, audio, large print, captions and audiodescription. Legal recognition and catalogue presence are intervention context, not proof of complete implementation or coverage of the four non-MSL signed-language nodes (Asociación Nacional de Universidades e Instituciones de Educación Superior [ANUIES], 2026; Cámara de Diputados, 2024, 2026; CONALITEG, 2026; SciELO México, 2026; SEP, 2026).</w:t>
      </w:r>
    </w:p>
    <w:p>
      <w:pPr>
        <w:widowControl/>
      </w:pPr>
      <w:r>
        <w:t>The matched package questions follow from those distinctions. P compares an exact child/caregiver-language early-learning sequence with one bounded phone, print, audio or signed activity pack. F compares coherent literacy, numeracy and science pathways with a variant-specific diagnostic and bilingual transition. S compares complete mathematics, statistics, computing and science sequences with one prerequisite or academic-language bridge while preserving PISA's coverage limit. V requires an actual task or qualification before testing finance, management, statistics, computing, health or safety. U compares degree-core sources with one gateway-course, terminology, accessibility or offline companion. R compares coherent advanced source chains with full translation, source-facing parallel text, bilingual navigation or one bounded research sidecar for a named field. Thirteen target profiles, all nine measured OpenStax sources, Open Logic, the Stacks Project and advanced research corpora are bound to these questions. No exact audience, incremental effect, physical compute, currency cost, dominance or global rank is assigned. The source audit passes 144 checks; an independent reconstruction passes 11,793; and two six-process runs reproduce nine canonical outputs byte-for-byte. This is a workflow checkpoint, not a country or funding order.</w:t>
      </w:r>
    </w:p>
    <w:p>
      <w:pPr>
        <w:pStyle w:val="Heading3"/>
        <w:widowControl/>
      </w:pPr>
      <w:r>
        <w:rPr>
          <w:color w:val="000000"/>
        </w:rPr>
        <w:t>4 5 9 Ethiopia cannot be reduced to an Amharic or English language audience</w:t>
      </w:r>
    </w:p>
    <w:p>
      <w:pPr>
        <w:widowControl/>
      </w:pPr>
      <w:r>
        <w:t xml:space="preserve">The </w:t>
      </w:r>
      <w:r>
        <w:rPr>
          <w:rFonts w:ascii="Calibri" w:hAnsi="Calibri" w:eastAsia="Calibri" w:cs="Calibri"/>
          <w:color w:val="2E74B5"/>
          <w:u w:val="single"/>
        </w:rPr>
        <w:t>Ethiopia cross-stage checkpoint</w:t>
      </w:r>
      <w:r>
        <w:t xml:space="preserve"> preserves the country's multilingual educational problem before asking which package should receive compute. The zero-disappearance register contains all 105 Glottolog language-level nodes associated with Ethiopia, including two bookkeeping nodes and Ethiopian Sign Language. Fourteen exact first-question profiles cover Amharic, Afar, three separate Oromo nodes, Somali, Tigrinya, Sidamo, Wolaytta, Hadiyya, Nuer, Berta, Harari and Ethiopian Sign Language. The remaining 91 nodes are still visible possible outrankers. Amharic, English, a broad source label or an interlanguage is not credited with covering another node without evidence of usable comprehension.</w:t>
      </w:r>
    </w:p>
    <w:p>
      <w:pPr>
        <w:widowControl/>
      </w:pPr>
      <w:r>
        <w:t>The available population evidence is consequential but cannot be converted into current language audiences. The 2007 census defines mother tongue through childhood acquisition or the language most frequently used in the household and reports a national total of 73,750,932. Its selected historical labels include Oromigna 24,930,424, Amarigna 21,634,396, Somaligna 4,609,274, Tigrigna 4,324,933, Sidamigna 2,981,471, Welaitigna 1,627,955, Affarigna 1,281,284 and Hadiyigna 1,253,894. Those are 2007 census categories, not current language-edition audiences. They are not projected by multiplying their old shares into the World Bank's 2025 national population estimate of 135,472,051, and broad labels such as Oromigna are not silently assigned to one of the three retained Oromo nodes (Ethiopian Statistical Service, 2008; World Bank, 2026).</w:t>
      </w:r>
    </w:p>
    <w:p>
      <w:pPr>
        <w:widowControl/>
      </w:pPr>
      <w:r>
        <w:t>The foundational evidence makes exact-language experiments urgent enough to test, but it does not supply a ready-made rank. A 2021 national early-grade reading assessment covered nine named language groups, 484 primary schools, 968 teachers and 19,360 students. It reported zero-reader classifications for 68% of Grade 2 learners and 51% of Grade 3 learners nationally, with large differences across language groups. A different 2024 midterm evaluation in Afar and Oromia reported weighted means of 37.8 letters, 10.7 familiar words and 10.3 oral-reading words per minute, plus 10.8% comprehension. The report itself cautions that observed associations are not necessarily causal. The two studies have different samples and cannot be merged into one national language effect (World Food Programme, 2024).</w:t>
      </w:r>
    </w:p>
    <w:p>
      <w:pPr>
        <w:widowControl/>
      </w:pPr>
      <w:r>
        <w:t>Delivery conditions also change what counts as a useful edition. The 2022/23 statistics abstract reports that only 11% of respondent secondary schools had Internet access, while 69.7% had electricity and 62.4% had computers. Functional biology, chemistry and physics laboratories were reported at 34.6%, 35.9% and 31.9%, respectively. The World Bank's national series place Internet use at 21.94% and electricity access at 56.6% in 2024. These measurements use different frames, but together they rule out an online-only default. The same statistics abstract warns that new-curriculum textbooks were not completely printed and distributed and contains an internal reporting-year inconsistency that remains explicit (Ethiopia Ministry of Education, 2023a; World Bank, 2026).</w:t>
      </w:r>
    </w:p>
    <w:p>
      <w:pPr>
        <w:widowControl/>
      </w:pPr>
      <w:r>
        <w:t>Current law and strategy define additional routes without proving implementation. General Education Proclamation No. 1368/2025 provides for mother-tongue instruction from pre-primary to an endpoint chosen by regional education bodies, makes English compulsory as a medium from Grade 9, and names sign language, Braille and adaptive technology. The inclusive-education strategy identifies sign-language, Braille, audio-visual and assistive-material needs, while the digital strategy calls for online and offline delivery and open educational resources. The vocational strategy emphasizes community-led labour-market evidence, digital skills, entrepreneurship, recognition of prior learning, refugees and host communities. Each is a source-bound design requirement, not a measured beneficiary count (Federal Democratic Republic of Ethiopia, 2025; Ethiopia Ministry of Education, 2023b, n.d.-a; Ethiopia Ministry of Labor and Skills, 2025).</w:t>
      </w:r>
    </w:p>
    <w:p>
      <w:pPr>
        <w:widowControl/>
      </w:pPr>
      <w:r>
        <w:t>The resulting package comparison spans all six stages. P tests an exact child/caregiver-language, audio or signed early-learning sequence. F tests coherent literacy, numeracy and introductory science with worked feedback in the exact language and script. S tests offline mathematics, statistics, computing and science plus the transition to English-medium study. V starts from a named occupation or qualification and compares practical finance, management, agriculture, health, safety, computing and entrepreneurship resources. U compares a complete degree-core route with a course-specific prerequisite, terminology, accessibility or low-bandwidth companion. R compares a named advanced source chain with a source-faithful edition, bilingual proof scaffold, terminology and search support. Research education remains eligible; it is not traded away merely because foundational need is severe.</w:t>
      </w:r>
    </w:p>
    <w:p>
      <w:pPr>
        <w:widowControl/>
      </w:pPr>
      <w:r>
        <w:t>The comparison maps nine measured OpenStax books and ten other open baselines, including TESSA, OpenRN Nursing Fundamentals, soil science, climate-smart agriculture, the Carpentries, the Turing Way, open research methods, MIT OpenCourseWare, Open Logic and the Stacks Project. Their combined 4,463,123-token OpenStax text scale is a workload reference, not a compute bill or benefit score. Teacher availability is not assumed: phone-downloadable, printable, low-bandwidth, worked-answer, semantic-HTML, audio, Braille and signed-video variants are separate delivery designs. The 630-row language-by-stage register keeps every audience, incremental effect, physical compute, currency cost, dominance relation and funding rank unset. The source audit passes 233 checks across twelve new and eight reused source files and 39 visually inspected pages; an independent reconstruction passes 620 checks; two complete replays reproduce all six canonical outputs byte-for-byte.</w:t>
      </w:r>
    </w:p>
    <w:p>
      <w:pPr>
        <w:pStyle w:val="Heading3"/>
        <w:widowControl/>
      </w:pPr>
      <w:r>
        <w:rPr>
          <w:color w:val="000000"/>
        </w:rPr>
        <w:t>4 5 10 The United States is not one English language audience</w:t>
      </w:r>
    </w:p>
    <w:p>
      <w:pPr>
        <w:widowControl/>
      </w:pPr>
      <w:r>
        <w:t>The United States checkpoint shows why national wealth and abundant English material cannot be used as exclusion rules. The discovery register retains 332 Glottolog language-level nodes linked to the United States or one of its territories, including four bookkeeping nodes and six name-identified signed-language nodes. A registry link is only a research locator: it does not prove current residence, present-day use, or the size of an educational audience. The separate resident-language evidence uses 28 selected Census labels, and those labels are not silently forced into exact varieties or scripts.</w:t>
      </w:r>
    </w:p>
    <w:p>
      <w:pPr>
        <w:widowControl/>
      </w:pPr>
      <w:r>
        <w:t>The multilingual scale is large even before exact educational need is known. The Census Bureau's 2017-2021 national table reports 67.2 million people age five or older speaking a language other than English at home; 25.54 million reported speaking English less than “very well.” The second figure is 38.006% of the first, but neither home language nor self-rated conversational English is a measure of academic comprehension or the effect of a translated course. A separate 2019 report gives 67.8 million people speaking a non-English language at home. The periods and publications remain separate rather than being averaged into false precision (U.S. Census Bureau, 2022a, 2022b).</w:t>
      </w:r>
    </w:p>
    <w:p>
      <w:pPr>
        <w:widowControl/>
      </w:pPr>
      <w:r>
        <w:t>School evidence identifies more specific starting points. NCES reports about 5.0 million English learners in public schools in fall 2020, or 10.3% of enrollment. Its leading administrative home-language labels include Spanish/Castilian, Arabic, Chinese, Vietnamese, Portuguese, Russian, Haitian/Haitian Creole, Hmong and Urdu. These categories are non-exhaustive and sometimes broad. They identify routes for exact-language investigation; they do not establish that one edition serves everyone under a label. The report's Portuguese count is 43,426-the page image shows a comma where text extraction produced a period (National Center for Education Statistics, 2023a).</w:t>
      </w:r>
    </w:p>
    <w:p>
      <w:pPr>
        <w:widowControl/>
      </w:pPr>
      <w:r>
        <w:t>National totals also hide locally important communities. In Alaska's state table, the source labels Central Yupik, Inupiaq and Central Siberian Yupik have estimated home-language populations of 15,680 ± 746, 5,722 ± 504 and 1,032 ± 116. Hawaiʻi's selected labels include Iloko at 59,050 ± 3,269, Hawaiian at 26,000 ± 1,916, Hawaiʻi Creole English at 11,600 ± 1,337, Chuukese at 7,861 ± 1,403 and Marshallese at 6,243 ± 1,163. These are Census labels, estimates and margins of error-not automatic Glottolog matches or course audiences. American Samoa, Guam, the Northern Mariana Islands, Puerto Rico, the U.S. Virgin Islands and the U.S. Minor Outlying Islands remain separate profiles. Retained Island Areas table shells prove that jurisdiction-specific language variables exist, but they do not contain the populated language counts; that missing evidence remains a priority rather than a zero (U.S. Census Bureau, 2022c, 2023a, 2023b).</w:t>
      </w:r>
    </w:p>
    <w:p>
      <w:pPr>
        <w:widowControl/>
      </w:pPr>
      <w:r>
        <w:t>Tribal education is a full-pathway question, not an “Indigenous-language add-on.” Bureau of Indian Education and National Advisory Council evidence identifies early childhood, Native-language and cultural maintenance, assessment, school improvement, technology, workforce preparation, entrepreneurship and tribal-college pathways. The 2023-2024 BIE report card records 35,138 school-year enrollment, 5,888 English learners under a different report-card denominator, 16.58% mathematics proficient or advanced and 74.7% four-year graduation. Those figures use different frames and cannot be added or interpreted as translation effects. They make matched, community-specific comparisons testable without granting any one Native language, English, Spanish or interlanguage automatic coverage (Bureau of Indian Education, 2024a, 2024b; National Advisory Council on Indian Education, 2023).</w:t>
      </w:r>
    </w:p>
    <w:p>
      <w:pPr>
        <w:widowControl/>
      </w:pPr>
      <w:r>
        <w:t>Signed language and accessibility are separate, sometimes intersecting routes. The register retains American Sign Language, Hawaiʻi Sign Language, Keresan Pueblo Indian Sign Language, Martha's Vineyard Sign Language, Plains Indian Sign Language and Puerto Rican Sign Language. Black ASL remains a documented variety question without inventing a seventh Glottolog node. IDEA service counts, deaf-student evidence and a 180-student postsecondary access study show why ASL, other signed languages, captions, transcripts, speech-to-text, MathML, braille, tactile graphics, audio, plain language, device access and offline delivery cannot be collapsed into one “accessible” file. Disability counts are not signed-language counts, and a small study is not national prevalence (Gallaudet University Press, n.d.; National Deaf Center on Postsecondary Outcomes, 2019, 2024; U.S. Department of Education, 2025).</w:t>
      </w:r>
    </w:p>
    <w:p>
      <w:pPr>
        <w:widowControl/>
      </w:pPr>
      <w:r>
        <w:t>The comparison therefore spans the whole educational pathway. P covers preschool and early childhood; F foundational and primary education; S secondary; V vocational, technical and practical education; U taught university and other tertiary education; and R postgraduate study and research. National context includes 61.0% preschool enrollment among ages three to five in 2023, 49.62 million public-school students in 2022, 16.39 million undergraduates and 3.27 million postbaccalaureate students in 2024, and 57,862 research doctorates in 2023. None is a language-specific beneficiary denominator. The useful unit is an exact language or variety × stage × subject × format × delivery route × common educational endpoint (National Center for Education Statistics, 2023b, 2024a, 2026; National Center for Science and Engineering Statistics, 2025).</w:t>
      </w:r>
    </w:p>
    <w:p>
      <w:pPr>
        <w:widowControl/>
      </w:pPr>
      <w:r>
        <w:t>At each stage the checkpoint compares three alternatives: a coherent open pathway, a smaller diagnostic/transition/terminology/accessibility package, and verified existing supply that reaches the same learners and endpoint. The subject menu includes the nine measured OpenStax baselines-prealgebra, statistics, biology, chemistry, physics, management, finance, anatomy/physiology and Python-plus Open Logic, forall x: Calgary and the Stacks Project for advanced work. Existing English supply is relevant to additionality, but it is not evidence that every exact learner can use it. Existing local work has zero effect on global need.</w:t>
      </w:r>
    </w:p>
    <w:p>
      <w:pPr>
        <w:widowControl/>
      </w:pPr>
      <w:r>
        <w:t>The result is a 1,992-row language-by-stage ledger in which every one of the 332 nodes remains a possible outranker. All exact audience, incremental effect, physical compute, currency cost, dominance and funding-rank fields remain unset. The source audit passes 340 checks across 28 retained files and 14 visually inspected pages; the constructor passes 57 checks; independent readback passes 54 checks with 21,912 CSV/JSON field comparisons and no mismatches; and two complete constructor runs reproduce all four outputs byte-for-byte. This closes a bounded evidence gate. It does not assign the United States or any U.S.-linked language a global rank.</w:t>
      </w:r>
    </w:p>
    <w:p>
      <w:pPr>
        <w:pStyle w:val="Heading2"/>
        <w:widowControl/>
      </w:pPr>
      <w:r>
        <w:rPr>
          <w:color w:val="000000"/>
        </w:rPr>
        <w:t>4 6 Practical skills and continuity beyond a uniform mathematics package</w:t>
      </w:r>
    </w:p>
    <w:p>
      <w:pPr>
        <w:widowControl/>
      </w:pPr>
      <w:r>
        <w:t xml:space="preserve">Seven further profiles generate eleven concrete package hypotheses. These are different educational tasks, not a new language league table. The complete source cards retain national versus language populations, observation dates, existing alternatives and uncertainty: </w:t>
      </w:r>
      <w:r>
        <w:rPr>
          <w:rFonts w:ascii="Calibri" w:hAnsi="Calibri" w:eastAsia="Calibri" w:cs="Calibri"/>
          <w:color w:val="2E74B5"/>
          <w:u w:val="single"/>
        </w:rPr>
        <w:t>mainland Southeast Asia</w:t>
      </w:r>
      <w:r>
        <w:t xml:space="preserve"> and </w:t>
      </w:r>
      <w:r>
        <w:rPr>
          <w:rFonts w:ascii="Calibri" w:hAnsi="Calibri" w:eastAsia="Calibri" w:cs="Calibri"/>
          <w:color w:val="2E74B5"/>
          <w:u w:val="single"/>
        </w:rPr>
        <w:t>Brazilian Portuguese and Latin-American Spanish</w:t>
      </w:r>
      <w:r>
        <w:t>.</w:t>
      </w:r>
    </w:p>
    <w:p>
      <w:pPr>
        <w:widowControl/>
      </w:pPr>
      <w:r>
        <w:t>Thailand provides particularly direct motivation for a practical-skills route. Its assessment of people aged 15-64 reports 64.7% below the foundational-reading threshold and 74.1% below the foundational-digital threshold. Basic digital tasks include using a pointer or keyboard and identifying a displayed price. These are different skill measures, not percentages to add or multiply. They motivate a Thai reading-and-digital-operations package, with device-based practice distinguished from paper exercises; they do not identify the number of Thai-language beneficiaries (World Bank, n.d.).</w:t>
      </w:r>
    </w:p>
    <w:p>
      <w:pPr>
        <w:widowControl/>
      </w:pPr>
      <w:r>
        <w:t>Myanmar illustrates a different mechanism. UNICEF's 2026-framed programme page describes around 3.5 million children outside schooling or learning, without providing an observation year or language breakdown. That is contextual evidence for interrupted-learning routes, not a Burmese-language count. A print-first sequence of independent science-reading units could serve Burmese-using adolescents with interrupted study. Existing ministry textbooks and curriculum videos are alternatives; other Myanmar languages remain separate candidates (UNICEF Myanmar, n.d.).</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141"/>
        <w:gridCol w:w="2793"/>
        <w:gridCol w:w="4426"/>
      </w:tblGrid>
      <w:tr>
        <w:trPr>
          <w:tblHeader w:val="true"/>
          <w:cantSplit w:val="true"/>
        </w:trPr>
        <w:tc>
          <w:tcPr>
            <w:tcW w:type="dxa" w:w="21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Language profile</w:t>
            </w:r>
          </w:p>
        </w:tc>
        <w:tc>
          <w:tcPr>
            <w:tcW w:type="dxa" w:w="27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hypothesis to compare</w:t>
            </w:r>
          </w:p>
        </w:tc>
        <w:tc>
          <w:tcPr>
            <w:tcW w:type="dxa" w:w="442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Evidence that narrows, but does not settle, the additional benefit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Vietnamese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six-unit science-reading and diagram companion for entry to Grade 6</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publisher's existing science book already supports reading, practice and self-assessment. The specific technical-reading bottleneck is not measured.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Thai</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short reading/digital-operation tasks, with optional offline practice</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MOOC already supplies digital-literacy courses and tests. Entry difficulty and device requirements need a task-level comparison.</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Burmese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stand-alone science-reading restart units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books/videos do not remove disruption; neither their presence nor disruption alone measures this package's effect.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Central Khmer</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Eight technical-reading tasks connecting Grade 9 study and vocational entry</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BEEP already combines equivalency, science, workplace and review material. A new bridge cannot claim those features are absent.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Lao</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age-respectful comprehension stories with explained answers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Khang Panya Lao already offers readers and advertises offline delivery. Exact feedback overlap remains uninspected.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Brazilian Portuguese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Adult science-reading, enterprise-records and reproducible-data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Encceja and IFRS provide substantial existing study and self-paced routes; each proposed delivery or prerequisite advantage is provisional.</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Latin-American Spanish, territory-specific</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Country-aligned science-reading, business-case and data-laboratory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INEA, SENA and UNAM already supply relevant content. Mexican, Chilean and Colombian evidence is not a representative regional denominator.</w:t>
            </w:r>
          </w:p>
        </w:tc>
      </w:tr>
    </w:tbl>
    <w:p>
      <w:pPr>
        <w:widowControl/>
        <w:spacing w:before="0" w:after="40"/>
      </w:pPr>
    </w:p>
    <w:p>
      <w:pPr>
        <w:widowControl/>
      </w:pPr>
      <w:r>
        <w:t>The package sizes are bounded design scenarios, not established minimum doses or optima. The eleven designs yield fifteen stage-specific routes because some span more than one stage; those variants are not disjoint populations. UNAM's public catalogue, for example, already includes R-based data science, finance and scientific thinking. Catalogue inspection establishes alternatives, not their full contents, offline usability or universal access (UNAM, n.d.).</w:t>
      </w:r>
    </w:p>
    <w:p>
      <w:pPr>
        <w:widowControl/>
      </w:pPr>
      <w:r>
        <w:t>A further methodological prediction follows: a search concentrated on existing textbook catalogues may favor supplement proposals simply because supplements are easier to distinguish from a listed title. The comparison must therefore retain full open editions, integrated learning packages and smaller additions under the same audience, quality and cost assumptions. The current evidence does not establish that small companions are globally optimal. Existing provision can change a particular intervention's expected additional benefit; it cannot erase the population's measured educational need.</w:t>
      </w:r>
    </w:p>
    <w:p>
      <w:pPr>
        <w:pStyle w:val="Heading2"/>
        <w:widowControl/>
      </w:pPr>
      <w:r>
        <w:rPr>
          <w:color w:val="000000"/>
        </w:rPr>
        <w:t>4 7 Philippine home languages require separate transition and self study comparisons</w:t>
      </w:r>
    </w:p>
    <w:p>
      <w:pPr>
        <w:widowControl/>
      </w:pPr>
      <w:r>
        <w:t>The Philippine Statistics Authority reports language generally spoken at home by household, not by person. Its 2020 table gives 10,522,507 Tagalog households, 4,214,122 Bisaya/Binisaya households, 1,933,512 Hiligaynon/Ilonggo households, 1,863,409 Ilocano households and a separate 1,716,080 Cebuano households. The separate Bisaya/Binisaya and Cebuano rows are not merged. Nor is Tagalog household use automatically equated to comfortable use of the national Filipino educational standard. Hiligaynon/Ilonggo, Ilocano, Bikol/Bicol, Waray, Kapampangan, Maguindanao and Pangasinan/Panggalato are retained as possible-outranker profiles; the residual category and missing responses remain visible without becoming fake edition targets (Philippine Statistics Authority, 2023a).</w:t>
      </w:r>
    </w:p>
    <w:p>
      <w:pPr>
        <w:widowControl/>
      </w:pPr>
      <w:r>
        <w:t>The 2024 FLEMMS reports functional literacy for 60.17 million of an estimated 85.00 million people aged 10-64. Their displayed difference is 24.83 million, but both figures are rounded and the result has no language attribution. The national PISA 2022 represented cohort similarly cannot be divided among home languages by household shares. These national burdens justify investigation at foundational, secondary and practical stages; they are not Cebuano, Filipino or any other language's beneficiary count (Philippine Statistics Authority, 2025a).</w:t>
      </w:r>
    </w:p>
    <w:p>
      <w:pPr>
        <w:widowControl/>
      </w:pPr>
      <w:r>
        <w:t>DepEd Order No. 020 makes Filipino and English the primary media for Kindergarten to Grade 3 in school year 2025-2026, includes Filipino Sign Language for deaf and hard-of-hearing learners, and gives regional languages an auxiliary translanguaging role, with specified exceptions. This supports three comparisons: a complete 24-36-unit exact-home-language foundational transition sequence versus an 8-12-unit sidecar; a localized multi-strand independent-study sequence versus a language/navigation/feedback layer over existing ALS material; and a complete signed FSL route versus a smaller signed terminology and feedback layer. Existing ALS resources already span communication, science and critical thinking, mathematics, life and career skills and digital citizenship, so a generic claim that no curriculum exists would be false (Department of Education, n.d.-a, 2025).</w:t>
      </w:r>
    </w:p>
    <w:p>
      <w:pPr>
        <w:widowControl/>
      </w:pPr>
      <w:r>
        <w:t>Current catalog evidence makes the supply question more specific. The Learning Resources Management and Development System displayed 2,053 Grade 7 records, including 717 mathematics and 383 science records. Every one of the first fifteen rows in each of two bounded Grade 7 subject-list samples was labelled English; this is a sample, not a language census of the full catalog. Across the complete current Basic Literacy, Elementary and Secondary ALS catalog endpoints, 485 stage rows represented 482 unique resource identifiers: 283 rows were labelled English, 192 Tagalog and ten one of Hiligaynon, Kalanguya, Mamanwa, Manobo or Meranaw. Those labels do not prove file contents or exact-variety coverage; “Manobo,” in particular, is not an adequate production identity (Department of Education, n.d.-b).</w:t>
      </w:r>
    </w:p>
    <w:p>
      <w:pPr>
        <w:widowControl/>
      </w:pPr>
      <w:r>
        <w:t xml:space="preserve">The catalog advertises a download link on 480 of the 485 ALS rows, but one exact anonymous test returned an authorization barrier. Two sampled Grade 7 learner records likewise showed disabled anonymous View and Download controls. One failed test cannot be generalized to every record, yet it shows why a catalog entry is not the same as a learner obtaining an offline file. The resulting secondary comparison is an exact-language autonomous mathematics, reading/scientific-language and science companion versus a complete autonomous sequence at the same endpoint. Separate comparisons remain necessary for exact first-language-to-Filipino/English transitions, ALS pathways, FSL signed study and non-additive accessibility delivery. All retain unknown matched audiences, effects, physical compute, currency costs and ranks; the detailed source inventory and six alternatives are reported in the </w:t>
      </w:r>
      <w:r>
        <w:rPr>
          <w:rFonts w:ascii="Calibri" w:hAnsi="Calibri" w:eastAsia="Calibri" w:cs="Calibri"/>
          <w:color w:val="2E74B5"/>
          <w:u w:val="single"/>
        </w:rPr>
        <w:t>Philippines target-specific checkpoint</w:t>
      </w:r>
      <w:r>
        <w:t>.</w:t>
      </w:r>
    </w:p>
    <w:p>
      <w:pPr>
        <w:widowControl/>
      </w:pPr>
      <w:r>
        <w:t>Delivery also changes the comparison. The 2024 National ICT Household Survey reports home internet for 13.56 million households (48.8%) and internet use for 61.46 million people aged ten or above (67.3%). Among internet users, 98.8% used a cellphone and 76.9% used the internet daily; those conditional percentages are not population phone-ownership rates. Home-internet access was 21.2% in Zamboanga Peninsula and 27.7% in BARMM, while internet use among people aged ten or above was 40.0% in BARMM. These marginals support phone-readable, print, local-share and download-once offline alternatives, but cannot be multiplied by household-language or PISA rows (Philippine Statistics Authority, 2025b).</w:t>
      </w:r>
    </w:p>
    <w:p>
      <w:pPr>
        <w:pStyle w:val="Heading2"/>
        <w:widowControl/>
      </w:pPr>
      <w:r>
        <w:rPr>
          <w:color w:val="000000"/>
        </w:rPr>
        <w:t>4 8 Central Asia requires national language and bridge language comparisons</w:t>
      </w:r>
    </w:p>
    <w:p>
      <w:pPr>
        <w:widowControl/>
      </w:pPr>
      <w:r>
        <w:t>Three different kinds of evidence must not be collapsed. Kazakhstan's 2021 census table reports 17,194,712 people in its frame, including 13,750,439 who freely read Kazakh, 14,356,787 who freely read Russian and 5,670,216 who freely read English. Those columns overlap. The table cannot be subtracted into monolingual populations, and its nationality rows do not measure preferred educational language. It shows that Russian is a consequential bridge; it does not show that Russian serves everyone (Bureau of National Statistics of Kazakhstan, 2021).</w:t>
      </w:r>
    </w:p>
    <w:p>
      <w:pPr>
        <w:widowControl/>
      </w:pPr>
      <w:r>
        <w:t>Uzbekistan provides a different construct: 2021/22 school enrollment by language of instruction. The table reports 5,355,701 students in Uzbek, 642,636 in Russian, 125,850 in Karakalpak, 65,358 in Tajik, 53,558 in Kazakh, 10,902 in Turkmen, 8,183 in Kyrgyz and 1,538 in an other-language category. Kyrgyzstan's 2024 table reports 695,209 students in single-language organizations and 841,424 in multilingual organizations; the largest displayed multilingual configuration is Kyrgyz-Russian at 660,688. These are schooling contexts, not speaker counts, shortages or individual multilingual proficiency (National Statistical Committee of the Kyrgyz Republic, 2024; State Committee of Uzbekistan on Statistics, 2022).</w:t>
      </w:r>
    </w:p>
    <w:p>
      <w:pPr>
        <w:widowControl/>
      </w:pPr>
      <w:r>
        <w:t>The learning evidence supports real stage investigation without assigning a national burden to one language. PISA 2022 reports mathematics below Level 2 for 49.6% of Kazakhstan's represented cohort, 80.7% of Uzbekistan's and 51.1% of Mongolia's. World Bank/UIS learning-poverty briefs report national values of 10%, 32%, 64% and 39% for Kazakhstan, Uzbekistan, Kyrgyz Republic and Mongolia; the inspected Turkmenistan comparison reports no country value. No value is a language-specific translation effect. Missing Turkmen evidence is a research priority, not a low-need result.</w:t>
      </w:r>
    </w:p>
    <w:p>
      <w:pPr>
        <w:widowControl/>
      </w:pPr>
      <w:r>
        <w:t>The resulting comparison adds full-course and smaller-bridge alternatives for Uzbek, Kazakh, Uyghur, Kyrgyz, Turkmen, Mongolian/Khalkha and Karakalpak from foundational through later stages where current evidence supports a route. Russian receives cross-border secondary, practical, university and research comparisons. Tajik is not duplicated because an earlier source packet already retains all six stages. Xinjiang's census figure of 11,624,257 people of Uyghur ethnicity is retained only as a high-consequence scale flag: ethnicity is not Uyghur use, literacy or educational need (Xinjiang Statistics Bureau, 2021).</w:t>
      </w:r>
    </w:p>
    <w:p>
      <w:pPr>
        <w:widowControl/>
      </w:pPr>
      <w:r>
        <w:t xml:space="preserve">Script is part of the intervention. Uzbek Latin/Cyrillic, Kazakh Cyrillic and future transition cohorts, Uyghur Perso-Arabic and diaspora scripts, Kyrgyz Cyrillic, Turkmen Latin/legacy Cyrillic, Mongolian Cyrillic/traditional script, and Karakalpak Latin/Cyrillic require separate comprehension and production assumptions. Southern Uzbek, Tuvan varieties in Mongolia, Pamiri languages and Central Asian signed languages remain explicit unresolved profiles rather than being treated as covered by a national standard. The </w:t>
      </w:r>
      <w:r>
        <w:rPr>
          <w:rFonts w:ascii="Calibri" w:hAnsi="Calibri" w:eastAsia="Calibri" w:cs="Calibri"/>
          <w:color w:val="2E74B5"/>
          <w:u w:val="single"/>
        </w:rPr>
        <w:t>Central Asian evidence comparison</w:t>
      </w:r>
      <w:r>
        <w:t xml:space="preserve"> retains all counts, residuals and uncertainty.</w:t>
      </w:r>
    </w:p>
    <w:p>
      <w:pPr>
        <w:pStyle w:val="Heading2"/>
        <w:widowControl/>
      </w:pPr>
      <w:r>
        <w:rPr>
          <w:color w:val="000000"/>
        </w:rPr>
        <w:t>4 9 West Africa requires exact language and stage specific comparisons</w:t>
      </w:r>
    </w:p>
    <w:p>
      <w:pPr>
        <w:widowControl/>
      </w:pPr>
      <w:r>
        <w:t>Nigeria's 2021 MICS reports foundational reading skills for 26.8% and foundational numeracy for 25.3% of assessed children aged 7-14. The north-east and north-west results are lower still, but they are regional rather than Hausa, Kanuri or Fulfulde rates. Reading tasks were available in English, Yoruba, Hausa and Igbo; 8% of interviewed children could not be evaluated in their home or school language. This directly motivates foundational recovery and language-access investigation, but it does not divide a national burden among those four languages or the hundreds not offered in the assessment (National Bureau of Statistics of Nigeria &amp; UNICEF, 2022).</w:t>
      </w:r>
    </w:p>
    <w:p>
      <w:pPr>
        <w:widowControl/>
      </w:pPr>
      <w:r>
        <w:t>Ghana shows a different measurement problem. Among 26,210,872 people aged six or older, 7,924,409 were reported not literate in any language and 18,286,463 literate. Of the latter, 9,662,938 were reported literate in a Ghanaian language, 17,610,870 in English and 183,443 in Hausa. These overlapping columns cannot be subtracted into exclusive readerships. The questionnaire separately names Akuapem Twi, Asante Twi, Fante, Nzema, Ga, Dangme, Ewe, Dagbani, Gonja, Dagaare, Kasem, Gruni and Hausa, but the inspected national table publishes most of them only inside the aggregate “Ghanaian language.” A separate ethnic table reports large Akan, Mole-Dagbani, Ewe and Ga-Dangme populations. Ethnic identity is not an exact language, literacy status, comfortable educational language or beneficiary count (Ghana Statistical Service, 2021a, 2021b, 2021c).</w:t>
      </w:r>
    </w:p>
    <w:p>
      <w:pPr>
        <w:widowControl/>
      </w:pPr>
      <w:r>
        <w:t>Mali reports gross/net enrolment of 62.8/44.9% in fundamental 1, 43.8/22.4% in fundamental 2 and 36.4/15.2% at secondary level. Literacy among people aged 15+ is 34.6%; 61.2% of people aged 6+ are recorded with no instruction level and 2.9% at higher level. These are consequential stage indicators. Yet the inspected tables collapse national languages into one unspecified category. Even that category differs between the report's synoptic table (15.5%) and Table 4.7 (19.9%); both observations are retained without selecting a convenient value. Neither can be assigned to Bambara, N’Ko, Fulfulde, Soninke, Songhay, Dogon, Senufo or another exact language (INSTAT Mali, 2025).</w:t>
      </w:r>
    </w:p>
    <w:p>
      <w:pPr>
        <w:widowControl/>
      </w:pPr>
      <w:r>
        <w:t>Senegal supplies a more detailed language table. Among 13,108,118 residents aged 10+, it reports 8,151,034 literate in at least one language. The age-10+ literacy rates are 37.5% in French, 14.9% in Wolof, 11.9% in Arabic, 6.1% in Pulaar, 2.0% in Sereer, 0.8% in Mandingue, 0.6% in Diola and 0.3% in Soninke. They may overlap and cannot be added. The same report records 20.9% of compulsory-age children as never having attended school, 40.7% as out of school, and 91.0% of residents aged 6+ as having had no vocational training. Those are distinct needs, not three measurements of one population (ANSD, 2025).</w:t>
      </w:r>
    </w:p>
    <w:p>
      <w:pPr>
        <w:widowControl/>
      </w:pPr>
      <w:r>
        <w:t>The package comparison therefore spans six stages. It tests oral/picture/audio early learning; independent foundational reading, arithmetic and science with explained answers; complete secondary STEM versus English- or French-facing subject bridges; practical bookkeeping, finance, agriculture, public health, data and digital skills; university prerequisites and scientific writing; and complete advanced editions versus research-navigation layers. Every route compares a complete independently usable course with a smaller addition to existing provision. It does not assume a teacher is continuously available, or that official use of English, French or Arabic establishes comfortable independent study.</w:t>
      </w:r>
    </w:p>
    <w:p>
      <w:pPr>
        <w:widowControl/>
      </w:pPr>
      <w:r>
        <w:t xml:space="preserve">Manding, Fula and script-sharing are empirical overlap hypotheses, not regional shortcuts. Bambara, Mandinka and Dyula remain separate while an N’Ko layer is tested for actual readers. Nigerian Fulfulde and Senegal Pulaar remain separate until orthographic and comprehension transfer are measured. Hausa Boko/Ajami, Wolof Latin/Wolofal/Garay, and Akuapem Twi/Asante Twi/Fante likewise require explicit reader and script evidence. Mathematical structure could make a smaller shared register more useful, but supplies no automatic comprehension multiplier. The </w:t>
      </w:r>
      <w:r>
        <w:rPr>
          <w:rFonts w:ascii="Calibri" w:hAnsi="Calibri" w:eastAsia="Calibri" w:cs="Calibri"/>
          <w:color w:val="2E74B5"/>
          <w:u w:val="single"/>
        </w:rPr>
        <w:t>West African evidence comparison</w:t>
      </w:r>
      <w:r>
        <w:t xml:space="preserve"> retains the exact labels, source discrepancies and route-less high-consequence profiles.</w:t>
      </w:r>
    </w:p>
    <w:p>
      <w:pPr>
        <w:pStyle w:val="Heading2"/>
        <w:widowControl/>
      </w:pPr>
      <w:r>
        <w:rPr>
          <w:color w:val="000000"/>
        </w:rPr>
        <w:t>4 10 Indigenous Americas Pacific and circumpolar needs are not one residual category</w:t>
      </w:r>
    </w:p>
    <w:p>
      <w:pPr>
        <w:widowControl/>
      </w:pPr>
      <w:r>
        <w:t>The next pass applies a selection rule that does not depend on population size or data completeness. It includes all sixty-one Haiti, Indigenous-Americas and named Canadian Cree/Ojibwe/Inuktut rows in the validated Americas evidence table; all seventeen Pacific rows in the validated Oceania table; and sixteen named Alaska, Greenland, Sámi and Russian-Arctic profiles already present in the regional mapping. Ninety-four profiles receive P/F/S/V/U/R package hypotheses. Seventeen unresolved omission profiles remain route-less but retain every stage. This is an inclusion checkpoint, not a claim that all 564 new routes are equally urgent or supported by equally strong evidence.</w:t>
      </w:r>
    </w:p>
    <w:p>
      <w:pPr>
        <w:widowControl/>
      </w:pPr>
      <w:r>
        <w:t>Some rows give unusually direct stage clues. In Peru's Grade 4 intercultural-bilingual assessment, 3.1% of participating Quechua Chanka pupils reached the satisfactory first-language reading category, compared with 18.9% in Quechua Collao; 59.4% and 48.1%, respectively, were “in process,” and 37.5% and 33.0% were “at start.” These figures are exact variety/assessment labels, not all-speaker rates. They support early reading, explained mathematics/science and Spanish-bridge comparisons while leaving exact variety population and later-stage need unknown. Guatemala's 2018 childhood-language count for K’iche’ is 1,054,818, but the observed fall in intercultural-bilingual enrolment from primary to later levels is published across languages and cannot be assigned to K’iche’. This motivates continuation and secondary-transition research without fabricating a K’iche’ attrition rate (Guatemala Instituto Nacional de Estadística, 2019; Guatemala Ministry of Education, 2022; Peru Ministry of Education, 2018).</w:t>
      </w:r>
    </w:p>
    <w:p>
      <w:pPr>
        <w:widowControl/>
      </w:pPr>
      <w:r>
        <w:t>Paraguay demonstrates why bilinguality is not a zero-need state. In a 2022 home-language frame, 33.4% reported Guaraní only, 34.4% Spanish plus Guaraní and 29.6% Spanish. PISA-D evidence cited in the national plan associates home Guaraní with a higher below-adequate-reading share than home Spanish (84% versus 56%). That is an association, not a causal effect or a count of standard-Guaraní readers; standard written Guaraní and mixed Jopara remain unresolved. It nevertheless justifies comparing a complete Guaraní route with a smaller bilingual subject-and-academic-literacy bridge (Paraguay Instituto Nacional de Estadística, 2022; Paraguay Ministry of Education, 2022).</w:t>
      </w:r>
    </w:p>
    <w:p>
      <w:pPr>
        <w:widowControl/>
      </w:pPr>
      <w:r>
        <w:t>Haiti combines a large scale flag with a delivery problem. The official 2024 territorial estimate of 11,867,032 is only a ceiling, not a Kreyòl speaker count. The Constitution identifies Kreyòl as the common language, while a 2014 observation study in 97 schools found substantially more French than Kreyòl subject time despite Kreyòl initial-literacy policy. Recent school closures and armed-group occupation make print, download-once and local-server delivery material. The useful comparison therefore includes a complete Kreyòl foundational-to-secondary sequence and a smaller diagnostic/feedback and French-transition layer; neither the territorial ceiling nor common-language status supplies the benefit denominator (Institut Haïtien de Statistique et d’Informatique, 2024; World Bank, 2015; UNICEF, 2025).</w:t>
      </w:r>
    </w:p>
    <w:p>
      <w:pPr>
        <w:widowControl/>
      </w:pPr>
      <w:r>
        <w:t>Canada and the Arctic expose a different continuity problem. Statistics Canada reports 12,005 people able to converse in Plains Cree and 41,675 in Inuktitut, while retaining separate mother-tongue, active-use and silent-speaker constructs. Alberta provides a Plains Cree Y-dialect Grade 7-9 guide; it is not all Cree. Nunavut reports staged/draft K-6 Inuktut curricula and territory-wide attendance/graduation indicators, but those outcomes are not variety-specific. Greenland's 56,740 territorial population cannot become a Kalaallisut speaker count. Kalaallisut, Tunumiisut, Inuktun, Iñupiaq, St. Lawrence Island Yupik, Unangam Tunuu, each Sámi language and the two Russian-Arctic Yupik profiles therefore remain separate. Their packages emphasize exact script/variety, teacher and settlement/offline support, majority-language transitions, climate/land/marine/health STEM, tertiary terminology and research continuity (Government of Alberta, n.d.; Government of Nunavut, 2024, 2025; Statistics Canada, 2025a, 2025b; Statistics Greenland, 2026).</w:t>
      </w:r>
    </w:p>
    <w:p>
      <w:pPr>
        <w:widowControl/>
      </w:pPr>
      <w:r>
        <w:t>Pacific evidence likewise changes the content question. The Solomon Islands census reports 101,588 people aged five or older for whom Pijin was the first language learned; a sampled early-grade study observed Pijin in 86% of lessons while English remained the formal school language. Māori has 213,849 people reporting everyday conversational ability and a much smaller Māori-medium enrolment pathway; Hawaiian has an estimated 25,490 home-language users and an established K-12 immersion path, with teacher and postsecondary continuity constraints. Marshallese has a rounding-compatible 35,318-35,354 age-five-plus reported-speaking interval; Chuukese has 27,677 age-five-plus home-language respondents. These constructs are different and nonadditive. They motivate bilingual secondary transitions, teacher resources, university prerequisites and advanced terminology in addition to foundational content (Federated States of Micronesia Statistics, 2024; Marshall Islands Economic Policy, Planning and Statistics Office, 2022; Solomon Islands National Statistics Office, 2023; State of Hawaiʻi DBEDT, 2019; Stats NZ, 2024; World Bank, 2019).</w:t>
      </w:r>
    </w:p>
    <w:p>
      <w:pPr>
        <w:widowControl/>
      </w:pPr>
      <w:r>
        <w:t>The package content is stage-specific. P/F alternatives combine oral language, early literacy/numeracy, audio, diagnostics, exercises and explained answers usable without a continuously available teacher. S compares complete STEM with a bilingual examination-language bridge. V includes health, household and enterprise finance, climate, land/marine knowledge and digital skills. U includes prerequisites, teacher education and scientific writing. R compares complete advanced editions with terminology, theorem/navigation and reproducible-methods layers. Every stage also requires low-data semantic HTML/EPUB or tagged PDF, print/offline packages, captions/transcripts and screen-reader/keyboard support.</w:t>
      </w:r>
    </w:p>
    <w:p>
      <w:pPr>
        <w:widowControl/>
      </w:pPr>
      <w:r>
        <w:t xml:space="preserve">The identity rules are strict. “Central Nahuatl” receives no generic route; fifteen exact INALI varieties receive separate profiles and retain dated/shared-locality cautions. Quechua, Maya, Guaraní, Cree, Ojibwe, Inuktut and Sámi are not single educational languages. Tok Pisin, Solomon Islands Pijin and Bislama are distinct languages and do not cover Papua New Guinea tok ples, Solomon local languages or Vanuatu's other languages. Australian Indigenous languages, Pacific signed languages, exact diaspora cohorts and unswept Amazonian, Caribbean and circumpolar languages remain explicit possible-outranker/evidence obligations. The </w:t>
      </w:r>
      <w:r>
        <w:rPr>
          <w:rFonts w:ascii="Calibri" w:hAnsi="Calibri" w:eastAsia="Calibri" w:cs="Calibri"/>
          <w:color w:val="2E74B5"/>
          <w:u w:val="single"/>
        </w:rPr>
        <w:t>regional packet</w:t>
      </w:r>
      <w:r>
        <w:t xml:space="preserve"> and its machine-readable evidence preserve every number and boundary.</w:t>
      </w:r>
    </w:p>
    <w:p>
      <w:pPr>
        <w:pStyle w:val="Heading2"/>
        <w:widowControl/>
      </w:pPr>
      <w:r>
        <w:rPr>
          <w:color w:val="000000"/>
        </w:rPr>
        <w:t>4 11 More specific needs in Africa Arabic Iranic communities and signed languages</w:t>
      </w:r>
    </w:p>
    <w:p>
      <w:pPr>
        <w:widowControl/>
      </w:pPr>
      <w:r>
        <w:t>Nineteen additional profiles now have source-linked package comparisons. Their contribution is not nineteen new positions on a league table. They show why a useful publication can be a full course for one learner and a smaller addition for another. Complete courses and smaller alternatives remain distinct in the calculation, rather than allowing catalogue inspection to decide the size of every intervention.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731"/>
        <w:gridCol w:w="3276"/>
        <w:gridCol w:w="3353"/>
      </w:tblGrid>
      <w:tr>
        <w:trPr>
          <w:tblHeader w:val="true"/>
          <w:cantSplit w:val="true"/>
        </w:trPr>
        <w:tc>
          <w:tcPr>
            <w:tcW w:type="dxa" w:w="27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Learner situation</w:t>
            </w:r>
          </w:p>
        </w:tc>
        <w:tc>
          <w:tcPr>
            <w:tcW w:type="dxa" w:w="32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educational material worth comparing</w:t>
            </w:r>
          </w:p>
        </w:tc>
        <w:tc>
          <w:tcPr>
            <w:tcW w:type="dxa" w:w="33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Important existing alternative or boundary</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or Oromo-using early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coherent low-equipment literacy/numeracy sequence with diagnostic questions and explanatory feedback</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 guides and diagnostic tools already exist; a smaller reteaching layer is an alternative, not an automatic ceiling.</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Kinyarwanda-using learners not adequately served by English text</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Scientific reading, measurement, fractions, graphs and practical data, with separate school and adult entry points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English-medium textbooks and distribution programmes exist, but do not establish comfortable English study for every learner.</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or Tigrinya-using learners returning after interruption</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complete prerequisite-to-school-continuity course</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accelerated or resumed instruction may make a practice companion more useful for some learners.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Kirundi-using school and practical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Applied science, observation, measurement, tables and records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Local STEM projects supply a concrete use case; their anecdotes are not a measured population effect.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isiZulu- or Sepedi-using Grade-4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Independently usable bilingual mathematical instruction</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DBE supplies substantial language-specific plans, guides and worksheets; do not claim an empty textbook market.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MSA, Dari and Kurdish learners with interrupted or changed-medium schooling</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Sequential science/reading courses, with exact national curriculum and written-variety routes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Madrasa, Begum, Darakht-e Danesh and eWane supply substantial independent provision. Offline continuity and prerequisite fit are specific comparisons.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or Tajik-using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Early-learning, scientific-reading and practical computing/data courses matched to entry level</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school books and free course providers require a subject-level comparison, not a nationality-based scarcity assumption.</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ASL, Libras, ISL, Kenyan Sign Language and SASL users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Distinct algebra, computing, practical numeracy, scientific-data and qualification-continuity courses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Signed dictionaries, course videos, workbooks and institutional training are different types of provision; none automatically establishes a full autonomous route.</w:t>
            </w:r>
          </w:p>
        </w:tc>
      </w:tr>
    </w:tbl>
    <w:p>
      <w:pPr>
        <w:widowControl/>
        <w:spacing w:before="0" w:after="40"/>
      </w:pPr>
    </w:p>
    <w:p>
      <w:pPr>
        <w:widowControl/>
      </w:pPr>
      <w:r>
        <w:t xml:space="preserve">Rwanda supplies a particularly concrete language-access anchor. Table C.25 of its 2022 census education report covers 8,289,582 residents aged 15+ and reports 54.0% literate in Kinyarwanda alone: approximately 4.48 million under that reported category. Because the percentage is rounded, this is not an exact published person count; the nearest-tenth rounding interpretation gives 4,472,230-4,480,519 people. Nor is it the number who need a science course. Alongside the education board's account of English-medium instruction from lower primary since 2021, it supports investigating Kinyarwanda scientific and practical learning rather than assuming English provision serves everyone. Exact tables, language overlap and narrative discrepancies are retained in the </w:t>
      </w:r>
      <w:r>
        <w:rPr>
          <w:rFonts w:ascii="Calibri" w:hAnsi="Calibri" w:eastAsia="Calibri" w:cs="Calibri"/>
          <w:color w:val="2E74B5"/>
          <w:u w:val="single"/>
        </w:rPr>
        <w:t>African evidence comparison</w:t>
      </w:r>
      <w:r>
        <w:t xml:space="preserve"> (NISR, 2023; Rwanda Basic Education Board, n.d.).</w:t>
      </w:r>
    </w:p>
    <w:p>
      <w:pPr>
        <w:widowControl/>
      </w:pPr>
      <w:r>
        <w:t xml:space="preserve">Displacement and exclusion also require full educational pathways, not only basic arithmetic. The Arabic/Iranic comparison separates national out-of-school observations from actual language readership, preserves MSA's spoken-to-written learning distinction, and distinguishes Iranian Persian, Dari, Tajik, Sorani and Kurmanji writing routes. It compares full science and practical-data courses with smaller additions to actual independent providers. Existing courses are evidence about the intervention's alternatives; their mere existence does not reduce a population's educational need. See the </w:t>
      </w:r>
      <w:r>
        <w:rPr>
          <w:rFonts w:ascii="Calibri" w:hAnsi="Calibri" w:eastAsia="Calibri" w:cs="Calibri"/>
          <w:color w:val="2E74B5"/>
          <w:u w:val="single"/>
        </w:rPr>
        <w:t>six-profile report</w:t>
      </w:r>
      <w:r>
        <w:t xml:space="preserve"> and its source-specific dates and population frames.</w:t>
      </w:r>
    </w:p>
    <w:p>
      <w:pPr>
        <w:widowControl/>
      </w:pPr>
      <w:r>
        <w:t xml:space="preserve">Signed-language access is not written-language translation plus a generic avatar. The five-profile comparison points to ASL algebra/computing, Libras fraction/ratio and research-data learning, ISL secondary/programming transitions, Kenyan Sign Language literacy/practical numeracy, and SASL matric mathematical literacy/digital-work preparation. Exact provision, replayable explanation, notation, exercises and explained answers matter. Deafness totals are not counts of sign-language users. The inspected sources do not provide matched beneficiaries or measured signed-course production costs; those remain unknown rather than zero. See the </w:t>
      </w:r>
      <w:r>
        <w:rPr>
          <w:rFonts w:ascii="Calibri" w:hAnsi="Calibri" w:eastAsia="Calibri" w:cs="Calibri"/>
          <w:color w:val="2E74B5"/>
          <w:u w:val="single"/>
        </w:rPr>
        <w:t>signed-language comparison</w:t>
      </w:r>
      <w:r>
        <w:t>.</w:t>
      </w:r>
    </w:p>
    <w:p>
      <w:pPr>
        <w:widowControl/>
      </w:pPr>
      <w:r>
        <w:t>These designs preserve independent-study and classroom routes. Preschool material normally needs a caregiver or educator, while older learners can use a complete self-contained course without assuming a teacher is available. Text, audio, signing, MathML, printable versions and offline delivery are distinct resources and costs. Keeping all six stages visible prevents the strongest evidence at one stage from silently excluding the others.</w:t>
      </w:r>
    </w:p>
    <w:p>
      <w:pPr>
        <w:pStyle w:val="Heading2"/>
        <w:widowControl/>
      </w:pPr>
      <w:r>
        <w:rPr>
          <w:color w:val="000000"/>
        </w:rPr>
        <w:t>4 12 Country totals are omission alarms not language denominators</w:t>
      </w:r>
    </w:p>
    <w:p>
      <w:pPr>
        <w:widowControl/>
      </w:pPr>
      <w:r>
        <w:t>A separate zero-disappearance audit now retains all 247 country, additional-locator and unlocated rows in the validated universal matrix. Thirty-four have no current country-population value; eighty have no observed registry node anywhere in the present source set; and 142 have at least one typed signed-language node but no locally linked signed-language observation. Each remains an explicit research obligation. None receives a zero need, a low rank or an implied “served” state because evidence is missing.</w:t>
      </w:r>
    </w:p>
    <w:p>
      <w:pPr>
        <w:widowControl/>
      </w:pPr>
      <w:r>
        <w:t>The high-consequence gate covers all 31 country contexts with a 2025 World Bank population estimate of at least fifty million, including both billion-person contexts and all sixteen at or above one hundred million: India, China, the United States, Indonesia, Pakistan, Nigeria, Brazil, Bangladesh, Russia, Ethiopia, Mexico, Japan, Egypt, the Philippines, the Democratic Republic of the Congo and Viet Nam. It records exact population estimates and current route visibility only to detect a dangerous omission. A country population is not a language population, a count of comfortable readers, unmet educational need or expected beneficiaries. A route for one national language, stage or subject does not discharge a country's regional, minority, signed, accessibility or displacement obligations.</w:t>
      </w:r>
    </w:p>
    <w:p>
      <w:pPr>
        <w:widowControl/>
      </w:pPr>
      <w:r>
        <w:t xml:space="preserve">Among the 31 contexts, twenty-one currently have at least one explicit country/profile route, five have only context-linked routes, and five have none. These are workflow states, not educational coverage rates. The audit explicitly keeps Indonesian stage and subject comparisons beyond the current secondary route, Chinese written standards separate from spoken Sinitic varieties, Japanese needs open by stage and subject, Nigeria's named languages separate from national or zonal measurements, and Russia's many exact language profiles separate from Russian. The same rule applies everywhere, including countries below the threshold and communities that country tables do not enumerate. The complete sentinel table and nonexhaustive next tests appear in the </w:t>
      </w:r>
      <w:r>
        <w:rPr>
          <w:rFonts w:ascii="Calibri" w:hAnsi="Calibri" w:eastAsia="Calibri" w:cs="Calibri"/>
          <w:color w:val="2E74B5"/>
          <w:u w:val="single"/>
        </w:rPr>
        <w:t>country and territory omission audit</w:t>
      </w:r>
      <w:r>
        <w:t>.</w:t>
      </w:r>
    </w:p>
    <w:p>
      <w:pPr>
        <w:pStyle w:val="Heading2"/>
        <w:widowControl/>
      </w:pPr>
      <w:r>
        <w:rPr>
          <w:color w:val="000000"/>
        </w:rPr>
        <w:t>4 13 Signed language identity and displacement require their own ledgers</w:t>
      </w:r>
    </w:p>
    <w:p>
      <w:pPr>
        <w:widowControl/>
      </w:pPr>
      <w:r>
        <w:t>The universal register contains 227 typed signed-language nodes and seven possibly signed but taxonomically unresolved nodes. All 234 survive the signed-language audit as separate identities. Only six currently crosswalk to any route in the bounded package calculator, and 228 have none. That count describes the incompleteness of this research, not the educational importance of the six. Two of the 227 exact nodes have a numeric source-label observation in the current universal matrix, thirty-four have at least one scope-unverified direct-target relation, and the separate named-source table has eighteen evidence records, fifteen of which currently link through an exact edition-target relation.</w:t>
      </w:r>
    </w:p>
    <w:p>
      <w:pPr>
        <w:widowControl/>
      </w:pPr>
      <w:r>
        <w:t xml:space="preserve">Identity mismatches are exposed instead of smoothed over. The present “Kenyan Sign Language” package route possibly mismatches the universal Kenya-Somali Sign Language node and therefore receives no exact-language coverage credit. The Filipino/Philippine Sign Language label pair remains a scope-to-verify link. Hawaiʻi Sign Language, Langue des signes québécoise and the Spanish sign-language-use observation remain three explicit evidence-graph repair obligations. Deafness or hearing-disability totals never substitute for sign-language user counts. The </w:t>
      </w:r>
      <w:r>
        <w:rPr>
          <w:rFonts w:ascii="Calibri" w:hAnsi="Calibri" w:eastAsia="Calibri" w:cs="Calibri"/>
          <w:color w:val="2E74B5"/>
          <w:u w:val="single"/>
        </w:rPr>
        <w:t>global signed-language audit</w:t>
      </w:r>
      <w:r>
        <w:t xml:space="preserve"> retains all exact identities, source links, current routes and unresolved relations.</w:t>
      </w:r>
    </w:p>
    <w:p>
      <w:pPr>
        <w:widowControl/>
      </w:pPr>
      <w:r>
        <w:t xml:space="preserve">Displacement is modeled separately because a refugee, migrant, internally displaced, enrolled-displaced-learner or stateless cohort is not a language population. Ten source-bound portfolios now compare a complete multilingual continuity sequence with a smaller host/origin-language bridge at every P/F/S/V/U/R stage: DRC, Afghan, Palestinian, Syrian, Rohingya, Sudanese, Somali, South Sudanese, Ukrainian school-continuity and Venezuelan cases. This adds 120 unranked routes. Six portfolios retain a source-stated status or enrolled-learner count only as context; four retain no population value. Language, script, host-country and stage distributions remain unresolved, so no route inherits a status-cohort total and the totals are not summed. The </w:t>
      </w:r>
      <w:r>
        <w:rPr>
          <w:rFonts w:ascii="Calibri" w:hAnsi="Calibri" w:eastAsia="Calibri" w:cs="Calibri"/>
          <w:color w:val="2E74B5"/>
          <w:u w:val="single"/>
        </w:rPr>
        <w:t>displacement package comparison</w:t>
      </w:r>
      <w:r>
        <w:t xml:space="preserve"> preserves the language/script arms, delivery requirements and exact missingness.</w:t>
      </w:r>
    </w:p>
    <w:p>
      <w:pPr>
        <w:widowControl/>
      </w:pPr>
      <w:r>
        <w:t xml:space="preserve">Those ten examples are now checked against an all-row end-2025 UNHCR snapshot rather than treated as the global displacement universe. The </w:t>
      </w:r>
      <w:r>
        <w:rPr>
          <w:rFonts w:ascii="Calibri" w:hAnsi="Calibri" w:eastAsia="Calibri" w:cs="Calibri"/>
          <w:color w:val="2E74B5"/>
          <w:u w:val="single"/>
        </w:rPr>
        <w:t>global displacement omission audit</w:t>
      </w:r>
      <w:r>
        <w:t xml:space="preserve"> retains 6,290 origin-host population rows, 10,084 population-type-specific demographic rows and 110 official source footnotes, aggregating them without loss into 209 origin contexts and 178 host contexts. Its omission alarms flag 46 origin and 75 host contexts; 34 named high-consequence origin contexts have no prior portfolio, while two further alarms are special source codes for unknown origin and statelessness rather than country-language identities. The thresholds catch missing research and do not rank funding.</w:t>
      </w:r>
    </w:p>
    <w:p>
      <w:pPr>
        <w:widowControl/>
      </w:pPr>
      <w:r>
        <w:t xml:space="preserve">The exact API/annex totals are 28,461,306 refugees under UNHCR mandate, 8,998,097 asylum-seekers, 7,177,473 other people in need of international protection and 64,239,352 IDPs of concern to UNHCR. The separate 5,964,782 Palestine refugees under UNRWA mandate remain external. </w:t>
      </w:r>
      <w:r>
        <w:rPr>
          <w:rFonts w:ascii="Consolas" w:hAnsi="Consolas" w:eastAsia="Consolas" w:cs="Consolas"/>
          <w:color w:val="31465A"/>
          <w:sz w:val="21"/>
        </w:rPr>
        <w:t>Refugees + asylum-seekers + other people in need of international protection</w:t>
      </w:r>
      <w:r>
        <w:t xml:space="preserve"> is exposed as a transparent cross-border display sum only; it is not added to IDPs, statelessness, returnees, origin and host views, or UNRWA populations. The demographic endpoint contains 28,856,667 observed records aged 0-17 across selected status types, but incomplete age classification prevents treating that as a complete displaced-child denominator. Every consequential context therefore remains an exact language, script, host, stage and existing-provision research obligation rather than inheriting a national or status label.</w:t>
      </w:r>
    </w:p>
    <w:p>
      <w:pPr>
        <w:widowControl/>
      </w:pPr>
      <w:r>
        <w:t xml:space="preserve">A combined </w:t>
      </w:r>
      <w:r>
        <w:rPr>
          <w:rFonts w:ascii="Calibri" w:hAnsi="Calibri" w:eastAsia="Calibri" w:cs="Calibri"/>
          <w:color w:val="2E74B5"/>
          <w:u w:val="single"/>
        </w:rPr>
        <w:t>corridor language-and-education pass</w:t>
      </w:r>
      <w:r>
        <w:t xml:space="preserve"> preserves the first fourteen origin-host rows cell for cell and adds fourteen further high-volume pathways. The 28 exact end-2025 UNHCR rows are now bound to 37 education sources and contain 26,361,921 selected current cross-border status observations. That selected-row sum is still only an inventory: it is not a unique global population, language denominator, beneficiary forecast or rank. The evidence distinguishes direct corridor observations, host-system context and the special </w:t>
      </w:r>
      <w:r>
        <w:rPr>
          <w:rFonts w:ascii="Consolas" w:hAnsi="Consolas" w:eastAsia="Consolas" w:cs="Consolas"/>
          <w:color w:val="31465A"/>
          <w:sz w:val="21"/>
        </w:rPr>
        <w:t>UNK</w:t>
      </w:r>
      <w:r>
        <w:t xml:space="preserve"> origin code. Venezuela-to-Colombia, Peru, Chile and Ecuador show that shared Spanish can coexist with enrolment, cost, disability, curriculum, prerequisite, placement and credential barriers. Lebanon adds a direct Arabic-to-English/French mathematics-and-science transition; Jordan adds a direct case in which shared Arabic did not prevent severe foundational-reading gaps. South Sudan-to-Sudan and Sudan-to-South Sudan require different Arabic/English curriculum bridges and cannot be merged.</w:t>
      </w:r>
    </w:p>
    <w:p>
      <w:pPr>
        <w:widowControl/>
      </w:pPr>
      <w:r>
        <w:t xml:space="preserve">Four former host-system-only gaps now have bounded origin-host evidence. A Hamburg administrative panel follows 2011-2015 public-school starting cohorts and separately identifies Syrian- and Afghan-born pupils; its comparison suggests that a year-long, German-heavy separate preparatory class can underperform immediate standard-curriculum integration with added language support, especially in fifth-grade mathematics and German. It is historical Hamburg evidence, not a current Germany-wide language distribution or a general argument against language support. A World Bank case study in Aw-Barre and Sheder identifies a Somali-medium grades 1-4 to English-medium grades 5-12 transition alongside textbook scarcity, curriculum discontinuity and English-comprehension barriers; it does not measure current Somalia-Ethiopia corridor prevalence or exact Somali varieties. Houston district data identify 306 Venezuela-origin immigrant pupils and concrete F/S transition mechanisms, but its 88% English Learner and 76% Spanish figures apply to all 11,834 immigrant pupils and cannot be assigned to the Venezuelan subset. </w:t>
      </w:r>
      <w:r>
        <w:rPr>
          <w:rFonts w:ascii="Consolas" w:hAnsi="Consolas" w:eastAsia="Consolas" w:cs="Consolas"/>
          <w:color w:val="31465A"/>
          <w:sz w:val="21"/>
        </w:rPr>
        <w:t>UNK-USA</w:t>
      </w:r>
      <w:r>
        <w:t xml:space="preserve"> is consequently the only remaining source-gap row and remains prohibited from receiving any language assignment. Forty-seven evidence checks and consecutive byte-identical builds preserve all population cells, keep language distribution unmeasured, and leave funding ranks and corridor-sized benefit claims empty.</w:t>
      </w:r>
    </w:p>
    <w:p>
      <w:pPr>
        <w:pStyle w:val="Heading2"/>
        <w:widowControl/>
      </w:pPr>
      <w:r>
        <w:rPr>
          <w:color w:val="000000"/>
        </w:rPr>
        <w:t>4 14 Somali region supply shows why exists is not usable</w:t>
      </w:r>
    </w:p>
    <w:p>
      <w:pPr>
        <w:widowControl/>
      </w:pPr>
      <w:r>
        <w:t>The first corridor supply audit separates four questions that a catalogue count cannot answer: whether material has existed, whether it is current and practically reachable, whether it can lawfully be reused, and whether a new package improves learning. A saved Ethiopia Learning Library index contains 196 Somali-tagged PDF links. Eighty-four are mathematics links: eight complete student books, eight teacher guides and sixty-eight chapter files spanning grades 1-8. Readable grade-5 and grade-8 samples prove historical content existence, but their notices reserve copying, publication and electronic-distribution rights. The mirror itself describes the books as eight years old or more and out of date; its file host also failed current HTTPS name validation. Those facts neither erase the books nor establish a current, open, reliable learner supply.</w:t>
      </w:r>
    </w:p>
    <w:p>
      <w:pPr>
        <w:widowControl/>
      </w:pPr>
      <w:r>
        <w:t>The official Ethiopian 2021/22 statistical abstract reports Somali-region textbook-to-pupil ratios of 0.30 in primary and 0.42 in middle school, and fewer than one secondary textbook per pupil. The abstract warns that missing reports and classification errors can bias those values. A selected 2019 study in Aw-Barre and Sheder supplies a mechanism rather than a prevalence estimate: grades 1-4 used Somali, later schooling used English, and 83% of twelve observed classrooms had textbook problems. Somalia’s 2022-2026 sector plan independently documents severe origin-system scarcity-some schools with no textbooks and subject ratios reaching 43:1 in primary and 73:1 in secondary-but it is context, not evidence about every Ethiopia-hosted learner.</w:t>
      </w:r>
    </w:p>
    <w:p>
      <w:pPr>
        <w:widowControl/>
      </w:pPr>
      <w:r>
        <w:t xml:space="preserve">For a like-for-like source-traffic comparison, the audit measures the lawful CC BY-NC-SA OpenStax </w:t>
      </w:r>
      <w:r>
        <w:rPr>
          <w:rFonts w:ascii="Calibri" w:hAnsi="Calibri" w:eastAsia="Calibri" w:cs="Calibri"/>
          <w:i/>
        </w:rPr>
        <w:t>Prealgebra 2e</w:t>
      </w:r>
      <w:r>
        <w:t xml:space="preserve"> source. The complete eleven-chapter collection contains 75 modules and 364,270 content-text tokens. A declared six-chapter arithmetic-to-algebra bridge-algebra language, fractions, decimals, percents, linear equations and graphs-contains 38 modules and 186,978 tokens, or 51.33% of the measured source scale. With equal per-token variable cost, no common setup cost and equal endpoints, the smaller package is more efficient only if it retains more than 51.33% of the full package’s positive yield; equivalently, the full sequence must yield more than 1.948 times as much. These are algebraic traffic thresholds, not observed effects. The FECU scenario counts input, output and reasoning token events; it does not price physical compute, money, rendering, accessibility work, deployment or maintenance.</w:t>
      </w:r>
    </w:p>
    <w:p>
      <w:pPr>
        <w:widowControl/>
      </w:pPr>
      <w:r>
        <w:t xml:space="preserve">Both alternatives therefore remain live. If a bounded first build had to be selected before matched outcomes existed, the six-chapter Somali-English bridge would be the provisional experiment because it addresses the directly observed language and curriculum transition at roughly half the measured source traffic. It would pair Somali explanation with English subject language, prerequisites, worked examples, exercises, answers and feedback, and phone-readable offline delivery. A complete open sequence can still be the better intervention if present usable supply is absent or its added functional yield clears the threshold. Exact variety, script, literacy, stage audience, current open supply, effect, end-to-end compute and global rank remain unmeasured. The full source inventory, arithmetic and 96 deterministic checks are in the </w:t>
      </w:r>
      <w:r>
        <w:rPr>
          <w:rFonts w:ascii="Calibri" w:hAnsi="Calibri" w:eastAsia="Calibri" w:cs="Calibri"/>
          <w:color w:val="2E74B5"/>
          <w:u w:val="single"/>
        </w:rPr>
        <w:t>Somali-region foundational/secondary checkpoint</w:t>
      </w:r>
      <w:r>
        <w:t>.</w:t>
      </w:r>
    </w:p>
    <w:p>
      <w:pPr>
        <w:pStyle w:val="Heading2"/>
        <w:widowControl/>
      </w:pPr>
      <w:r>
        <w:rPr>
          <w:color w:val="000000"/>
        </w:rPr>
        <w:t>4 15 Germany shows a bridge problem inside substantial existing supply</w:t>
      </w:r>
    </w:p>
    <w:p>
      <w:pPr>
        <w:widowControl/>
      </w:pPr>
      <w:r>
        <w:t>The Germany F/S comparison is not a blank-supply case. Serlo reports 930 articles, 20 courses, 105 videos and 5,000 exercises with model solutions across school and higher mathematics, available without charge under CC BY-SA 4.0. Its separate SchlaU-Werkstatt collection directly targets newly arrived adolescents and young adults with slow, language-sensitive mathematics; the saved collection has four top-level topics and thirteen immediate second-level branches. Hamburg also publishes a 133-page IVK mathematics handbook with four grade 5-10 teaching sequences, worksheets, some solutions, bilingual glossary instructions and explicit German academic-language work. Binogi advertises more than 1,000 grade 5-10 videos with quizzes across eleven subjects and up to fifteen languages, but the free tier is limited and full individual access is listed at €199 per year. These provider inventories prove real supply, not complete exact-language, curriculum, offline or accessibility coverage.</w:t>
      </w:r>
    </w:p>
    <w:p>
      <w:pPr>
        <w:widowControl/>
      </w:pPr>
      <w:r>
        <w:t>The directly observed mechanism is the connection between a learner's strongest exact language and German mathematical participation. Hamburg's handbook treats symbols and nonverbal representations as useful scaffolds but not self-explanatory substitutes for definitions, structure words, word problems and mathematical discussion. Its 2024 framework ordinarily moves learners from an IVK into a regular class within twelve months, adds another year of language support and assigns academic-language development across subjects. A historical Hamburg administrative study found worse short-term fifth-grade outcomes, especially mathematics and German, after separate German-heavy preparatory classes than after direct integration with additional language support. This local historical result does not show that language support is harmful or determine current Germany-wide policy; it makes an integrated subject-language and curriculum-continuity package a serious comparator.</w:t>
      </w:r>
    </w:p>
    <w:p>
      <w:pPr>
        <w:widowControl/>
      </w:pPr>
      <w:r>
        <w:t xml:space="preserve">On the same OpenStax </w:t>
      </w:r>
      <w:r>
        <w:rPr>
          <w:rFonts w:ascii="Calibri" w:hAnsi="Calibri" w:eastAsia="Calibri" w:cs="Calibri"/>
          <w:i/>
        </w:rPr>
        <w:t>Prealgebra 2e</w:t>
      </w:r>
      <w:r>
        <w:t xml:space="preserve"> source basis used for the Somali-region test, the full sequence remains 75 modules and 364,270 content-text tokens. A five-chapter bridge using algebra language, fractions, percents, linear equations and graphs contains 30 modules and 143,859 tokens, or 39.49% of the full measured scale. With equal per-token variable cost, no common setup cost and the same endpoint, the bridge must retain more than 39.49% of the full package's positive yield to be more efficient; the full sequence must yield more than 2.532 times as much to win. Arabic, Dari, Pashto, Kurdish and German FLORES profiles provide declared traffic scenarios only. Origin is not language, and none of those profiles is assigned to a learner population.</w:t>
      </w:r>
    </w:p>
    <w:p>
      <w:pPr>
        <w:widowControl/>
      </w:pPr>
      <w:r>
        <w:t xml:space="preserve">The provisional first experiment is therefore an open exact-language/script bridge that pairs German classroom and mathematical language with origin-language explanation, prerequisite diagnosis, curriculum mapping, word problems, exercises, answers, feedback, offline phone delivery and screen-reader or signed-language companions. A complete parallel sequence remains live where a measured language lacks current usable provision, autonomous learners need a coherent offline path, or measured outcomes clear the threshold. Hamburg's saved 2025/26 chart total of 2,412 state-school base/IVK pupils and the Ukraine-, Syria- and Afghanistan-to-Germany corridor counts remain context-not language, learner-benefit or rank denominators. Exact audience, variety/script/literacy distribution, current supply by language, effect, physical compute, currency and global rank remain null. The source inventory, scenario arithmetic and 204 deterministic checks are in the </w:t>
      </w:r>
      <w:r>
        <w:rPr>
          <w:rFonts w:ascii="Calibri" w:hAnsi="Calibri" w:eastAsia="Calibri" w:cs="Calibri"/>
          <w:color w:val="2E74B5"/>
          <w:u w:val="single"/>
        </w:rPr>
        <w:t>Germany F/S checkpoint</w:t>
      </w:r>
      <w:r>
        <w:t>.</w:t>
      </w:r>
    </w:p>
    <w:p>
      <w:pPr>
        <w:pStyle w:val="Heading2"/>
        <w:widowControl/>
      </w:pPr>
      <w:r>
        <w:rPr>
          <w:color w:val="000000"/>
        </w:rPr>
        <w:t>4 16 Houston exposes a grade 6 to grade 7 supply breakpoint not a binary language answer</w:t>
      </w:r>
    </w:p>
    <w:p>
      <w:pPr>
        <w:widowControl/>
      </w:pPr>
      <w:r>
        <w:t>Houston is neither a blank-supply case nor a case in which the presence of Spanish materials settles access. The current Texas Bluebonnet portal lists free digital Spanish mathematics for kindergarten through grade 6. On the same official surface, grade 7, grade 8, Algebra I, Geometry and Algebra II are listed only in English. The state describes Bluebonnet as open educational resources, with complete subject materials, teacher editions, student workbooks, assessments and downloadable PDF components. Those claims establish a substantial current state-aligned supply; they do not prove campus adoption, learner use, offline usability, component-by-component derivative rights or effect. A separate Texas standards page likewise states that its Spanish TEKS coverage runs from kindergarten through grade 6 (Texas Education Agency, n.d.-a, n.d.-b).</w:t>
      </w:r>
    </w:p>
    <w:p>
      <w:pPr>
        <w:widowControl/>
      </w:pPr>
      <w:r>
        <w:t>Houston ISD's current public description adds three program mechanisms: dual-language education, grade-level content taught through ESL, and transitional bilingual education at elementary level. Its intake starts with a home-language survey and English-proficiency testing. The public process does not show academic-mathematics literacy, prior course credit, interrupted schooling or device/offline access. Nor is the district accurately summarized by one elementary-only label: Wharton K-8 reports Spanish dual-language instruction through grade 8 and Algebra I for high-school credit. That one campus is a counterexample to a blanket cutoff, not proof of districtwide coverage (Houston Independent School District, n.d.-a, n.d.-b; Wharton K-8 Dual Language Academy, n.d.).</w:t>
      </w:r>
    </w:p>
    <w:p>
      <w:pPr>
        <w:widowControl/>
      </w:pPr>
      <w:r>
        <w:t xml:space="preserve">The latest locally frozen district evaluation in this checkpoint is historical but unusually informative. It reports 12,655 cumulatively enrolled immigrant pupils in 2021-2022: 11,241 (89%) classified as emergent bilingual and 10,756 (85%) economically disadvantaged. It separately reports 405 Venezuela-origin pupils and 9,615 pupils with Spanish as the home-language label. These are two marginal distributions, not a country-by-language table, so the Venezuela cohort cannot be assigned Spanish. The same table also reports Pashto, English, Arabic, Farsi, Swahili, Dard, Vietnamese, French, Telugu, Japanese, Hindi, Mandarin and an </w:t>
      </w:r>
      <w:r>
        <w:rPr>
          <w:rFonts w:ascii="Consolas" w:hAnsi="Consolas" w:eastAsia="Consolas" w:cs="Consolas"/>
          <w:color w:val="31465A"/>
          <w:sz w:val="21"/>
        </w:rPr>
        <w:t>Other</w:t>
      </w:r>
      <w:r>
        <w:t xml:space="preserve"> category. Several are broad or ambiguous labels rather than exact varieties and scripts. None can be converted into a current language-by-grade audience without further evidence (Houston Independent School District, 2022).</w:t>
      </w:r>
    </w:p>
    <w:p>
      <w:pPr>
        <w:widowControl/>
      </w:pPr>
      <w:r>
        <w:t>The historical outcomes locate the stage problem without identifying its cause. Immigrant pupils met the 2022 English mathematics STAAR grade-level threshold at 34%, compared with 59% for all emergent-bilingual pupils and 64% districtwide. Spanish mathematics values were 51% and 59% for immigrants and all emergent-bilingual pupils. Algebra I end-of-course values were 38%, 49% and 61%; AP course-enrolment values for grades 8-12 were 7.1%, 14.6% and 24.0%. The report itself calls out persistent secondary and postsecondary-readiness gaps. These group contrasts are not randomized effects of translation, curriculum or language of instruction.</w:t>
      </w:r>
    </w:p>
    <w:p>
      <w:pPr>
        <w:widowControl/>
      </w:pPr>
      <w:r>
        <w:t>The bounded first experiment therefore has two coupled arms. The measurement arm records exact language or variety, script, literacy, prior mathematics, interrupted schooling, completed courses and credits, and phone/offline access. The production arm tests an exact-language-to-English secondary transition package. For Spanish-literate learners, the visible grade-6-to-grade-7 breakpoint makes a Spanish-English package directly testable: academic mathematics register, prerequisite diagnosis, Algebra I, geometry and graphs, worked examples and answers, state-test orientation, course placement and credit navigation. Every non-Spanish learner retains a separate exact-language arm. The design never assigns a language from country of origin.</w:t>
      </w:r>
    </w:p>
    <w:p>
      <w:pPr>
        <w:widowControl/>
      </w:pPr>
      <w:r>
        <w:t xml:space="preserve">On the same OpenStax </w:t>
      </w:r>
      <w:r>
        <w:rPr>
          <w:rFonts w:ascii="Calibri" w:hAnsi="Calibri" w:eastAsia="Calibri" w:cs="Calibri"/>
          <w:i/>
        </w:rPr>
        <w:t>Prealgebra 2e</w:t>
      </w:r>
      <w:r>
        <w:t xml:space="preserve"> source basis, the complete sequence is 75 modules and 364,270 content-text tokens. A four-chapter secondary-transition comparator-language of algebra, linear equations, mathematical models and geometry, and graphs-is 24 modules and 119,602 tokens, or 32.83% of the complete measured scale. With equal variable cost per source token, zero common setup and the same endpoint, the bridge must retain more than 32.83% of the full package's positive yield to be more efficient; the full sequence must yield more than 3.046 times as much to win. Neither yield is observed. A complete exact-language sequence remains a live alternative for autonomous or offline learners and for any stratum whose added outcome justifies the larger source scale. Exact audience, effect, full-workflow compute, currency and global rank remain null. The frozen sources, traffic scenarios, visual source check and 256 deterministic checks are in the </w:t>
      </w:r>
      <w:r>
        <w:rPr>
          <w:rFonts w:ascii="Calibri" w:hAnsi="Calibri" w:eastAsia="Calibri" w:cs="Calibri"/>
          <w:color w:val="2E74B5"/>
          <w:u w:val="single"/>
        </w:rPr>
        <w:t>Houston F/S checkpoint</w:t>
      </w:r>
      <w:r>
        <w:t>.</w:t>
      </w:r>
    </w:p>
    <w:p>
      <w:pPr>
        <w:pStyle w:val="Heading2"/>
        <w:widowControl/>
      </w:pPr>
      <w:r>
        <w:rPr>
          <w:color w:val="000000"/>
        </w:rPr>
        <w:t>4 17 Source traffic differs by subject one mathematics book is not a universal cost proxy</w:t>
      </w:r>
    </w:p>
    <w:p>
      <w:pPr>
        <w:widowControl/>
      </w:pPr>
      <w:r>
        <w:t xml:space="preserve">The first complete-versus-smaller comparisons used one measured prealgebra source. A cross-subject checkpoint now applies the same extraction and tokenizer protocol to nine pinned OpenStax collections: prealgebra, introductory statistics, biology, chemistry, college physics, management, finance, anatomy and physiology, and introductory Python. Together they contain 1,444 CNXML modules and 4,463,123 </w:t>
      </w:r>
      <w:r>
        <w:rPr>
          <w:rFonts w:ascii="Consolas" w:hAnsi="Consolas" w:eastAsia="Consolas" w:cs="Consolas"/>
          <w:color w:val="31465A"/>
          <w:sz w:val="21"/>
        </w:rPr>
        <w:t>cl100k_base</w:t>
      </w:r>
      <w:r>
        <w:t xml:space="preserve"> content-text tokens. Complete-source size ranges from 70,994 tokens for the Python collection to 950,860 for College Physics-a 13.39-fold difference. This is a workload-scale result, not evidence that physics is thirteen times as important, difficult or expensive to translate (OpenStax, 2026a-2026i).</w:t>
      </w:r>
    </w:p>
    <w:p>
      <w:pPr>
        <w:widowControl/>
      </w:pPr>
      <w:r>
        <w:t>The bounded alternatives differ just as much. The selected source share ranges from 5.71% for Biology's first publisher-named unit to 69.06% for the finance chapters explicitly marked Core by the publisher. The other measured shares are 11.69% for the first anatomy-and-physiology unit, 17.79% for four chemistry-foundation chapters, 18.56% for sampling and descriptive statistics, 22.59% for eight mechanics chapters, 43.34% for Python through functions, 47.34% for an analyst-selected management toolkit, and 47.76% for the earlier six-chapter prealgebra scenario. These packages do not have a common endpoint. Their ratios therefore cannot be placed in a benefit-per-cost league table without target-specific audience, supply and effect evidence.</w:t>
      </w:r>
    </w:p>
    <w:p>
      <w:pPr>
        <w:widowControl/>
      </w:pPr>
      <w:r>
        <w:t>The source representations also omit different kinds of work. Python's comparatively small text count excludes its integrated code runner, executable checking and videos. Biology, chemistry, physics and anatomy exclude figures and other media, while formula, terminology, laboratory, safety and curricular checks remain outside the count. The management selection is explicitly an analyst scenario; the finance selection is publisher-defined but concerns undergraduate corporate finance rather than personal financial literacy. Anatomy and physiology is an allied-health foundation, not public-health guidance or clinical training. These distinctions prevent a convenient source title from silently becoming an answer to “what does this population need?”</w:t>
      </w:r>
    </w:p>
    <w:p>
      <w:pPr>
        <w:widowControl/>
      </w:pPr>
      <w:r>
        <w:t xml:space="preserve">All nine records keep audience, educational effect, physical compute, currency cost and global priority null. Their stage labels are applicability tags rather than scores, and the original source-course stage is recorded separately. Twenty-one deterministic checks pass, and two consecutive builds reproduce the structured JSON, readable Markdown and QA bytes exactly. The full identities, subsets, source hashes and break-even scenarios are in the </w:t>
      </w:r>
      <w:r>
        <w:rPr>
          <w:rFonts w:ascii="Calibri" w:hAnsi="Calibri" w:eastAsia="Calibri" w:cs="Calibri"/>
          <w:color w:val="2E74B5"/>
          <w:u w:val="single"/>
        </w:rPr>
        <w:t>cross-subject source-scale checkpoint</w:t>
      </w:r>
      <w:r>
        <w:t>.</w:t>
      </w:r>
    </w:p>
    <w:p>
      <w:pPr>
        <w:pStyle w:val="Heading2"/>
        <w:widowControl/>
      </w:pPr>
      <w:r>
        <w:rPr>
          <w:color w:val="000000"/>
        </w:rPr>
        <w:t>4 18 Accessibility is a separate marginal access axis</w:t>
      </w:r>
    </w:p>
    <w:p>
      <w:pPr>
        <w:widowControl/>
      </w:pPr>
      <w:r>
        <w:t>Language count alone cannot represent educational access. A source-linked accessibility register now distinguishes seventeen delivery interventions, forty-six source records and eighteen non-additive population or supply-context observations. Six are architecture or content-type baselines: semantic responsive HTML, reflowable EPUB 3.3, native MathML, text descriptions for meaningful images, offline download packaging and lower-bitrate media variants. Eleven are conditional parallel modes: synchronized text/audio, prerecorded captions, live captions, downloadable transcripts, one exact named sign language, localized plain language, Easy Read, declared-code braille, tactile graphics, audio description and large print. “Conditional” does not mean optional for a learner who needs that mode.</w:t>
      </w:r>
    </w:p>
    <w:p>
      <w:pPr>
        <w:widowControl/>
      </w:pPr>
      <w:r>
        <w:t>Every mode remains visible at P/F/S/V/U/R in a comparison separate from the person-language route calculator. That produces 102 mode-stage cells and 204 unranked alternatives: complete integration throughout a coherent package and a bounded high-consequence addition with an exact coverage manifest. A bounded baseline is a migration checkpoint, not an accessible-edition equivalence claim. A bounded parallel mode leaves uncovered units as an explicit gap. Where the existing synthesis does not directly name a stage, the cell is marked research-required rather than either useful or useless by assumption.</w:t>
      </w:r>
    </w:p>
    <w:p>
      <w:pPr>
        <w:widowControl/>
      </w:pPr>
      <w:r>
        <w:t xml:space="preserve">The population anchors cannot be added or assigned to modes. The report includes, among other contexts, Internet non-use, hearing-loss, vision-loss, adult-literacy and supply-side accessibility estimates. They overlap and do not measure screen-reader use, caption preference, sign-language identity, braille literacy, need for plain language or additional educational access. All mode-specific need, effect and cost values therefore remain unknown. Written input-token traffic is not the full cost of narration, captioning, sign performance, braille, tactile graphics, descriptions, compatibility work or device testing. Carrier standards likewise do not remove the need to localize text, metadata, pronunciation, descriptions, captions, narration and interface labels. The complete </w:t>
      </w:r>
      <w:r>
        <w:rPr>
          <w:rFonts w:ascii="Calibri" w:hAnsi="Calibri" w:eastAsia="Calibri" w:cs="Calibri"/>
          <w:color w:val="2E74B5"/>
          <w:u w:val="single"/>
        </w:rPr>
        <w:t>accessibility package comparison</w:t>
      </w:r>
      <w:r>
        <w:t xml:space="preserve"> retains these boundaries.</w:t>
      </w:r>
    </w:p>
    <w:p>
      <w:pPr>
        <w:pStyle w:val="Heading1"/>
        <w:widowControl/>
      </w:pPr>
      <w:r>
        <w:rPr>
          <w:color w:val="000000"/>
        </w:rPr>
        <w:t>5 Shared registers and mathematics</w:t>
      </w:r>
    </w:p>
    <w:p>
      <w:pPr>
        <w:widowControl/>
      </w:pPr>
      <w:r>
        <w:t>An interlanguage can be useful without reproducing native-language comprehension perfectly. Suppose separate native-language editions yield positive combined net benefit B at positive cost C_s, and a shared-register edition yields r times that benefit at positive cost C_b. The shared edition has greater benefit per cost when r &gt; C_b/C_s. A zero or negative comparator benefit requires a direct net-benefit comparison instead of this ratio. This compares complete alternatives; a fixed-budget portfolio choosing only some native editions is a separate optimization.</w:t>
      </w:r>
    </w:p>
    <w:p>
      <w:pPr>
        <w:widowControl/>
      </w:pPr>
      <w:r>
        <w:t>Formula-rich mathematics offers a specific hypothesis: prepared readers may recover more of an argument through notation, diagrams, familiar definitions and proof structure than through prose alone. But negation, quantifier scope, definitions and inferential dependencies remain consequential. The analysis should compare exact readers, scripts and tasks rather than awarding full language-family coverage or zero benefit by default.</w:t>
      </w:r>
    </w:p>
    <w:p>
      <w:pPr>
        <w:widowControl/>
      </w:pPr>
      <w:r>
        <w:t>Native-language and shared-register editions can complement each other. A shared introductory reference, an advanced mathematical register and a native-language foundational course may address different tasks. Their overlapping audiences must be accounted for in a portfolio.</w:t>
      </w:r>
    </w:p>
    <w:p>
      <w:pPr>
        <w:pStyle w:val="Heading2"/>
        <w:widowControl/>
      </w:pPr>
      <w:r>
        <w:rPr>
          <w:color w:val="000000"/>
        </w:rPr>
        <w:t>5 1 What the intelligibility literature does and does not establish</w:t>
      </w:r>
    </w:p>
    <w:p>
      <w:pPr>
        <w:widowControl/>
      </w:pPr>
      <w:r>
        <w:t>Related-language comprehension varies by direction, task, preparation and script. Golubović and Gooskens (2015) studied six West/South Slavic language communities, using several spoken and written tasks. They found substantial asymmetries, and written Bulgarian tasks depended on reported Cyrillic literacy. Those results motivate exact community/script comparisons. They do not supply an Interslavic mathematics comprehension rate or an East Slavic population estimate.</w:t>
      </w:r>
    </w:p>
    <w:p>
      <w:pPr>
        <w:widowControl/>
      </w:pPr>
      <w:r>
        <w:t>Mathematical notation is also not automatically an advantage. In Österholm's (2006) group-theory reading experiment, a prose version produced higher median comprehension than the symbolic version. The unfamiliar subject matter and closed-text assessment differ from a prepared researcher's use of familiar mathematics. The finding therefore weakens a blanket claim that more notation always makes reading easier; it does not settle the proposed advantage of a carefully designed interlanguage for knowledgeable readers.</w:t>
      </w:r>
    </w:p>
    <w:p>
      <w:pPr>
        <w:widowControl/>
      </w:pPr>
      <w:r>
        <w:t>The useful hypothesis distinguishes advanced reference use, learning a new definition, following a proof and completing a worked example. These tasks may have different benefit retention. The expanded comparison retains ten design alternatives and forty task rows, including seven forecast bridges and three targeted Germanic alternatives. A direct Interslavic survey adds evidence about cloze comprehension, not mathematical-edition effectiveness (Merunka et al., 2019).</w:t>
      </w:r>
    </w:p>
    <w:p>
      <w:pPr>
        <w:widowControl/>
      </w:pPr>
      <w:r>
        <w:t xml:space="preserve">The production comparison charges common source preparation once in both alternatives and retains community checking, extra script outputs and bridge-design effort. Under four declared scenarios, the ten-edition Interslavic comparison requires 24.6%-46.0% benefit retention; the two-edition Malay-Indonesian comparison requires 72.2%-137.0%. These are cost-derived thresholds, not predicted comprehension or measured compute. A threshold above 100% means that cost saving alone does not justify that design. The full assumptions and exact communities appear in </w:t>
      </w:r>
      <w:r>
        <w:rPr>
          <w:rFonts w:ascii="Consolas" w:hAnsi="Consolas" w:eastAsia="Consolas" w:cs="Consolas"/>
          <w:color w:val="31465A"/>
          <w:sz w:val="21"/>
        </w:rPr>
        <w:t>SHARED_REGISTER_PORTFOLIO_COMPARISONS_v1.md</w:t>
      </w:r>
      <w:r>
        <w:t>.</w:t>
      </w:r>
    </w:p>
    <w:p>
      <w:pPr>
        <w:widowControl/>
      </w:pPr>
      <w:r>
        <w:t>Every native-subset size remains a comparator: a bridge that beats a full ten-edition bundle might still lose to a well-targeted one- or two-edition portfolio. Hybrid portfolios use the bridge's additional benefit after the native editions, rather than counting its standalone audience again. This supports a meaningful interlanguage hypothesis without making family size or an assumed common effect decide the result.</w:t>
      </w:r>
    </w:p>
    <w:p>
      <w:pPr>
        <w:widowControl/>
      </w:pPr>
      <w:r>
        <w:t>If a bridge reaches people who receive no benefit from the separate-edition comparator, its total benefit ratio can exceed one. Such people are counted directly, not removed because a within-stratum retention ratio is undefined. Benefit weights also need not equal population weights. The comparison uses additional usable access for the specified task and horizon.</w:t>
      </w:r>
    </w:p>
    <w:p>
      <w:pPr>
        <w:pStyle w:val="Heading1"/>
        <w:widowControl/>
      </w:pPr>
      <w:r>
        <w:rPr>
          <w:color w:val="000000"/>
        </w:rPr>
        <w:t>6 Initial intervention comparisons</w:t>
      </w:r>
    </w:p>
    <w:p>
      <w:pPr>
        <w:widowControl/>
      </w:pPr>
      <w:r>
        <w:t>The integrated calculation now contains 1,022 stage-and-mode routes: the earlier 338, 564 Indigenous Americas/Pacific/circumpolar routes and 120 displacement/status routes. These are alternative designs and stage applications, not 1,022 disjoint populations or equally strong findings. All 100 forecast profiles and 169 additional challengers retain all six stages, giving 1,614 explicit profile-stage cells. There are current package designs in 224 of the 600 forecast stage cells; empty cells are unfinished investigations, never lower ranks. One hundred seven constructor checks preserve all earlier 902 route results and all 36 pairwise secondary-mathematics comparisons. A known source cohort and a measured tokenization profile permit a numerical threshold; otherwise the missing quantity remains symbolic. The Bangla route retains all three age-matched scenarios. Five Pakistan routes retain intervals and joint constraints rather than invented midpoints. New regional, country and status-cohort context counts are not converted into language-specific need. Normalized text-traffic values remain fixed-size scenarios, not the actual relative costs of a full course, short companion or signed-video edition.</w:t>
      </w:r>
    </w:p>
    <w:p>
      <w:pPr>
        <w:widowControl/>
      </w:pPr>
      <w:r>
        <w:t>The accessibility calculator is deliberately not added to those language-route totals. It separately retains 17 modes across 102 P/F/S/V/U/R cells and 204 complete-versus-bounded alternatives; twenty-one source, identity, hash, stage, pairing, nonadditivity and no-rank checks pass. Adding those routes to the language count would falsely suggest disjoint populations and comparable production units. An eventual portfolio must instead attach applicable modes to each language/content package, count shared architecture once and estimate additional mode-specific access and cost without duplicating overlapping learners.</w:t>
      </w:r>
    </w:p>
    <w:p>
      <w:pPr>
        <w:widowControl/>
      </w:pPr>
      <w:r>
        <w:t xml:space="preserve">The displacement-corridor evidence now has its own matched-endpoint decision surface. Every stage actually named across the twenty-eight origin→host rows becomes one of 92 corridor-stage comparison cells. Ninety ordinary cells each compare a complete continuity sequence with a smaller bridge or companion; the two </w:t>
      </w:r>
      <w:r>
        <w:rPr>
          <w:rFonts w:ascii="Consolas" w:hAnsi="Consolas" w:eastAsia="Consolas" w:cs="Consolas"/>
          <w:color w:val="31465A"/>
          <w:sz w:val="21"/>
        </w:rPr>
        <w:t>UNK-USA</w:t>
      </w:r>
      <w:r>
        <w:t xml:space="preserve"> stage cells permit evidence resolution only and propose no language production. This yields 180 conditional production alternatives and two identity-resolution actions. Each ordinary pair holds the learner stratum, stage, task, exact language/script profile, delivery conditions and time horizon fixed. The new direct evidence narrows four comparisons: integrated German academic-language and curriculum continuity for Syrian- and Afghan-origin learners; a Somali-to-English prerequisite, catch-up and offline bridge; and measurement-first English transition and credit/navigation support for Venezuelan-origin learners. Audience, baseline usable supply, incremental effect, standardized end-to-end compute, dominance and global rank remain unknown rather than inheriting the corridor's status count. The exact alternatives and evidence needed to discriminate them are published in the </w:t>
      </w:r>
      <w:r>
        <w:rPr>
          <w:rFonts w:ascii="Calibri" w:hAnsi="Calibri" w:eastAsia="Calibri" w:cs="Calibri"/>
          <w:color w:val="2E74B5"/>
          <w:u w:val="single"/>
        </w:rPr>
        <w:t>corridor intervention comparison register</w:t>
      </w:r>
      <w:r>
        <w:t>; thirty checks pass, including exact preservation of all comparison cells outside the four revised corridors.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476"/>
        <w:gridCol w:w="3918"/>
        <w:gridCol w:w="2966"/>
      </w:tblGrid>
      <w:tr>
        <w:trPr>
          <w:tblHeader w:val="true"/>
          <w:cantSplit w:val="true"/>
        </w:trPr>
        <w:tc>
          <w:tcPr>
            <w:tcW w:type="dxa" w:w="24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Intervention</w:t>
            </w:r>
          </w:p>
        </w:tc>
        <w:tc>
          <w:tcPr>
            <w:tcW w:type="dxa" w:w="391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Initial evidence-motivated routes</w:t>
            </w:r>
          </w:p>
        </w:tc>
        <w:tc>
          <w:tcPr>
            <w:tcW w:type="dxa" w:w="29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Intended educational contribution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quantitative catch-up</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Japanese, Ukrainian, Brazilian Portuguese, Filipino, Thai, Vietnamese, Central Khmer, Malaysian Malay, Central/West Asian and African profiles, and exact Indigenous-American/Pacific/circumpolar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Diagnostic, answer-supported work on numerical and algebraic prerequisites; language fit remains a route-specific condition.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learning and school re-entry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Urdu and Pakistan's regional languages; exact African, Haitian Creole, Quechua, Nahuatl, Maya, Guaraní, Cree/Ojibwe/Inuktut and Pacific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Age-appropriate reading/numeracy support, oral/audio explanation and short practice, rather than repurposing a college text as early learning.</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Subject-language transitions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Kiswahili/English, Hausa/French or English, Russian/Estonian, Ukrainian/host-language, Central Asian national-language/Russian/script, exact West African English/French, Indigenous-language/Spanish-English-French-Danish and Pacific bridge-language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Paired explanations plus practice in the teaching or assessment language.</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Tertiary-entry companions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Tamil, Telugu, Marathi, Central/West Asian, African, Indigenous-American, Pacific and circumpolar pathways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Prerequisites, teacher education, terminology and scientific-writing support that complement existing courses.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Statistics and practical skills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Prepared Chinese readers; Bangla, Hausa and Kiswahili routes; Ukrainian/Russian, Central/West Asian, African, Indigenous-American and Pacific finance/health/climate/land-marine/data alternatives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Reproducible analyses or specific financial, recordkeeping, health, environmental and planning tasks, with existing provision compared explicitly.</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Technical preparation and research access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recovery training; exact Ukrainian, Russian, Chinese, Japanese, Central/West Asian, African, Indigenous-American, Pacific, circumpolar and interlanguage research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Preparatory calculations, scientific writing, terminology or source-specific arguments, at stated prerequisites.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Displacement and stateless continuity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DRC, Afghan, Palestinian, Syrian, Rohingya, Sudanese, Somali, South Sudanese, Ukrainian school-continuity and Venezuelan portfolios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Complete multilingual continuity sequences versus smaller host/origin-language bridges, with offline resumption, credential navigation and exact language/script arms; 92 source-bound corridor-stage cells now define matched endpoints, while status-cohort totals remain context rather than language denominators.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Accessibility and delivery architecture</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language/content package, with exact user, locale, device and modality requirements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Six baseline and eleven conditional modes spanning semantic HTML, EPUB, MathML, descriptions, offline/low-bitrate delivery, audio, captions/transcripts, named sign languages, plain language/Easy Read, braille, tactile graphics and large print; kept in a separate non-additive comparison lane.</w:t>
            </w:r>
          </w:p>
        </w:tc>
      </w:tr>
    </w:tbl>
    <w:p>
      <w:pPr>
        <w:widowControl/>
        <w:spacing w:before="0" w:after="40"/>
      </w:pPr>
    </w:p>
    <w:p>
      <w:pPr>
        <w:widowControl/>
      </w:pPr>
      <w:r>
        <w:t>These are intervention recommendations for further comparative development, not a declaration that every listed package outranks every unlisted one. Source selection is concrete: relevant OpenStax topics, Open Logic/forall x and exact advanced open sources are starting points. The source package's learner assumptions, examples, complete-solution coverage and distribution terms are part of the comparison.</w:t>
      </w:r>
    </w:p>
    <w:p>
      <w:pPr>
        <w:widowControl/>
      </w:pPr>
      <w:r>
        <w:t>The secondary calculation illustrates the scale of the decision. Under its fixed-size text-traffic scenario, an Indonesian edition has higher additional access per traffic than a Japanese edition if its unknown incremental yield per learner exceeds approximately 3.45% of the Japanese route's yield. The conditional full-age-15 coverage envelopes widen this threshold to approximately 2.84-5.95%. These values concern one stage and endpoint, not total language priority.</w:t>
      </w:r>
    </w:p>
    <w:p>
      <w:pPr>
        <w:widowControl/>
      </w:pPr>
      <w:r>
        <w:t>Coverage can be decisive in a closer comparison. For Japanese and Ukrainian routes, the represented-cohort point threshold is approximately 0.559. Using Ukraine's national coverage envelope and Japan's full-age-15 envelope yields a range of approximately 0.325-2.414. Equal-yield scenarios can therefore imply different directions within those bounds. The national envelope does not copy the participating regions' observed rate to unassessed people.</w:t>
      </w:r>
    </w:p>
    <w:p>
      <w:pPr>
        <w:widowControl/>
      </w:pPr>
      <w:r>
        <w:t>The comparison fixes source population estimates and uses explicit subset assumptions. It does not identify actual package yields, complete physical production cost or future uptake. Its immediate contribution is a transparent threshold calculation with no silent population removal. The full route definitions, source identities, coverage conditions and sensitivity checks accompany the manuscript.</w:t>
      </w:r>
    </w:p>
    <w:p>
      <w:pPr>
        <w:widowControl/>
      </w:pPr>
      <w:r>
        <w:t xml:space="preserve">The first actual-source-scale comparison changes the earlier bookkeeping materially. A complete OpenStax prealgebra source is about 3.64 times the normalized 100,000-token canon used in the earlier table. For Indonesian, the scenario therefore rises from 1.34 million to 4.89 million token events before extra work. This is a correction to the </w:t>
      </w:r>
      <w:r>
        <w:rPr>
          <w:rFonts w:ascii="Calibri" w:hAnsi="Calibri" w:eastAsia="Calibri" w:cs="Calibri"/>
          <w:i/>
        </w:rPr>
        <w:t>package-size input</w:t>
      </w:r>
      <w:r>
        <w:t>, not a change in Indonesian need or eligibility. A selected six-chapter route is less than half the measured text, but it is preferable only if it retains enough benefit on the same outcome. A complete course remains a serious candidate when it substantially improves independent progression, supplies otherwise missing outcomes, or amortizes shared infrastructure across later units.</w:t>
      </w:r>
    </w:p>
    <w:p>
      <w:pPr>
        <w:widowControl/>
      </w:pPr>
      <w:r>
        <w:t xml:space="preserve">For the Bangladesh four-domain comparison, two deliberately broad design budgets make the unknowns visible. A twelve-item entry-and-feedback companion is represented by 2,720-7,840 English/source-reference tokens; a 24-unit explanatory and practice sequence by 12,800-30,400. Assuming the same per-token workflow and no unequal extra work, the small package's positive-yield threshold spans approximately </w:t>
      </w:r>
      <w:r>
        <w:rPr>
          <w:rFonts w:ascii="Calibri" w:hAnsi="Calibri" w:eastAsia="Calibri" w:cs="Calibri"/>
          <w:b/>
        </w:rPr>
        <w:t>8.9%-61.3%</w:t>
      </w:r>
      <w:r>
        <w:t xml:space="preserve"> of the fuller sequence's yield across the crossed budget extremes. These are planning bounds, not confidence intervals, observed Bangla lengths or instructional specifications. They cannot establish that the companion wins. Authoring, answer verification, formula checking, accessibility and audio/video work remain separate terms. The underlying 15.3-15.7 million national numeracy scenario is unchanged because prior production and package size do not alter population need.</w:t>
      </w:r>
    </w:p>
    <w:p>
      <w:pPr>
        <w:pStyle w:val="Heading1"/>
        <w:widowControl/>
      </w:pPr>
      <w:r>
        <w:rPr>
          <w:color w:val="000000"/>
        </w:rPr>
        <w:t>7 Remaining empirical synthesis</w:t>
      </w:r>
    </w:p>
    <w:p>
      <w:pPr>
        <w:pStyle w:val="Heading2"/>
        <w:widowControl/>
      </w:pPr>
      <w:r>
        <w:rPr>
          <w:color w:val="000000"/>
        </w:rPr>
        <w:t>7 1 What existing evaluations suggest about package design</w:t>
      </w:r>
    </w:p>
    <w:p>
      <w:pPr>
        <w:widowControl/>
      </w:pPr>
      <w:r>
        <w:t>One actionable hypothesis is that matching prerequisites and supplying useful feedback will often matter more than adding another undifferentiated textbook. In a Delhi lottery evaluation, an adaptive after-school programme increased independently assessed mathematics scores by 0.37 standard deviations and Hindi scores by 0.23 over 4.5 months. The programme combined computer activities with small-group instruction; it did not isolate a translation or a teacher-free resource (Muralidharan et al., 2019). The design implication to test is a diagnostic entry point, appropriately sequenced practice and explanations-not assigning every proposed publication those effects.</w:t>
      </w:r>
    </w:p>
    <w:p>
      <w:pPr>
        <w:widowControl/>
      </w:pPr>
      <w:r>
        <w:t>Two other evaluations help distinguish access to an object from access to learning. Conventional textbook provision in Kenyan primary schools did not establish an average test-score improvement, though initially stronger pupils benefited more; language and prerequisite mismatch were possible explanations, not separately randomized treatments (Glewwe et al., 2009). Peru's One Laptop per Child evaluation found increased computer use but no established mathematics or language test-score effect after 15 months (Cristia et al., 2017). Neither finding establishes that open material, offline delivery or translation is unhelpful. They make the package's usability a substantive research question.</w:t>
      </w:r>
    </w:p>
    <w:p>
      <w:pPr>
        <w:widowControl/>
      </w:pPr>
      <w:r>
        <w:t>These findings generate three explicit predictions for the proposed packages. First, catch-up resources should be more useful when their entry level matches the learner's prerequisites. Second, a subject-language bridge should supply practice and explanations, not just substitute terminology. Third, the benefit of an offline edition should depend on whether a learner can navigate, study and check work with the available device. The comparisons will preserve evidence that supports or weakens each prediction. Classroom findings can inform these mechanisms without making teachers a requirement for the autonomous-learning pathway.</w:t>
      </w:r>
    </w:p>
    <w:p>
      <w:pPr>
        <w:widowControl/>
      </w:pPr>
      <w:r>
        <w:t>The study keeps functional access and subsequent learning outcomes separate. A test-score standard deviation is not a percentage of people newly able to study. None of these evaluations supplies a universal translation-effect multiplier or a measure of AI production cost. The detailed evidence register also distinguishes the 2012 working-paper and 2017 published versions of the Peru evaluation. Their sample sizes and coefficients are not mixed.</w:t>
      </w:r>
    </w:p>
    <w:p>
      <w:pPr>
        <w:pStyle w:val="Heading2"/>
        <w:widowControl/>
      </w:pPr>
      <w:r>
        <w:rPr>
          <w:color w:val="000000"/>
        </w:rPr>
        <w:t>7 2 Work still needed for the global portfolio</w:t>
      </w:r>
    </w:p>
    <w:p>
      <w:pPr>
        <w:widowControl/>
      </w:pPr>
      <w:r>
        <w:t>The globally decisive portfolio is not yet complete. The current quantitative surface now has a 100-row worldwide potential-reach table and a distinct 100-row fixed-package workload proxy, alongside the bounded ten-program hedge and the nonordinal 100-profile research inventory. The two ranked tables answer real but deliberately conditional questions; the profile inventory does not. Required remaining work includes stage-specific addressable audiences; item-level comparisons of independently usable subject provision; measured incremental effects; standardized physical-compute scenarios; delivery and accessibility costs; beneficiary overlap; global omission and sensitivity tests; and comparisons against possible outrankers. Signed-language and accessibility interventions, smaller communities, and vocational and research opportunities remain substantive lanes rather than residual categories.</w:t>
      </w:r>
    </w:p>
    <w:p>
      <w:pPr>
        <w:widowControl/>
      </w:pPr>
      <w:r>
        <w:t>The present findings already distinguish useful package hypotheses from raw speaker-count priorities. The final synthesis must carry that distinction through every recommendation and remain understandable without knowledge of any particular translation project.</w:t>
      </w:r>
    </w:p>
    <w:p>
      <w:pPr>
        <w:pStyle w:val="Heading2"/>
        <w:widowControl/>
      </w:pPr>
      <w:r>
        <w:rPr>
          <w:color w:val="000000"/>
        </w:rPr>
        <w:t>7 3 A global synthesis universe replaces the population dominant shortcut</w:t>
      </w:r>
    </w:p>
    <w:p>
      <w:pPr>
        <w:widowControl/>
      </w:pPr>
      <w:r>
        <w:t>The current synthesis does not start from the languages for which convenient population figures happened to be available. It starts from 10,625 nonadditive analytical entities: all 8,618 Glottolog language-level identities; all 1,077 prior edition targets; the frozen 100-candidate hypothesis roster; 169 evidence challengers; 17 accessibility modes; 10 interlanguage or shared-register designs; 247 country and territory omission contexts; 209 displacement-origin contexts; and 178 displacement-host contexts. These rows overlap and are not people totals. Their purpose is to prevent a language, variety, modality or displaced route from vanishing while better evidence is sought.</w:t>
      </w:r>
    </w:p>
    <w:p>
      <w:pPr>
        <w:widowControl/>
      </w:pPr>
      <w:r>
        <w:t>Ten completed country or jurisdiction identity gates contain 2,966 assignments covering 2,854 distinct Glottocodes. That is progress in finding identities, not proof that those 2,854 languages have measured audiences or that the other 5,764 matter less. Country association does not establish present residence or use. A source label does not establish an exact variety. A prior edition target does not establish unmet need. An existing intervention route does not establish adequate supply or benefit.</w:t>
      </w:r>
    </w:p>
    <w:p>
      <w:pPr>
        <w:widowControl/>
      </w:pPr>
      <w:r>
        <w:t xml:space="preserve">The previous 186-row </w:t>
      </w:r>
      <w:r>
        <w:rPr>
          <w:rFonts w:ascii="Consolas" w:hAnsi="Consolas" w:eastAsia="Consolas" w:cs="Consolas"/>
          <w:color w:val="31465A"/>
          <w:sz w:val="21"/>
        </w:rPr>
        <w:t>GLOBAL_FUNDING_PORTFOLIO_v1.csv</w:t>
      </w:r>
      <w:r>
        <w:t xml:space="preserve"> is therefore historical evidence of the population-dominant shortcut, not an input to the replacement analysis. Its common-prior estimates and ordinal positions are not current recommendations. The replacement register gives every entity an evidence state and next research action while leaving </w:t>
      </w:r>
      <w:r>
        <w:rPr>
          <w:rFonts w:ascii="Calibri" w:hAnsi="Calibri" w:eastAsia="Calibri" w:cs="Calibri"/>
          <w:b/>
        </w:rPr>
        <w:t>final package-specific funding rank</w:t>
      </w:r>
      <w:r>
        <w:t xml:space="preserve"> empty. That does not delete prioritization research: the conditional reach and fixed-package workload Top 100s remain active screening outputs, and the finite-budget scenario portfolios below are explicit compute-allocation calculations. Every entity remains a possible outranker; missing population, need, supply, effect, compute or overlap evidence never becomes a zero or an ordinal penalty.</w:t>
      </w:r>
    </w:p>
    <w:p>
      <w:pPr>
        <w:widowControl/>
      </w:pPr>
      <w:r>
        <w:t>The robust global partial order currently has zero asserted dominance edges. That is not a finding that every intervention has equal value. A dominance claim requires the same educational endpoint, an exact addressable audience, current usable supply, an incremental-effect interval, standardized physical-compute and delivery costs, and a rule that counts overlapping beneficiaries once. Those quantities are not yet jointly bound for a global pair. Substituting common midpoints or putting unknown cases last would manufacture an order from evidence availability.</w:t>
      </w:r>
    </w:p>
    <w:p>
      <w:pPr>
        <w:widowControl/>
      </w:pPr>
      <w:r>
        <w:t>The requested Top 10 and Top 100 now exist in two explicitly conditional, ordinal senses. The reach order compares population plausibly helped under one common missing-data scenario. The fixed-package proxy divides that numerator by the modeled token-event workload for one identical package. Neither is the final package-specific funding order. Separately, the ten-program tranche is one feasible hedge across large audiences, regional depth, displacement, multiple scripts and practical subject needs, while the 100-profile set is a nonordinal communication and investigation inventory. Its member numbers are stable identifiers, not positions. The 169 current challengers and all entities outside those displays remain possible outrankers. Accessibility formats and interlanguages remain parallel, nonadditive design layers; all 209 origin and 178 host displacement contexts remain visible rather than being reduced to ten examples.</w:t>
      </w:r>
    </w:p>
    <w:p>
      <w:pPr>
        <w:widowControl/>
      </w:pPr>
      <w:r>
        <w:t>This universe passes 34 constructor checks, an independent 265,625-field CSV/JSON comparison with no mismatches, and two complete byte-identical rebuilds of all four outputs. The result establishes a safe global comparison boundary. It does not establish educational benefit, compute efficiency or a final allocation order.</w:t>
      </w:r>
    </w:p>
    <w:p>
      <w:pPr>
        <w:pStyle w:val="Heading2"/>
        <w:widowControl/>
      </w:pPr>
      <w:r>
        <w:rPr>
          <w:color w:val="000000"/>
        </w:rPr>
        <w:t>7 4 What is and is not comparable now</w:t>
      </w:r>
    </w:p>
    <w:p>
      <w:pPr>
        <w:widowControl/>
      </w:pPr>
      <w:r>
        <w:t>The replacement synthesis now has both a visible global screening layer and a route-level evidence funnel. The screening layer preserves 775 non-English language-and-script profiles, publishes the first 100 by potential reach, and compares the same fixed text package across all 775 using measured or common-envelope token-event workloads. The route layer preserves 1,022 proposed language-stage-package routes. Fifteen have a numeric need interval or point in a source-defined context; thirty-two have a declared base text-traffic scenario; and nine routes participate in thirty-six same-endpoint threshold comparisons. The global screening tables are useful conditional orders, and the route cells are useful conditional comparisons, but neither alone identifies global winners. A national cohort, census category or status population is not automatically the exact audience that can use one edition. A token-traffic scenario is not standardized physical compute, energy, money or achieved quality.</w:t>
      </w:r>
    </w:p>
    <w:p>
      <w:pPr>
        <w:widowControl/>
      </w:pPr>
      <w:r>
        <w:t xml:space="preserve">No current route jointly measures the six decisive elements: exact edition audience, independently usable baseline supply, incremental effect on a common educational endpoint, standardized physical compute, delivery/accessibility cost and portfolio overlap. In particular, all 1,022 incremental-yield fields remain unmeasured logical ranges, not effect estimates. The robust global dominance graph therefore still has zero edges. This does </w:t>
      </w:r>
      <w:r>
        <w:rPr>
          <w:rFonts w:ascii="Calibri" w:hAnsi="Calibri" w:eastAsia="Calibri" w:cs="Calibri"/>
          <w:b/>
        </w:rPr>
        <w:t>not</w:t>
      </w:r>
      <w:r>
        <w:t xml:space="preserve"> mean that all routes are equal, useless or low priority. It means that current evidence cannot honestly decide a global winner on compatible units.</w:t>
      </w:r>
    </w:p>
    <w:p>
      <w:pPr>
        <w:widowControl/>
      </w:pPr>
      <w:r>
        <w:t>The machine-readable readiness register assigns every route one of four states. Nine are conditional same-endpoint threshold cells with no winner. Six more contain a numeric context bound but lack comparable effect and compute. Nine hundred ninety-five contain a source-referenced package hypothesis but are not globally rankable. Twelve retain a route hypothesis without an embedded package design. Every row remains a possible outranker, has no funding rank and cannot be excluded because of missing evidence.</w:t>
      </w:r>
    </w:p>
    <w:p>
      <w:pPr>
        <w:widowControl/>
      </w:pPr>
      <w:r>
        <w:t>The source-and-package layer currently binds seventy design entries across thirteen country or jurisdiction checkpoints. These establish concrete questions about current supply, stages, subjects and full-versus-bounded packages. They do not award those places higher priority for having more documentation. The 100-profile forecast remains a communication portfolio: sixty-three profiles have at least one route and thirty-seven remain explicit research gaps, while 169 evidence challengers sit outside the forecast. All are eligible to displace a provisional selection when compatible evidence supports it.</w:t>
      </w:r>
    </w:p>
    <w:p>
      <w:pPr>
        <w:widowControl/>
      </w:pPr>
      <w:r>
        <w:t>The next allocation step is therefore specific, not vague: use the global reach and fixed-package tables as an omission-resistant screen; complete comparable cells for exact language/script/community × stage × subject × package × delivery interventions; estimate standalone and overlapping benefits; normalize the complete production and delivery workflow to physical compute; and then publish interval-supported dominance relations and budget frontiers. Every Top 10 or Top 100 must name the quantity being ordered, show its assumptions, identify candidates that can still outrank it and state the evidence most likely to change the result.</w:t>
      </w:r>
    </w:p>
    <w:p>
      <w:pPr>
        <w:widowControl/>
      </w:pPr>
      <w:r>
        <w:t xml:space="preserve">For clarity, </w:t>
      </w:r>
      <w:r>
        <w:rPr>
          <w:rFonts w:ascii="Calibri" w:hAnsi="Calibri" w:eastAsia="Calibri" w:cs="Calibri"/>
          <w:b/>
        </w:rPr>
        <w:t>P</w:t>
      </w:r>
      <w:r>
        <w:t xml:space="preserve"> means preschool/early childhood, </w:t>
      </w:r>
      <w:r>
        <w:rPr>
          <w:rFonts w:ascii="Calibri" w:hAnsi="Calibri" w:eastAsia="Calibri" w:cs="Calibri"/>
          <w:b/>
        </w:rPr>
        <w:t>F</w:t>
      </w:r>
      <w:r>
        <w:t xml:space="preserve"> foundational/primary, </w:t>
      </w:r>
      <w:r>
        <w:rPr>
          <w:rFonts w:ascii="Calibri" w:hAnsi="Calibri" w:eastAsia="Calibri" w:cs="Calibri"/>
          <w:b/>
        </w:rPr>
        <w:t>S</w:t>
      </w:r>
      <w:r>
        <w:t xml:space="preserve"> secondary, </w:t>
      </w:r>
      <w:r>
        <w:rPr>
          <w:rFonts w:ascii="Calibri" w:hAnsi="Calibri" w:eastAsia="Calibri" w:cs="Calibri"/>
          <w:b/>
        </w:rPr>
        <w:t>V</w:t>
      </w:r>
      <w:r>
        <w:t xml:space="preserve"> vocational/technical/practical, </w:t>
      </w:r>
      <w:r>
        <w:rPr>
          <w:rFonts w:ascii="Calibri" w:hAnsi="Calibri" w:eastAsia="Calibri" w:cs="Calibri"/>
          <w:b/>
        </w:rPr>
        <w:t>U</w:t>
      </w:r>
      <w:r>
        <w:t xml:space="preserve"> university/taught tertiary and </w:t>
      </w:r>
      <w:r>
        <w:rPr>
          <w:rFonts w:ascii="Calibri" w:hAnsi="Calibri" w:eastAsia="Calibri" w:cs="Calibri"/>
          <w:b/>
        </w:rPr>
        <w:t>R</w:t>
      </w:r>
      <w:r>
        <w:t xml:space="preserve"> postgraduate/research. These letters label educational endpoints, not scores or priority.</w:t>
      </w:r>
    </w:p>
    <w:p>
      <w:pPr>
        <w:pStyle w:val="Heading2"/>
        <w:widowControl/>
      </w:pPr>
      <w:r>
        <w:rPr>
          <w:color w:val="000000"/>
        </w:rPr>
        <w:t>7 5 The high reach evidence frontier</w:t>
      </w:r>
    </w:p>
    <w:p>
      <w:pPr>
        <w:widowControl/>
      </w:pPr>
      <w:r>
        <w:t>The first high-reach synthesis contains 83 deliberately separate evidence cells: 45 typed language-population bases, seven parallel or common-core package hypotheses, and 31 country omission sentinels. Fifty-two language or package cells remain possible outrankers. None has a funding rank or an exclusion disposition. The country cells are not translation candidates; they are alarms against silently overlooking large national contexts while the exact languages, varieties, scripts, displaced populations, signed languages and delivery formats inside them are resolved.</w:t>
      </w:r>
    </w:p>
    <w:p>
      <w:pPr>
        <w:widowControl/>
      </w:pPr>
      <w:r>
        <w:t>The largest rows demonstrate both the stakes and the danger of casual comparison. The register retains a mixed global English lower-bound estimate of 1.5 billion users; a Mainland Standard Written Chinese exposure ceiling of 1.412 billion; reported Putonghua communicative ability around 1.140 billion; a Spanish potential-user lower bound of 630 million and a separate 520 million native-domain estimate; 503 million people in an MSA educational-exposure aggregate; a 450 million Arabic umbrella context; 396 million institutionally estimated Francophones; 322.230 million raw Hindi mother-tongue returns; 280.404 million Mainland formal-education enrolments; 265 million Portuguese speakers; a 264.589-264.606 million Bangladesh-and-India Bangla/Bengali parallel-package context; more than 250 million Russian users; 248.502 million Indonesian users by the cited BPS conversational-ability definition; a 240.458 million Urdu national-exposure ceiling in Pakistan; and more than 200 million cross-border Kiswahili users. These are different measures, often overlapping. Their order of magnitude makes them impossible to dismiss; it does not make them a benefit ranking.</w:t>
      </w:r>
    </w:p>
    <w:p>
      <w:pPr>
        <w:widowControl/>
      </w:pPr>
      <w:r>
        <w:t>The distinction is substantive. Reported ability does not prove comfortable academic reading. A mother-tongue count does not measure current educational supply. Formal enrolment is an opportunity population, not unmet need. A territorial ceiling is not an exact edition audience. A world speaker estimate cannot be copied into one country, script or standard. Country learning, literacy, completion and connectivity indicators are ecological context and are never multiplied into a language total as if they were conditional language-specific rates.</w:t>
      </w:r>
    </w:p>
    <w:p>
      <w:pPr>
        <w:widowControl/>
      </w:pPr>
      <w:r>
        <w:t>The seven shared-work cells make possible efficiencies visible without awarding blanket interlanguage coverage. They include Bangladesh/India Bangla, Gurmukhi/Shahmukhi Punjabi, Hindi/Urdu, Iranian Persian/Dari/Tajik, six West African Pidgin profiles, multiscript Hausa and multistandard Kiswahili. Each is a hypothesis about parallel production, common terminology, reusable formal structure or a bounded shared register. A child language never inherits the package population. One shared text serves the whole context only if its exact users can actually understand and use it at the stated mathematical and linguistic prerequisites.</w:t>
      </w:r>
    </w:p>
    <w:p>
      <w:pPr>
        <w:widowControl/>
      </w:pPr>
      <w:r>
        <w:t xml:space="preserve">Every intervention cell is therefore expressed as </w:t>
      </w:r>
      <w:r>
        <w:rPr>
          <w:rFonts w:ascii="Consolas" w:hAnsi="Consolas" w:eastAsia="Consolas" w:cs="Consolas"/>
          <w:color w:val="31465A"/>
          <w:sz w:val="21"/>
        </w:rPr>
        <w:t>P × q</w:t>
      </w:r>
      <w:r>
        <w:t xml:space="preserve">, where </w:t>
      </w:r>
      <w:r>
        <w:rPr>
          <w:rFonts w:ascii="Consolas" w:hAnsi="Consolas" w:eastAsia="Consolas" w:cs="Consolas"/>
          <w:color w:val="31465A"/>
          <w:sz w:val="21"/>
        </w:rPr>
        <w:t>P</w:t>
      </w:r>
      <w:r>
        <w:t xml:space="preserve"> retains the source's typed population measure and </w:t>
      </w:r>
      <w:r>
        <w:rPr>
          <w:rFonts w:ascii="Consolas" w:hAnsi="Consolas" w:eastAsia="Consolas" w:cs="Consolas"/>
          <w:color w:val="31465A"/>
          <w:sz w:val="21"/>
        </w:rPr>
        <w:t>q</w:t>
      </w:r>
      <w:r>
        <w:t xml:space="preserve"> is the still-unmeasured expected per-person change in functional educational access. The attached 100,000-source-token text envelope-approximately 0.771 million, 1.575 million and 4.044 million fresh-equivalent token events under low, base and high scenarios-is a common traffic sensitivity test. It is not physical compute, energy, money, achieved quality or a target-specific production measurement.</w:t>
      </w:r>
    </w:p>
    <w:p>
      <w:pPr>
        <w:widowControl/>
      </w:pPr>
      <w:r>
        <w:t>This frontier changes the next research question. Large cohorts are now visible without being promoted for having convenient data. The next comparisons must bind, for one exact community and stage-subject-format package, an actual usable audience, existing open supply, delivery constraints, a common access endpoint, incremental effect, standardized physical compute and beneficiary overlap. Only then can intervals support a dominance relation or a conditional portfolio. Until then, Indonesia, Simplified Standard Written Chinese, Bangla, Hindi, Ukrainian and every other measured or unmeasured candidate remain eligible to displace a provisional choice.</w:t>
      </w:r>
    </w:p>
    <w:p>
      <w:pPr>
        <w:pStyle w:val="Heading2"/>
        <w:widowControl/>
      </w:pPr>
      <w:r>
        <w:rPr>
          <w:color w:val="000000"/>
        </w:rPr>
        <w:t>7 6 What the effect evidence changes and what it cannot decide</w:t>
      </w:r>
    </w:p>
    <w:p>
      <w:pPr>
        <w:widowControl/>
      </w:pPr>
      <w:r>
        <w:t>The access commitment is not an empirical hurdle placed in front of learners. This study treats inherited familiarity with academic language as an institutionally distributed advantage and treats a source-faithful translation into an audience-specified adult register as an eligible intervention whenever any credible nonzero educational benefit is plausible. The literature can help estimate the size and distribution of that benefit. It can show that a particular source, audience, register or delivery design was ineffective or counterproductive. It cannot convert family education, schooling history, income, racialization, disability, measured attainment or register familiarity into an innate-capacity judgment or a reason to withhold access.</w:t>
      </w:r>
    </w:p>
    <w:p>
      <w:pPr>
        <w:widowControl/>
      </w:pPr>
      <w:r>
        <w:t>The closest direct evidence is encouraging but narrow. Bälter et al. (2024) randomized 2,263 learners between Swedish and English versions of the same eight-module programming course. Among course starters, performance was 16.9 versus 14.3 correct answers, with a small Cliff's delta of .085; dropout was 57% in Swedish and 71% in English. In a four-arm trial with 111 Scandinavian family physicians, Gulbrandsen et al. (2002) found median recall of four of thirteen facts after reading in the mother tongue and three after reading in English; paper versus screen made no detected difference. These are unusually close to the proposed language-edition contrast, but they concern highly educated samples, short or bounded material and immediate or course-level outcomes. They are anchors, not global multipliers.</w:t>
      </w:r>
    </w:p>
    <w:p>
      <w:pPr>
        <w:widowControl/>
      </w:pPr>
      <w:r>
        <w:t>Adult intralingual register experiments show both meaningful gains and strong heterogeneity. Leroy et al. (2013) preserved source information while adding definitions and familiar wording. In a 99-person experiment, correct comprehension was 63% for the translated passages and 52% for the originals; learning gains were 18% and 9%, while free recall did not differ. Martínez, Mollica, and Gibson (2022) found a 5.8-percentage-point comprehension advantage for equivalent-meaning ordinary English over legalese in short contracts. Sayfi et al. (2024) found a 19.8-point advantage for a plain-language WHO recommendation but only 3.9 points for a CDC text, whose confidence interval included no effect. The large difference between two related sources is as important as either headline number: source structure, audience and the exact translation choices matter.</w:t>
      </w:r>
    </w:p>
    <w:p>
      <w:pPr>
        <w:widowControl/>
      </w:pPr>
      <w:r>
        <w:t>Null and adverse comparisons are therefore design information. They are not a vote on whether a language or social group is capable of using educational material. One bilingual physics comparison produced smaller gains than its German-only counterpart, while a paper-reading interface added perceived ease without a detected objective-comprehension gain. Such results require analysis of terminology, cognitive load, prerequisites, layout, teaching context and audience fit. They justify a different design or a smaller first deployment, not permanent ineligibility.</w:t>
      </w:r>
    </w:p>
    <w:p>
      <w:pPr>
        <w:widowControl/>
      </w:pPr>
      <w:r>
        <w:t>Open access, offline delivery and instructional support also answer different questions. Clinton and Khan's (2019) meta-analysis found essentially equal average learning outcomes for open and commercial textbooks (</w:t>
      </w:r>
      <w:r>
        <w:rPr>
          <w:rFonts w:ascii="Calibri" w:hAnsi="Calibri" w:eastAsia="Calibri" w:cs="Calibri"/>
          <w:i/>
        </w:rPr>
        <w:t>g</w:t>
      </w:r>
      <w:r>
        <w:t>=.01, 95% CI [-.16, .19]) and lower course-withdrawal odds for open-textbook conditions (OR=.71, 95% CI [.56, .90]). That comparison supports substituting free books for paid books without assuming an achievement penalty. It does not estimate the effect of a usable book versus no book, or the effect of translation. Likewise, making a file downloadable changes acquisition; making it reflowable, screen-reader-native, printable and offline changes practical usability; worked examples, retrieval practice, explanatory feedback, prerequisites and self-regulation support change learning conditional on use.</w:t>
      </w:r>
    </w:p>
    <w:p>
      <w:pPr>
        <w:widowControl/>
      </w:pPr>
      <w:r>
        <w:t>For planning, the analysis consequently separates four quantities:</w:t>
      </w:r>
    </w:p>
    <w:p>
      <w:pPr>
        <w:pStyle w:val="ProposalList"/>
        <w:widowControl/>
        <w:numPr>
          <w:ilvl w:val="0"/>
          <w:numId w:val="10"/>
        </w:numPr>
      </w:pPr>
      <w:r>
        <w:t>the population for whom the edition is relevant;</w:t>
      </w:r>
    </w:p>
    <w:p>
      <w:pPr>
        <w:pStyle w:val="ProposalList"/>
        <w:widowControl/>
        <w:numPr>
          <w:ilvl w:val="0"/>
          <w:numId w:val="10"/>
        </w:numPr>
      </w:pPr>
      <w:r>
        <w:t>the probability that the edition is reached, acquired and usable;</w:t>
      </w:r>
    </w:p>
    <w:p>
      <w:pPr>
        <w:pStyle w:val="ProposalList"/>
        <w:widowControl/>
        <w:numPr>
          <w:ilvl w:val="0"/>
          <w:numId w:val="10"/>
        </w:numPr>
      </w:pPr>
      <w:r>
        <w:t>the probability of sustained active use; and</w:t>
      </w:r>
    </w:p>
    <w:p>
      <w:pPr>
        <w:pStyle w:val="ProposalList"/>
        <w:widowControl/>
        <w:numPr>
          <w:ilvl w:val="0"/>
          <w:numId w:val="10"/>
        </w:numPr>
      </w:pPr>
      <w:r>
        <w:t>the effect among active users on a named endpoint.</w:t>
      </w:r>
    </w:p>
    <w:p>
      <w:pPr>
        <w:widowControl/>
      </w:pPr>
      <w:r>
        <w:t>For a passive release, those stages can be multiplied only when their conditions and denominators are compatible. They must not be multiplied into a study's intent-to-treat effect, which already includes uptake and nonuse. Nor may a comprehension percentage be multiplied directly by a worldwide language population without an exposure and use model.</w:t>
      </w:r>
    </w:p>
    <w:p>
      <w:pPr>
        <w:widowControl/>
      </w:pPr>
      <w:r>
        <w:t>The current evidence register therefore publishes scenarios rather than a single promised effect. For a well-audited full-content adult-register translation, the immediate-comprehension scenarios range from an adverse -3-to-0 percentage points, through near-null 0-to-3 and central 3-to-10, to a 10-to-20-point high-mismatch case. For an actively used static package with worked examples, retrieval, answers and explanatory feedback, the planning range is 0.05-0.25 standard deviations over roughly a term or year. A merely published file receives a 0-0.02 scenario. Preschool remains unmeasured rather than being assigned zero. These are stress tests assembled from distinct evidence classes, not confidence intervals, pooled global estimates or eligibility thresholds.</w:t>
      </w:r>
    </w:p>
    <w:p>
      <w:pPr>
        <w:widowControl/>
      </w:pPr>
      <w:r>
        <w:t xml:space="preserve">No controlled study located so far evaluates a complete, proposition-preserving mathematics curriculum translated into another language or adult register. That is a reason to measure the first well-audited editions carefully. It is not a reason to presume no benefit. The full 53-study evidence register, 18 planning scenarios, source-to-scenario transport rules and independent reproducibility checks are published in </w:t>
      </w:r>
      <w:r>
        <w:rPr>
          <w:rFonts w:ascii="Consolas" w:hAnsi="Consolas" w:eastAsia="Consolas" w:cs="Consolas"/>
          <w:color w:val="31465A"/>
          <w:sz w:val="21"/>
        </w:rPr>
        <w:t>INTERVENTION_EFFECT_EVIDENCE_v1.md</w:t>
      </w:r>
      <w:r>
        <w:t xml:space="preserve"> and its machine-readable companions.</w:t>
      </w:r>
    </w:p>
    <w:p>
      <w:pPr>
        <w:pStyle w:val="Heading2"/>
        <w:widowControl/>
      </w:pPr>
      <w:r>
        <w:rPr>
          <w:color w:val="000000"/>
        </w:rPr>
        <w:t>7 7 An actionable first tranche without pretending it is a world league table</w:t>
      </w:r>
    </w:p>
    <w:p>
      <w:pPr>
        <w:widowControl/>
      </w:pPr>
      <w:r>
        <w:t>A decision-maker may still need to act before every comparable cell is measured. The current response is a ten-program measurement-and-production tranche. It deliberately hedges across very large audiences, multilingual systems, multiple scripts, displacement, offline access, foundational learning, practical subjects and advanced study. Every program remains eligible independently of the evidence gathered so far. The evidence selects its first package and its scale; it does not decide whether its people count.</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641"/>
        <w:gridCol w:w="3360"/>
        <w:gridCol w:w="3359"/>
      </w:tblGrid>
      <w:tr>
        <w:trPr>
          <w:tblHeader w:val="true"/>
          <w:cantSplit w:val="true"/>
        </w:trPr>
        <w:tc>
          <w:tcPr>
            <w:tcW w:type="dxa" w:w="26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Program slot</w:t>
            </w:r>
          </w:p>
        </w:tc>
        <w:tc>
          <w:tcPr>
            <w:tcW w:type="dxa" w:w="336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Why it is in this hedge</w:t>
            </w:r>
          </w:p>
        </w:tc>
        <w:tc>
          <w:tcPr>
            <w:tcW w:type="dxa" w:w="335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First bounded package to compare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Bahasa Indonesia</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first- and additional-language reach, major measured secondary learning burdens and an unusually informative open-production case study</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 secondary mathematics/science prerequisite repair with exercises, solutions and offline/mobile use, followed by statistics, computing, finance/business and tertiary bridges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Bangladesh and India Bangla/Bengali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country-disjoint parallel context, severe foundational-learning evidence and potential reuse across two explicit national interfaces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 plus reading-supported mathematics, then secondary science, statistics, health and practical finance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 and Urdu</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Hundreds of millions across related but distinct educational standards and scripts, with potential shared formal work that must not erase either native output</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Separate Devanagari and Nastaliq foundational/secondary mathematics, science and finance, plus an optional measured shared mathematical layer</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Enormous written-standard and formal-enrolment opportunity alongside substantial existing provision, making targeted additionality more useful than a generic school-book assumption</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Audit and fill open, downloadable and accessible advanced mathematics, science and computing gaps; include semantic HTML/MathML, reflow and offline formats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Philippine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High country-level learning burdens and a sharply multilingual home-language landscape that one Filipino or English label cannot discharge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 numeracy and reading-supported mathematics, secondary science, health/disaster learning and financial capability across separately named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Ethiopian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Severe foundational, transition, connectivity and practical-learning questions across several large language communities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literacy/numeracy, secondary science, agriculture, health, technical and small-enterprise modules with offline delivery</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Democratic Republic of the Congo multilingual and displacement routes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population, severe learning/connectivity context and school-continuity needs that cross origin and host settings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Resumable mathematics/science, public health and livelihood modules with credential and continuity navigation</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in Boko and Ajami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very large cross-border community, meaningful script choice and practical subject reach</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numeracy/literacy, secondary science, health, agriculture, finance and enterprise in low-bandwidth text/audio and both literacy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Multistandard Kiswahili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cross-border L1/L2 reach and potential reuse across several education systems without assuming one uniform standard</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mathematics/science, statistics/computing, health, agriculture, finance and management with national terminology overlays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Modern Standard Arabic plus vernacular and displacement interfaces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large learned written register across many systems, with diglossic, local-language and displacement needs that an Arabic umbrella cannot collapse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Reading-supported bridges into MSA, mathematics/science, health, finance and management, plus advanced open sources and explicit vernacular interfaces</w:t>
            </w:r>
          </w:p>
        </w:tc>
      </w:tr>
    </w:tbl>
    <w:p>
      <w:pPr>
        <w:widowControl/>
        <w:spacing w:before="0" w:after="40"/>
      </w:pPr>
    </w:p>
    <w:p>
      <w:pPr>
        <w:widowControl/>
      </w:pPr>
      <w:r>
        <w:t>The shared measurement protocol uses a 100,000-source-token benchmark to learn target-specific production, quality-assurance, accessibility and delivery costs. That benchmark is not the first educational package and does not force every language into a 100,000-token book. The first packages above differ because the best available evidence points to different stages, subjects and delivery problems. Complete courses and smaller additions are compared at the same educational endpoint.</w:t>
      </w:r>
    </w:p>
    <w:p>
      <w:pPr>
        <w:widowControl/>
      </w:pPr>
      <w:r>
        <w:t>The wider 100-profile inventory is a communication set, not ranks 1-100. Its member numbers are record identifiers. This differs from the newly published 100-row potential-reach order and 100-row fixed-package workload proxy, whose columns are explicitly labelled as ordinal positions and whose quantities are fully stated. All analytical entities outside the profile inventory remain possible outrankers. The current target-specific partial order still contains zero robust global dominance edges because no pair jointly binds compatible audience, same-endpoint effect, measured physical compute and nonoverlapping beneficiaries. The tranche is therefore an expert-constructed feasible hedge, not the output of a falsely precise optimizer.</w:t>
      </w:r>
    </w:p>
    <w:p>
      <w:pPr>
        <w:widowControl/>
      </w:pPr>
      <w:r>
        <w:t xml:space="preserve">This is also why the list contains both very large educational languages and regional, signed, displacement and shared-register lanes. A population-only portfolio would suppress smaller high-severity and prestige-domain needs. A scarcity-only portfolio would suppress hundreds of millions of people in large languages. A documentation-readiness portfolio would reward communities that are already easiest to measure. The conditional portfolio keeps those failure modes visible and publishes the evidence that could change each slot. Its full Top 10 rationales, nonordinal Top 100, accessibility overlays, displacement portfolio, possible-outranker fields and deterministic checks are in </w:t>
      </w:r>
      <w:r>
        <w:rPr>
          <w:rFonts w:ascii="Consolas" w:hAnsi="Consolas" w:eastAsia="Consolas" w:cs="Consolas"/>
          <w:color w:val="31465A"/>
          <w:sz w:val="21"/>
        </w:rPr>
        <w:t>CONDITIONAL_GLOBAL_PORTFOLIOS_v1.md</w:t>
      </w:r>
      <w:r>
        <w:t xml:space="preserve"> and its CSV/JSON companions.</w:t>
      </w:r>
    </w:p>
    <w:p>
      <w:pPr>
        <w:pStyle w:val="Heading2"/>
        <w:widowControl/>
      </w:pPr>
      <w:r>
        <w:rPr>
          <w:color w:val="000000"/>
        </w:rPr>
        <w:t>7 8 From a population screen to a target specific allocation frontier</w:t>
      </w:r>
    </w:p>
    <w:p>
      <w:pPr>
        <w:widowControl/>
      </w:pPr>
      <w:r>
        <w:t>The first target-specific frontier corrects a category mistake that the profile catalogue can otherwise invite. A language profile is a search key. It is not an intervention, a priority or a unit to which compute can be allocated. Compute is allocated to a production-and-delivery plan that names the target audience, educational endpoint, source package, language/register/script, formats, delivery route, quality threshold and horizon.</w:t>
      </w:r>
    </w:p>
    <w:p>
      <w:pPr>
        <w:widowControl/>
      </w:pPr>
      <w:r>
        <w:t xml:space="preserve">Fifteen current routes contain a numeric need/context interval. Nine of them share the declared secondary quantitative-catch-up endpoint and can therefore enter a conditional comparison. Their point-scenario coefficients under equal target-specific effect are Indonesian 2,305,230; Brazilian Portuguese 1,247,193; Filipino 951,470; Thai 246,160; Vietnamese 181,776; Standard Malay 146,227; Japanese 79,644; Central Khmer 47,980; and Ukrainian 44,546 context members per million fresh-equivalent token events. These values are </w:t>
      </w:r>
      <w:r>
        <w:rPr>
          <w:rFonts w:ascii="Consolas" w:hAnsi="Consolas" w:eastAsia="Consolas" w:cs="Consolas"/>
          <w:color w:val="31465A"/>
          <w:sz w:val="21"/>
        </w:rPr>
        <w:t>N/C</w:t>
      </w:r>
      <w:r>
        <w:t>, not people known to have learned, and the denominator is workload traffic rather than physical compute. The six other numeric routes remain visible but are not cross-ranked against a different endpoint.</w:t>
      </w:r>
    </w:p>
    <w:p>
      <w:pPr>
        <w:widowControl/>
      </w:pPr>
      <w:r>
        <w:t xml:space="preserve">For every directional pair, the frontier publishes the exact effect-ratio threshold at which the comparison reverses. With positive effects, route A exceeds B when </w:t>
      </w:r>
      <w:r>
        <w:rPr>
          <w:rFonts w:ascii="Consolas" w:hAnsi="Consolas" w:eastAsia="Consolas" w:cs="Consolas"/>
          <w:color w:val="31465A"/>
          <w:sz w:val="21"/>
        </w:rPr>
        <w:t>q_A/q_B &gt; (N_B/N_A)(C_A/C_B)</w:t>
      </w:r>
      <w:r>
        <w:t>. This produces 72 directional thresholds for the nine-route subset. A direct estimate can therefore replace the equal-effect placeholder without rebuilding the comparison or silently removing candidates. The independent review recomputes each threshold from the source registers and verifies that no route receives a funding rank or exclusion disposition.</w:t>
      </w:r>
    </w:p>
    <w:p>
      <w:pPr>
        <w:widowControl/>
      </w:pPr>
      <w:r>
        <w:t>Existing supply changes the proposed intervention, not the underlying need. Indonesia has official Grade VII student books and separate teacher guides, so the matched comparison is an autonomous diagnostic, worked-feedback, remediation and offline companion versus a complete independent sequence-not a claim that no Indonesian material exists. Brazil has a large represented secondary-proficiency context, but the current evidence does not yet identify whether language, prerequisites, pedagogy or delivery is the main constraint. The Philippines has extensive K-12 and alternative-learning-system records, fragmented access paths, a directly observed anonymous-download barrier and unresolved allocation of burden among Filipino, English and exact local languages. Japanese and Ukrainian have stage-matched package hypotheses, while their most specific local frames do not equal the shared catch-up context. Thai, Central Khmer and Standard Malay currently lack a source-bound package aligned to this exact endpoint; that is a high-value research gap, not evidence of zero need. Vietnamese has a related secondary science-reading proposal rather than the exact quantitative-catch-up package.</w:t>
      </w:r>
    </w:p>
    <w:p>
      <w:pPr>
        <w:widowControl/>
      </w:pPr>
      <w:r>
        <w:t>Delivery evidence also changes the intervention. Indonesia's cited 2024 national marginals report 72.78% internet use, 68.65% mobile-phone ownership and 18.52% household-computer ownership. Philippine sources report 67.3% internet use among people aged ten and older and 48.8% household home internet, with large regional differences. These are not learner × language × device cross-tabs and are not multiplied into effect. They support offering phone-readable, printable, download-once and offline forms together rather than assuming continuous web access.</w:t>
      </w:r>
    </w:p>
    <w:p>
      <w:pPr>
        <w:widowControl/>
      </w:pPr>
      <w:r>
        <w:t xml:space="preserve">Package size must be judged against the same endpoint. At the pinned OpenStax </w:t>
      </w:r>
      <w:r>
        <w:rPr>
          <w:rFonts w:ascii="Calibri" w:hAnsi="Calibri" w:eastAsia="Calibri" w:cs="Calibri"/>
          <w:i/>
        </w:rPr>
        <w:t>Prealgebra 2e</w:t>
      </w:r>
      <w:r>
        <w:t xml:space="preserve"> source commit, the measured learning-content text contains 364,270 </w:t>
      </w:r>
      <w:r>
        <w:rPr>
          <w:rFonts w:ascii="Consolas" w:hAnsi="Consolas" w:eastAsia="Consolas" w:cs="Consolas"/>
          <w:color w:val="31465A"/>
          <w:sz w:val="21"/>
        </w:rPr>
        <w:t>cl100k_base</w:t>
      </w:r>
      <w:r>
        <w:t xml:space="preserve"> tokens across 75 modules. A declared six-chapter quantitative selection contains 173,958 tokens, or 47.755% of the complete source; a fractions-only unit contains 41,336 tokens, or 11.348%. With no common setup cost and a genuinely common endpoint, the six-chapter package is more efficient only if it delivers more than 47.755% of the full package's positive yield. The threshold rises to 52.505% when common setup is one tenth of full variable production cost and to 73.878% when it equals that cost. A fractions-only unit cannot be credited with the complete catch-up endpoint; its lower arithmetic threshold applies only to an explicitly narrow fractions outcome.</w:t>
      </w:r>
    </w:p>
    <w:p>
      <w:pPr>
        <w:widowControl/>
      </w:pPr>
      <w:r>
        <w:t>The immediate empirical comparison is therefore not “which language wins?” It is: for Indonesian, Brazilian Portuguese and Filipino, specify one identical quantitative endpoint and horizon; compare a bounded prerequisite-and-feedback companion with a complete autonomous sequence; model passive publication, active static use, offline use and supported use separately; and measure the full accepted-package production work on a declared reference system. That experiment is the shortest route from the current population screen to a defensible compute-allocation frontier. In parallel, unresolved high-reach and high-severity routes remain explicit possible outrankers so evidence scarcity cannot turn into exclusion.</w:t>
      </w:r>
    </w:p>
    <w:p>
      <w:pPr>
        <w:pStyle w:val="Heading2"/>
        <w:widowControl/>
      </w:pPr>
      <w:r>
        <w:rPr>
          <w:color w:val="000000"/>
        </w:rPr>
        <w:t>7 9 What the fixed budget calculation actually allocates</w:t>
      </w:r>
    </w:p>
    <w:p>
      <w:pPr>
        <w:widowControl/>
      </w:pPr>
      <w:r>
        <w:t xml:space="preserve">The allocation question is not abandoned when profile identifiers are shown. A finite-budget calculation has now been run across all 775 retained edition rows. It uses a declared FECU logical-workload budget, one common 100,000-source-token package per selected edition, the current potential-reach coefficient, and an equal unknown net-yield factor </w:t>
      </w:r>
      <w:r>
        <w:rPr>
          <w:rFonts w:ascii="Consolas" w:hAnsi="Consolas" w:eastAsia="Consolas" w:cs="Consolas"/>
          <w:color w:val="31465A"/>
          <w:sz w:val="21"/>
        </w:rPr>
        <w:t>q_common</w:t>
      </w:r>
      <w:r>
        <w:t xml:space="preserve">. Therefore each objective is a standalone reach coefficient multiplied by </w:t>
      </w:r>
      <w:r>
        <w:rPr>
          <w:rFonts w:ascii="Consolas" w:hAnsi="Consolas" w:eastAsia="Consolas" w:cs="Consolas"/>
          <w:color w:val="31465A"/>
          <w:sz w:val="21"/>
        </w:rPr>
        <w:t>q_common</w:t>
      </w:r>
      <w:r>
        <w:t>, not observed people helped. Overlap, stage, endpoint and delivery must still be supplied before the coefficient can be interpreted as unique additional understanding.</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084"/>
        <w:gridCol w:w="4870"/>
        <w:gridCol w:w="2406"/>
      </w:tblGrid>
      <w:tr>
        <w:trPr>
          <w:tblHeader w:val="true"/>
          <w:cantSplit w:val="true"/>
        </w:trPr>
        <w:tc>
          <w:tcPr>
            <w:tcW w:type="dxa" w:w="20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Workload budget</w:t>
            </w:r>
          </w:p>
        </w:tc>
        <w:tc>
          <w:tcPr>
            <w:tcW w:type="dxa" w:w="48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Editions in the exact point-scenario portfolio</w:t>
            </w:r>
          </w:p>
        </w:tc>
        <w:tc>
          <w:tcPr>
            <w:tcW w:type="dxa" w:w="240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Standalone coefficient</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Written Chinese, Hindi, Spanish</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2.126b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10m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Written Chinese, Hindi, Spanish, Arabic, French, Portuguese, Indonesian</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3.210b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25m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 editions, including Chinese, Hindi, Spanish, Arabic, French, Urdu, Portuguese, Indonesian, Bangla, Russian, Kiswahili, Punjabi, German, Japanese, Javanese, Vietnamese and Telugu</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4.746b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50m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33 editions in the exact point optimum</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5.812b × </w:t>
            </w:r>
            <w:r>
              <w:rPr>
                <w:rFonts w:ascii="Calibri" w:hAnsi="Calibri" w:eastAsia="Calibri" w:cs="Calibri"/>
                <w:color w:val="31465A"/>
                <w:sz w:val="17"/>
              </w:rPr>
              <w:t>q_common</w:t>
            </w:r>
          </w:p>
        </w:tc>
      </w:tr>
    </w:tbl>
    <w:p>
      <w:pPr>
        <w:widowControl/>
        <w:spacing w:before="0" w:after="40"/>
      </w:pPr>
    </w:p>
    <w:p>
      <w:pPr>
        <w:widowControl/>
      </w:pPr>
      <w:r>
        <w:t>These portfolios are conditional choices, not a claim that the listed languages are more deserving. They make the research question operational: given a named workload budget and a common scenario, which indivisible editions fit and what standalone opportunity coefficient do they cover? At 10m FECU, the complete source plan selects seven editions in the base scenario; a bounded six-chapter plan selects Chinese, Hindi, Spanish and French plus other high-reach editions under its own source-scale costs. The shorter plan is not credited with the complete-course outcome: it is advantageous only when its endpoint-specific net yield clears the published package break-even threshold.</w:t>
      </w:r>
    </w:p>
    <w:p>
      <w:pPr>
        <w:widowControl/>
      </w:pPr>
      <w:r>
        <w:t>Twenty-five inherited rows have no population coefficient because their evidence base is unresolved. They are represented as unknown audiences, not as zero benefit. Each receives an entry threshold: the unknown candidate would enter a budget portfolio if its coefficient exceeded the opportunity cost of replacing the current selected item. This keeps Ancient Greek, Balinese, Caddo, Chickasaw, Church Slavic, Fula, Geez, Ido, Jutish, Kawi, Literary Chinese, Lojban, Mycenaean Greek, Obolo, Osage, Palatine German, Pali profiles, Romagnol, Samogitian, Samtao, Vai and Votic visible as possible outrankers.</w:t>
      </w:r>
    </w:p>
    <w:p>
      <w:pPr>
        <w:widowControl/>
      </w:pPr>
      <w:r>
        <w:t xml:space="preserve">The accompanying </w:t>
      </w:r>
      <w:r>
        <w:rPr>
          <w:rFonts w:ascii="Consolas" w:hAnsi="Consolas" w:eastAsia="Consolas" w:cs="Consolas"/>
          <w:color w:val="31465A"/>
          <w:sz w:val="21"/>
        </w:rPr>
        <w:t>GLOBAL_BUDGET_SCENARIOS_v1.md</w:t>
      </w:r>
      <w:r>
        <w:t>, JSON and QA receipt preserve all 775 candidates, six exact scenario runs, budget bounds and unknown-entry thresholds. This is the current compute-allocation result under a transparent logical-workload scenario; it is not the final package-specific global order.</w:t>
      </w:r>
    </w:p>
    <w:p>
      <w:pPr>
        <w:pStyle w:val="Heading1"/>
        <w:widowControl/>
      </w:pPr>
      <w:r>
        <w:rPr>
          <w:color w:val="000000"/>
        </w:rPr>
        <w:t>References used in this draft</w:t>
      </w:r>
    </w:p>
    <w:p>
      <w:pPr>
        <w:widowControl/>
      </w:pPr>
      <w:r>
        <w:t xml:space="preserve">Bälter, O., Kann, V., Mutimukwe, C., &amp; Malmström, H. (2024). English-medium instruction and impact on academic performance: A randomized control study. </w:t>
      </w:r>
      <w:r>
        <w:rPr>
          <w:rFonts w:ascii="Calibri" w:hAnsi="Calibri" w:eastAsia="Calibri" w:cs="Calibri"/>
          <w:i/>
        </w:rPr>
        <w:t>Applied Linguistics Review, 15</w:t>
      </w:r>
      <w:r>
        <w:t xml:space="preserve">(6), 2373-2396. </w:t>
      </w:r>
      <w:hyperlink r:id="rId21">
        <w:r>
          <w:rPr>
            <w:rFonts w:ascii="Calibri" w:hAnsi="Calibri" w:eastAsia="Calibri" w:cs="Calibri"/>
            <w:color w:val="2E74B5"/>
            <w:u w:val="single"/>
          </w:rPr>
          <w:t xml:space="preserve">https://doi.org/10.1515/applirev-2022-0093</w:t>
        </w:r>
      </w:hyperlink>
    </w:p>
    <w:p>
      <w:pPr>
        <w:widowControl/>
      </w:pPr>
      <w:r>
        <w:t xml:space="preserve">Clinton, V., &amp; Khan, S. (2019). Efficacy of open textbook adoption on learning performance and course withdrawal rates: A meta-analysis. </w:t>
      </w:r>
      <w:r>
        <w:rPr>
          <w:rFonts w:ascii="Calibri" w:hAnsi="Calibri" w:eastAsia="Calibri" w:cs="Calibri"/>
          <w:i/>
        </w:rPr>
        <w:t>AERA Open, 5</w:t>
      </w:r>
      <w:r>
        <w:t xml:space="preserve">(3). </w:t>
      </w:r>
      <w:hyperlink r:id="rId22">
        <w:r>
          <w:rPr>
            <w:rFonts w:ascii="Calibri" w:hAnsi="Calibri" w:eastAsia="Calibri" w:cs="Calibri"/>
            <w:color w:val="2E74B5"/>
            <w:u w:val="single"/>
          </w:rPr>
          <w:t xml:space="preserve">https://doi.org/10.1177/2332858419872212</w:t>
        </w:r>
      </w:hyperlink>
    </w:p>
    <w:p>
      <w:pPr>
        <w:widowControl/>
      </w:pPr>
      <w:r>
        <w:t xml:space="preserve">Gulbrandsen, P., Schroeder, T. V., Milerad, J., &amp; Nylenna, M. (2002). Paper or screen, mother tongue or English: Which is better? </w:t>
      </w:r>
      <w:r>
        <w:rPr>
          <w:rFonts w:ascii="Calibri" w:hAnsi="Calibri" w:eastAsia="Calibri" w:cs="Calibri"/>
          <w:i/>
        </w:rPr>
        <w:t>JAMA, 287</w:t>
      </w:r>
      <w:r>
        <w:t xml:space="preserve">(21), 2851. </w:t>
      </w:r>
      <w:hyperlink r:id="rId23">
        <w:r>
          <w:rPr>
            <w:rFonts w:ascii="Calibri" w:hAnsi="Calibri" w:eastAsia="Calibri" w:cs="Calibri"/>
            <w:color w:val="2E74B5"/>
            <w:u w:val="single"/>
          </w:rPr>
          <w:t xml:space="preserve">https://doi.org/10.1001/jama.287.21.2851</w:t>
        </w:r>
      </w:hyperlink>
    </w:p>
    <w:p>
      <w:pPr>
        <w:widowControl/>
      </w:pPr>
      <w:r>
        <w:t xml:space="preserve">Hammarström, H., Forkel, R., Haspelmath, M., &amp; Bank, S. (2026). </w:t>
      </w:r>
      <w:r>
        <w:rPr>
          <w:rFonts w:ascii="Calibri" w:hAnsi="Calibri" w:eastAsia="Calibri" w:cs="Calibri"/>
          <w:i/>
        </w:rPr>
        <w:t>Glottolog 5.3</w:t>
      </w:r>
      <w:r>
        <w:t xml:space="preserve">. Max Planck Institute for Evolutionary Anthropology. </w:t>
      </w:r>
      <w:hyperlink r:id="rId24">
        <w:r>
          <w:rPr>
            <w:rFonts w:ascii="Calibri" w:hAnsi="Calibri" w:eastAsia="Calibri" w:cs="Calibri"/>
            <w:color w:val="2E74B5"/>
            <w:u w:val="single"/>
          </w:rPr>
          <w:t xml:space="preserve">https://doi.org/10.5281/zenodo.15525265</w:t>
        </w:r>
      </w:hyperlink>
    </w:p>
    <w:p>
      <w:pPr>
        <w:widowControl/>
      </w:pPr>
      <w:r>
        <w:t xml:space="preserve">Leroy, G., Endicott, J. E., Kauchak, D., Mouradi, O., &amp; Just, M. (2013). User evaluation of the effects of a text simplification algorithm using term familiarity on perception, understanding, learning, and information retention. </w:t>
      </w:r>
      <w:r>
        <w:rPr>
          <w:rFonts w:ascii="Calibri" w:hAnsi="Calibri" w:eastAsia="Calibri" w:cs="Calibri"/>
          <w:i/>
        </w:rPr>
        <w:t>Journal of Medical Internet Research, 15</w:t>
      </w:r>
      <w:r>
        <w:t xml:space="preserve">(7), e144. </w:t>
      </w:r>
      <w:hyperlink r:id="rId25">
        <w:r>
          <w:rPr>
            <w:rFonts w:ascii="Calibri" w:hAnsi="Calibri" w:eastAsia="Calibri" w:cs="Calibri"/>
            <w:color w:val="2E74B5"/>
            <w:u w:val="single"/>
          </w:rPr>
          <w:t xml:space="preserve">https://doi.org/10.2196/jmir.2569</w:t>
        </w:r>
      </w:hyperlink>
    </w:p>
    <w:p>
      <w:pPr>
        <w:widowControl/>
      </w:pPr>
      <w:r>
        <w:t xml:space="preserve">Martínez, E., Mollica, F., &amp; Gibson, E. (2022). Poor writing, not specialized concepts, drives processing difficulty in legal language. </w:t>
      </w:r>
      <w:r>
        <w:rPr>
          <w:rFonts w:ascii="Calibri" w:hAnsi="Calibri" w:eastAsia="Calibri" w:cs="Calibri"/>
          <w:i/>
        </w:rPr>
        <w:t>Cognition, 224</w:t>
      </w:r>
      <w:r>
        <w:t xml:space="preserve">, 105070. </w:t>
      </w:r>
      <w:hyperlink r:id="rId26">
        <w:r>
          <w:rPr>
            <w:rFonts w:ascii="Calibri" w:hAnsi="Calibri" w:eastAsia="Calibri" w:cs="Calibri"/>
            <w:color w:val="2E74B5"/>
            <w:u w:val="single"/>
          </w:rPr>
          <w:t xml:space="preserve">https://doi.org/10.1016/j.cognition.2022.105070</w:t>
        </w:r>
      </w:hyperlink>
    </w:p>
    <w:p>
      <w:pPr>
        <w:widowControl/>
      </w:pPr>
      <w:r>
        <w:t xml:space="preserve">Martínez, E., Mollica, F., &amp; Gibson, E. (2023). Even lawyers do not like legalese. </w:t>
      </w:r>
      <w:r>
        <w:rPr>
          <w:rFonts w:ascii="Calibri" w:hAnsi="Calibri" w:eastAsia="Calibri" w:cs="Calibri"/>
          <w:i/>
        </w:rPr>
        <w:t>Proceedings of the National Academy of Sciences, 120</w:t>
      </w:r>
      <w:r>
        <w:t xml:space="preserve">(23), e2302672120. </w:t>
      </w:r>
      <w:hyperlink r:id="rId27">
        <w:r>
          <w:rPr>
            <w:rFonts w:ascii="Calibri" w:hAnsi="Calibri" w:eastAsia="Calibri" w:cs="Calibri"/>
            <w:color w:val="2E74B5"/>
            <w:u w:val="single"/>
          </w:rPr>
          <w:t xml:space="preserve">https://doi.org/10.1073/pnas.2302672120</w:t>
        </w:r>
      </w:hyperlink>
    </w:p>
    <w:p>
      <w:pPr>
        <w:widowControl/>
      </w:pPr>
      <w:r>
        <w:t xml:space="preserve">Sayfi, S., Charide, R., Elliott, S. A., Hartling, L., Munan, M., Stallwood, L., et al. (2024). A multimethods randomized trial found that plain language versions improved adults' understanding of health recommendations. </w:t>
      </w:r>
      <w:r>
        <w:rPr>
          <w:rFonts w:ascii="Calibri" w:hAnsi="Calibri" w:eastAsia="Calibri" w:cs="Calibri"/>
          <w:i/>
        </w:rPr>
        <w:t>Journal of Clinical Epidemiology, 165</w:t>
      </w:r>
      <w:r>
        <w:t xml:space="preserve">, 111219. </w:t>
      </w:r>
      <w:hyperlink r:id="rId28">
        <w:r>
          <w:rPr>
            <w:rFonts w:ascii="Calibri" w:hAnsi="Calibri" w:eastAsia="Calibri" w:cs="Calibri"/>
            <w:color w:val="2E74B5"/>
            <w:u w:val="single"/>
          </w:rPr>
          <w:t xml:space="preserve">https://doi.org/10.1016/j.jclinepi.2023.11.009</w:t>
        </w:r>
      </w:hyperlink>
    </w:p>
    <w:p>
      <w:pPr>
        <w:widowControl/>
      </w:pPr>
      <w:r>
        <w:t xml:space="preserve">China Disabled Persons' Federation. (2021). </w:t>
      </w:r>
      <w:r>
        <w:rPr>
          <w:rFonts w:ascii="Calibri" w:hAnsi="Calibri" w:eastAsia="Calibri" w:cs="Calibri"/>
          <w:i/>
        </w:rPr>
        <w:t>14th Five-Year Plan for the Protection and Development of Disabled People</w:t>
      </w:r>
      <w:r>
        <w:t xml:space="preserve">. </w:t>
      </w:r>
      <w:hyperlink r:id="rId29">
        <w:r>
          <w:rPr>
            <w:rFonts w:ascii="Calibri" w:hAnsi="Calibri" w:eastAsia="Calibri" w:cs="Calibri"/>
            <w:color w:val="2E74B5"/>
            <w:u w:val="single"/>
          </w:rPr>
          <w:t xml:space="preserve">https://www.cdpf.org.cn/zwgk/ghjh/af85c8a4edd744159b1a60f659a36d9b.htm</w:t>
        </w:r>
      </w:hyperlink>
    </w:p>
    <w:p>
      <w:pPr>
        <w:widowControl/>
      </w:pPr>
      <w:r>
        <w:t xml:space="preserve">Ministry of Education of the People's Republic of China. (2021). </w:t>
      </w:r>
      <w:r>
        <w:rPr>
          <w:rFonts w:ascii="Calibri" w:hAnsi="Calibri" w:eastAsia="Calibri" w:cs="Calibri"/>
          <w:i/>
        </w:rPr>
        <w:t>Overview of China's language and script situation</w:t>
      </w:r>
      <w:r>
        <w:t xml:space="preserve">. </w:t>
      </w:r>
      <w:hyperlink r:id="rId30">
        <w:r>
          <w:rPr>
            <w:rFonts w:ascii="Calibri" w:hAnsi="Calibri" w:eastAsia="Calibri" w:cs="Calibri"/>
            <w:color w:val="2E74B5"/>
            <w:u w:val="single"/>
          </w:rPr>
          <w:t xml:space="preserve">https://hudong.moe.gov.cn/jyb_sjzl/wenzi/202108/t20210827_554992.html</w:t>
        </w:r>
      </w:hyperlink>
    </w:p>
    <w:p>
      <w:pPr>
        <w:widowControl/>
      </w:pPr>
      <w:r>
        <w:t xml:space="preserve">Ministry of Education of the People's Republic of China. (2025). </w:t>
      </w:r>
      <w:r>
        <w:rPr>
          <w:rFonts w:ascii="Calibri" w:hAnsi="Calibri" w:eastAsia="Calibri" w:cs="Calibri"/>
          <w:i/>
        </w:rPr>
        <w:t>National Smart Education Public Service Platform inventory and users</w:t>
      </w:r>
      <w:r>
        <w:t xml:space="preserve">. </w:t>
      </w:r>
      <w:hyperlink r:id="rId31">
        <w:r>
          <w:rPr>
            <w:rFonts w:ascii="Calibri" w:hAnsi="Calibri" w:eastAsia="Calibri" w:cs="Calibri"/>
            <w:color w:val="2E74B5"/>
            <w:u w:val="single"/>
          </w:rPr>
          <w:t xml:space="preserve">https://www.moe.gov.cn/fbh/live/2025/77791/mtbd/202512/t20251231_1425330.html</w:t>
        </w:r>
      </w:hyperlink>
    </w:p>
    <w:p>
      <w:pPr>
        <w:widowControl/>
      </w:pPr>
      <w:r>
        <w:t xml:space="preserve">Ministry of Education of the People's Republic of China. (2026). </w:t>
      </w:r>
      <w:r>
        <w:rPr>
          <w:rFonts w:ascii="Calibri" w:hAnsi="Calibri" w:eastAsia="Calibri" w:cs="Calibri"/>
          <w:i/>
        </w:rPr>
        <w:t>2025 National Education Development Statistical Communique</w:t>
      </w:r>
      <w:r>
        <w:t xml:space="preserve">. </w:t>
      </w:r>
      <w:hyperlink r:id="rId32">
        <w:r>
          <w:rPr>
            <w:rFonts w:ascii="Calibri" w:hAnsi="Calibri" w:eastAsia="Calibri" w:cs="Calibri"/>
            <w:color w:val="2E74B5"/>
            <w:u w:val="single"/>
          </w:rPr>
          <w:t xml:space="preserve">https://www.moe.gov.cn/jyb_sjzl/sjzl_fztjgb/202607/t20260706_1442870.html</w:t>
        </w:r>
      </w:hyperlink>
    </w:p>
    <w:p>
      <w:pPr>
        <w:widowControl/>
      </w:pPr>
      <w:r>
        <w:t xml:space="preserve">National Bureau of Statistics of China. (2026a). </w:t>
      </w:r>
      <w:r>
        <w:rPr>
          <w:rFonts w:ascii="Calibri" w:hAnsi="Calibri" w:eastAsia="Calibri" w:cs="Calibri"/>
          <w:i/>
        </w:rPr>
        <w:t>Communique of the 2025 national 1 percent population sample survey</w:t>
      </w:r>
      <w:r>
        <w:t xml:space="preserve">. </w:t>
      </w:r>
      <w:hyperlink r:id="rId33">
        <w:r>
          <w:rPr>
            <w:rFonts w:ascii="Calibri" w:hAnsi="Calibri" w:eastAsia="Calibri" w:cs="Calibri"/>
            <w:color w:val="2E74B5"/>
            <w:u w:val="single"/>
          </w:rPr>
          <w:t xml:space="preserve">https://www.stats.gov.cn/english/PressRelease/202605/t20260522_1963789.html</w:t>
        </w:r>
      </w:hyperlink>
    </w:p>
    <w:p>
      <w:pPr>
        <w:widowControl/>
      </w:pPr>
      <w:r>
        <w:t xml:space="preserve">National Bureau of Statistics of China. (2026b). </w:t>
      </w:r>
      <w:r>
        <w:rPr>
          <w:rFonts w:ascii="Calibri" w:hAnsi="Calibri" w:eastAsia="Calibri" w:cs="Calibri"/>
          <w:i/>
        </w:rPr>
        <w:t>2025 National Migrant Worker Monitoring Survey Report</w:t>
      </w:r>
      <w:r>
        <w:t xml:space="preserve">. </w:t>
      </w:r>
      <w:hyperlink r:id="rId34">
        <w:r>
          <w:rPr>
            <w:rFonts w:ascii="Calibri" w:hAnsi="Calibri" w:eastAsia="Calibri" w:cs="Calibri"/>
            <w:color w:val="2E74B5"/>
            <w:u w:val="single"/>
          </w:rPr>
          <w:t xml:space="preserve">https://www.stats.gov.cn/sj/zxfb/202604/t20260430_1963472.html</w:t>
        </w:r>
      </w:hyperlink>
    </w:p>
    <w:p>
      <w:pPr>
        <w:widowControl/>
      </w:pPr>
      <w:r>
        <w:t xml:space="preserve">National Bureau of Statistics of China, UNICEF, &amp; UNFPA. (2023). </w:t>
      </w:r>
      <w:r>
        <w:rPr>
          <w:rFonts w:ascii="Calibri" w:hAnsi="Calibri" w:eastAsia="Calibri" w:cs="Calibri"/>
          <w:i/>
        </w:rPr>
        <w:t>What the 2020 Census Can Tell Us About Children in China</w:t>
      </w:r>
      <w:r>
        <w:t xml:space="preserve">. </w:t>
      </w:r>
      <w:hyperlink r:id="rId35">
        <w:r>
          <w:rPr>
            <w:rFonts w:ascii="Calibri" w:hAnsi="Calibri" w:eastAsia="Calibri" w:cs="Calibri"/>
            <w:color w:val="2E74B5"/>
            <w:u w:val="single"/>
          </w:rPr>
          <w:t xml:space="preserve">https://www.stats.gov.cn/zs/tjwh/tjkw/tjzl/202304/P020230419425666818737.pdf</w:t>
        </w:r>
      </w:hyperlink>
    </w:p>
    <w:p>
      <w:pPr>
        <w:widowControl/>
      </w:pPr>
      <w:r>
        <w:t xml:space="preserve">National Press and Publication Administration. (2026). </w:t>
      </w:r>
      <w:r>
        <w:rPr>
          <w:rFonts w:ascii="Calibri" w:hAnsi="Calibri" w:eastAsia="Calibri" w:cs="Calibri"/>
          <w:i/>
        </w:rPr>
        <w:t>Accessible reading resources for people with visual and hearing disabilities</w:t>
      </w:r>
      <w:r>
        <w:t xml:space="preserve">. </w:t>
      </w:r>
      <w:hyperlink r:id="rId36">
        <w:r>
          <w:rPr>
            <w:rFonts w:ascii="Calibri" w:hAnsi="Calibri" w:eastAsia="Calibri" w:cs="Calibri"/>
            <w:color w:val="2E74B5"/>
            <w:u w:val="single"/>
          </w:rPr>
          <w:t xml:space="preserve">https://www.nppa.gov.cn/xxfb/ywdt/202607/t20260709_998348.html</w:t>
        </w:r>
      </w:hyperlink>
    </w:p>
    <w:p>
      <w:pPr>
        <w:widowControl/>
      </w:pPr>
      <w:r>
        <w:t xml:space="preserve">Wang, et al. (2025). English academic writing needs of Chinese science and engineering academics. </w:t>
      </w:r>
      <w:r>
        <w:rPr>
          <w:rFonts w:ascii="Calibri" w:hAnsi="Calibri" w:eastAsia="Calibri" w:cs="Calibri"/>
          <w:i/>
        </w:rPr>
        <w:t>PLOS One</w:t>
      </w:r>
      <w:r>
        <w:t xml:space="preserve">. </w:t>
      </w:r>
      <w:hyperlink r:id="rId37">
        <w:r>
          <w:rPr>
            <w:rFonts w:ascii="Calibri" w:hAnsi="Calibri" w:eastAsia="Calibri" w:cs="Calibri"/>
            <w:color w:val="2E74B5"/>
            <w:u w:val="single"/>
          </w:rPr>
          <w:t xml:space="preserve">https://doi.org/10.1371/journal.pone.0324760</w:t>
        </w:r>
      </w:hyperlink>
    </w:p>
    <w:p>
      <w:pPr>
        <w:widowControl/>
      </w:pPr>
      <w:r>
        <w:t xml:space="preserve">Agence Nationale de la Statistique et de la Démographie du Sénégal. (2025). </w:t>
      </w:r>
      <w:r>
        <w:rPr>
          <w:rFonts w:ascii="Calibri" w:hAnsi="Calibri" w:eastAsia="Calibri" w:cs="Calibri"/>
          <w:i/>
        </w:rPr>
        <w:t>RGPH-5 2023, Thème II: Alphabétisation, scolarisation, niveau d’instruction et formation professionnelle</w:t>
      </w:r>
      <w:r>
        <w:t xml:space="preserve">. </w:t>
      </w:r>
      <w:hyperlink r:id="rId38">
        <w:r>
          <w:rPr>
            <w:rFonts w:ascii="Calibri" w:hAnsi="Calibri" w:eastAsia="Calibri" w:cs="Calibri"/>
            <w:color w:val="2E74B5"/>
            <w:u w:val="single"/>
          </w:rPr>
          <w:t xml:space="preserve">https://anads.ansd.sn/index.php/catalog/311/download/3095</w:t>
        </w:r>
      </w:hyperlink>
    </w:p>
    <w:p>
      <w:pPr>
        <w:widowControl/>
      </w:pPr>
      <w:r>
        <w:t xml:space="preserve">Federal Ministry of Information and National Orientation, Nigeria. (2025, November 13). </w:t>
      </w:r>
      <w:r>
        <w:rPr>
          <w:rFonts w:ascii="Calibri" w:hAnsi="Calibri" w:eastAsia="Calibri" w:cs="Calibri"/>
          <w:i/>
        </w:rPr>
        <w:t>FG reaffirms English as medium of instruction, launches inclusive language policy</w:t>
      </w:r>
      <w:r>
        <w:t xml:space="preserve">. </w:t>
      </w:r>
      <w:hyperlink r:id="rId39">
        <w:r>
          <w:rPr>
            <w:rFonts w:ascii="Calibri" w:hAnsi="Calibri" w:eastAsia="Calibri" w:cs="Calibri"/>
            <w:color w:val="2E74B5"/>
            <w:u w:val="single"/>
          </w:rPr>
          <w:t xml:space="preserve">https://fmino.gov.ng/fg-reaffirms-english-as-medium-of-instruction-launches-inclusive-language-policy-to-promote-national-unity-2/</w:t>
        </w:r>
      </w:hyperlink>
    </w:p>
    <w:p>
      <w:pPr>
        <w:widowControl/>
      </w:pPr>
      <w:r>
        <w:t xml:space="preserve">Ghana Statistical Service. (2021a). </w:t>
      </w:r>
      <w:r>
        <w:rPr>
          <w:rFonts w:ascii="Calibri" w:hAnsi="Calibri" w:eastAsia="Calibri" w:cs="Calibri"/>
          <w:i/>
        </w:rPr>
        <w:t>2021 Population and Housing Census General Report, Volume 3C: Background characteristics</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(2021b). </w:t>
      </w:r>
      <w:r>
        <w:rPr>
          <w:rFonts w:ascii="Calibri" w:hAnsi="Calibri" w:eastAsia="Calibri" w:cs="Calibri"/>
          <w:i/>
        </w:rPr>
        <w:t>2021 Population and Housing Census General Report, Volume 3D: Literacy and education</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(2021c). </w:t>
      </w:r>
      <w:r>
        <w:rPr>
          <w:rFonts w:ascii="Calibri" w:hAnsi="Calibri" w:eastAsia="Calibri" w:cs="Calibri"/>
          <w:i/>
        </w:rPr>
        <w:t>2021 PHC-1B questionnaire</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Institut National de la Statistique du Mali. (2025). </w:t>
      </w:r>
      <w:r>
        <w:rPr>
          <w:rFonts w:ascii="Calibri" w:hAnsi="Calibri" w:eastAsia="Calibri" w:cs="Calibri"/>
          <w:i/>
        </w:rPr>
        <w:t>RGPH5 2022: Scolarisation, instruction et alphabétisation</w:t>
      </w:r>
      <w:r>
        <w:t xml:space="preserve">. </w:t>
      </w:r>
      <w:hyperlink r:id="rId41">
        <w:r>
          <w:rPr>
            <w:rFonts w:ascii="Calibri" w:hAnsi="Calibri" w:eastAsia="Calibri" w:cs="Calibri"/>
            <w:color w:val="2E74B5"/>
            <w:u w:val="single"/>
          </w:rPr>
          <w:t xml:space="preserve">https://www.instat-mali.org/laravel-filemanager/files/shares/rgph/rapport-scolarisation-instruction-alphabetisation-rgph5_rgph.pdf</w:t>
        </w:r>
      </w:hyperlink>
    </w:p>
    <w:p>
      <w:pPr>
        <w:widowControl/>
      </w:pPr>
      <w:r>
        <w:t xml:space="preserve">National Bureau of Statistics of Nigeria, &amp; UNICEF. (2022). </w:t>
      </w:r>
      <w:r>
        <w:rPr>
          <w:rFonts w:ascii="Calibri" w:hAnsi="Calibri" w:eastAsia="Calibri" w:cs="Calibri"/>
          <w:i/>
        </w:rPr>
        <w:t>2021 Nigeria Multiple Indicator Cluster Survey and National Immunization Coverage Survey: Statistical snapshots report</w:t>
      </w:r>
      <w:r>
        <w:t xml:space="preserve">. </w:t>
      </w:r>
      <w:hyperlink r:id="rId42">
        <w:r>
          <w:rPr>
            <w:rFonts w:ascii="Calibri" w:hAnsi="Calibri" w:eastAsia="Calibri" w:cs="Calibri"/>
            <w:color w:val="2E74B5"/>
            <w:u w:val="single"/>
          </w:rPr>
          <w:t xml:space="preserve">https://www.nigerianstat.gov.ng/pdfuploads/2021%20MICS%20Statistical%20Snapshots%20Report.pdf</w:t>
        </w:r>
      </w:hyperlink>
    </w:p>
    <w:p>
      <w:pPr>
        <w:widowControl/>
      </w:pPr>
      <w:r>
        <w:t xml:space="preserve">Evans, L. P., &amp; Warren-Rothlin, A. (2018). </w:t>
      </w:r>
      <w:r>
        <w:rPr>
          <w:rFonts w:ascii="Calibri" w:hAnsi="Calibri" w:eastAsia="Calibri" w:cs="Calibri"/>
          <w:i/>
        </w:rPr>
        <w:t>Proposal to encode additional Arabic script characters for Hausa to the UCS</w:t>
      </w:r>
      <w:r>
        <w:t xml:space="preserve"> (Unicode L2/18-094). Unicode Consortium. </w:t>
      </w:r>
      <w:hyperlink r:id="rId43">
        <w:r>
          <w:rPr>
            <w:rFonts w:ascii="Calibri" w:hAnsi="Calibri" w:eastAsia="Calibri" w:cs="Calibri"/>
            <w:color w:val="2E74B5"/>
            <w:u w:val="single"/>
          </w:rPr>
          <w:t xml:space="preserve">https://www.unicode.org/L2/L2018/18094-arabic-hausa.pdf</w:t>
        </w:r>
      </w:hyperlink>
    </w:p>
    <w:p>
      <w:pPr>
        <w:widowControl/>
      </w:pPr>
      <w:r>
        <w:t xml:space="preserve">IFRA-Nigeria. (n.d.). </w:t>
      </w:r>
      <w:r>
        <w:rPr>
          <w:rFonts w:ascii="Calibri" w:hAnsi="Calibri" w:eastAsia="Calibri" w:cs="Calibri"/>
          <w:i/>
        </w:rPr>
        <w:t>Guide to standard Naijá orthography: An NLA harmonized writing system for common Naijá publications</w:t>
      </w:r>
      <w:r>
        <w:t xml:space="preserve">. Retrieved September 5, 2026, from </w:t>
      </w:r>
      <w:hyperlink r:id="rId44">
        <w:r>
          <w:rPr>
            <w:rFonts w:ascii="Calibri" w:hAnsi="Calibri" w:eastAsia="Calibri" w:cs="Calibri"/>
            <w:color w:val="2E74B5"/>
            <w:u w:val="single"/>
          </w:rPr>
          <w:t xml:space="preserve">https://ifra-nigeria.org/research/former-projects/89-guide-to-standard-naija-orthography-an-nla-harmonized-writing-system-for-common-naija-publications</w:t>
        </w:r>
      </w:hyperlink>
    </w:p>
    <w:p>
      <w:pPr>
        <w:widowControl/>
      </w:pPr>
      <w:r>
        <w:t xml:space="preserve">National Board for Technical Education. (n.d.). </w:t>
      </w:r>
      <w:r>
        <w:rPr>
          <w:rFonts w:ascii="Calibri" w:hAnsi="Calibri" w:eastAsia="Calibri" w:cs="Calibri"/>
          <w:i/>
        </w:rPr>
        <w:t>Digest of statistics of TVET institutions in Nigeria</w:t>
      </w:r>
      <w:r>
        <w:t xml:space="preserve">. Retrieved September 5, 2026, from </w:t>
      </w:r>
      <w:hyperlink r:id="rId45">
        <w:r>
          <w:rPr>
            <w:rFonts w:ascii="Calibri" w:hAnsi="Calibri" w:eastAsia="Calibri" w:cs="Calibri"/>
            <w:color w:val="2E74B5"/>
            <w:u w:val="single"/>
          </w:rPr>
          <w:t xml:space="preserve">https://www.nbte.gov.ng/nbte/digest%20of%20statistics</w:t>
        </w:r>
      </w:hyperlink>
    </w:p>
    <w:p>
      <w:pPr>
        <w:widowControl/>
      </w:pPr>
      <w:r>
        <w:t xml:space="preserve">Nigerian Educational Research and Development Council. (n.d.-a). </w:t>
      </w:r>
      <w:r>
        <w:rPr>
          <w:rFonts w:ascii="Calibri" w:hAnsi="Calibri" w:eastAsia="Calibri" w:cs="Calibri"/>
          <w:i/>
        </w:rPr>
        <w:t>Language Development Centre: Achievements recorded</w:t>
      </w:r>
      <w:r>
        <w:t xml:space="preserve">. Retrieved September 5, 2026, from </w:t>
      </w:r>
      <w:hyperlink r:id="rId46">
        <w:r>
          <w:rPr>
            <w:rFonts w:ascii="Calibri" w:hAnsi="Calibri" w:eastAsia="Calibri" w:cs="Calibri"/>
            <w:color w:val="2E74B5"/>
            <w:u w:val="single"/>
          </w:rPr>
          <w:t xml:space="preserve">https://www.nerdc.gov.ng/content_manager/ldc_achievements.html</w:t>
        </w:r>
      </w:hyperlink>
    </w:p>
    <w:p>
      <w:pPr>
        <w:widowControl/>
      </w:pPr>
      <w:r>
        <w:t xml:space="preserve">Nigerian Educational Research and Development Council. (n.d.-b). </w:t>
      </w:r>
      <w:r>
        <w:rPr>
          <w:rFonts w:ascii="Calibri" w:hAnsi="Calibri" w:eastAsia="Calibri" w:cs="Calibri"/>
          <w:i/>
        </w:rPr>
        <w:t>Curriculum Development Services: Scope of service and achievements</w:t>
      </w:r>
      <w:r>
        <w:t xml:space="preserve">. Retrieved September 5, 2026, from </w:t>
      </w:r>
      <w:hyperlink r:id="rId47">
        <w:r>
          <w:rPr>
            <w:rFonts w:ascii="Calibri" w:hAnsi="Calibri" w:eastAsia="Calibri" w:cs="Calibri"/>
            <w:color w:val="2E74B5"/>
            <w:u w:val="single"/>
          </w:rPr>
          <w:t xml:space="preserve">https://www.nerdc.gov.ng/content_manager/cd.html</w:t>
        </w:r>
      </w:hyperlink>
    </w:p>
    <w:p>
      <w:pPr>
        <w:widowControl/>
      </w:pPr>
      <w:r>
        <w:t xml:space="preserve">Tertiary Education Trust Fund. (n.d.). </w:t>
      </w:r>
      <w:r>
        <w:rPr>
          <w:rFonts w:ascii="Calibri" w:hAnsi="Calibri" w:eastAsia="Calibri" w:cs="Calibri"/>
          <w:i/>
        </w:rPr>
        <w:t>TERAS services</w:t>
      </w:r>
      <w:r>
        <w:t xml:space="preserve">. Retrieved September 5, 2026, from </w:t>
      </w:r>
      <w:hyperlink r:id="rId48">
        <w:r>
          <w:rPr>
            <w:rFonts w:ascii="Calibri" w:hAnsi="Calibri" w:eastAsia="Calibri" w:cs="Calibri"/>
            <w:color w:val="2E74B5"/>
            <w:u w:val="single"/>
          </w:rPr>
          <w:t xml:space="preserve">https://teras.tetfund.gov.ng/services</w:t>
        </w:r>
      </w:hyperlink>
    </w:p>
    <w:p>
      <w:pPr>
        <w:widowControl/>
      </w:pPr>
      <w:r>
        <w:t xml:space="preserve">UNICEF Nigeria. (2023). </w:t>
      </w:r>
      <w:r>
        <w:rPr>
          <w:rFonts w:ascii="Calibri" w:hAnsi="Calibri" w:eastAsia="Calibri" w:cs="Calibri"/>
          <w:i/>
        </w:rPr>
        <w:t>Nigeria education fact sheets: Analyses for learning and equity using MICS data</w:t>
      </w:r>
      <w:r>
        <w:t xml:space="preserve">. </w:t>
      </w:r>
      <w:hyperlink r:id="rId49">
        <w:r>
          <w:rPr>
            <w:rFonts w:ascii="Calibri" w:hAnsi="Calibri" w:eastAsia="Calibri" w:cs="Calibri"/>
            <w:color w:val="2E74B5"/>
            <w:u w:val="single"/>
          </w:rPr>
          <w:t xml:space="preserve">https://www.unicef.org/nigeria/media/9211/file/Nigeria%20Education%20Fact%20Sheets.pdf</w:t>
        </w:r>
      </w:hyperlink>
    </w:p>
    <w:p>
      <w:pPr>
        <w:widowControl/>
      </w:pPr>
      <w:r>
        <w:t xml:space="preserve">Universal Basic Education Commission, &amp; UNICEF. (2025). </w:t>
      </w:r>
      <w:r>
        <w:rPr>
          <w:rFonts w:ascii="Calibri" w:hAnsi="Calibri" w:eastAsia="Calibri" w:cs="Calibri"/>
          <w:i/>
        </w:rPr>
        <w:t>National Assessment of Learning Achievement in Basic Education: NALABE 2022 report</w:t>
      </w:r>
      <w:r>
        <w:t xml:space="preserve">. </w:t>
      </w:r>
      <w:hyperlink r:id="rId50">
        <w:r>
          <w:rPr>
            <w:rFonts w:ascii="Calibri" w:hAnsi="Calibri" w:eastAsia="Calibri" w:cs="Calibri"/>
            <w:color w:val="2E74B5"/>
            <w:u w:val="single"/>
          </w:rPr>
          <w:t xml:space="preserve">https://www.unicef.org/nigeria/reports/national-assessment-learning-achievement-basic-education</w:t>
        </w:r>
      </w:hyperlink>
    </w:p>
    <w:p>
      <w:pPr>
        <w:widowControl/>
      </w:pPr>
      <w:r>
        <w:t xml:space="preserve">World Bank. (2026a). </w:t>
      </w:r>
      <w:r>
        <w:rPr>
          <w:rFonts w:ascii="Calibri" w:hAnsi="Calibri" w:eastAsia="Calibri" w:cs="Calibri"/>
          <w:i/>
        </w:rPr>
        <w:t>World Development Indicators: Nigeria</w:t>
      </w:r>
      <w:r>
        <w:t xml:space="preserve"> [Data set]. Retrieved September 5, 2026, from </w:t>
      </w:r>
      <w:hyperlink r:id="rId51">
        <w:r>
          <w:rPr>
            <w:rFonts w:ascii="Calibri" w:hAnsi="Calibri" w:eastAsia="Calibri" w:cs="Calibri"/>
            <w:color w:val="2E74B5"/>
            <w:u w:val="single"/>
          </w:rPr>
          <w:t xml:space="preserve">https://data.worldbank.org/country/nigeria</w:t>
        </w:r>
      </w:hyperlink>
    </w:p>
    <w:p>
      <w:pPr>
        <w:widowControl/>
      </w:pPr>
      <w:r>
        <w:t xml:space="preserve">World Bank. (2021). </w:t>
      </w:r>
      <w:r>
        <w:rPr>
          <w:rFonts w:ascii="Calibri" w:hAnsi="Calibri" w:eastAsia="Calibri" w:cs="Calibri"/>
          <w:i/>
        </w:rPr>
        <w:t>Loud and clear: Effective language of instruction policies for learning</w:t>
      </w:r>
      <w:r>
        <w:t xml:space="preserve">. </w:t>
      </w:r>
      <w:hyperlink r:id="rId52">
        <w:r>
          <w:rPr>
            <w:rFonts w:ascii="Calibri" w:hAnsi="Calibri" w:eastAsia="Calibri" w:cs="Calibri"/>
            <w:color w:val="2E74B5"/>
            <w:u w:val="single"/>
          </w:rPr>
          <w:t xml:space="preserve">https://www.worldbank.org/en/topic/education/publication/loud-and-clear-effective-language-of-instruction-policies-for-learning</w:t>
        </w:r>
      </w:hyperlink>
    </w:p>
    <w:p>
      <w:pPr>
        <w:widowControl/>
      </w:pPr>
      <w:r>
        <w:t xml:space="preserve">UNESCO. (2011). </w:t>
      </w:r>
      <w:r>
        <w:rPr>
          <w:rFonts w:ascii="Calibri" w:hAnsi="Calibri" w:eastAsia="Calibri" w:cs="Calibri"/>
          <w:i/>
        </w:rPr>
        <w:t>Enhancing learning of children from diverse language backgrounds: Mother tongue-based bilingual or multilingual education in the early years</w:t>
      </w:r>
      <w:r>
        <w:t xml:space="preserve">. </w:t>
      </w:r>
      <w:hyperlink r:id="rId53">
        <w:r>
          <w:rPr>
            <w:rFonts w:ascii="Calibri" w:hAnsi="Calibri" w:eastAsia="Calibri" w:cs="Calibri"/>
            <w:color w:val="2E74B5"/>
            <w:u w:val="single"/>
          </w:rPr>
          <w:t xml:space="preserve">https://unesdoc.unesco.org/in/documentViewer.xhtml?ark=%2Fark%3A%2F48223%2Fpf0000212270%2FPDF%2F212270eng.pdf</w:t>
        </w:r>
      </w:hyperlink>
    </w:p>
    <w:p>
      <w:pPr>
        <w:widowControl/>
      </w:pPr>
      <w:r>
        <w:t xml:space="preserve">World Bank. (2026b). </w:t>
      </w:r>
      <w:r>
        <w:rPr>
          <w:rFonts w:ascii="Calibri" w:hAnsi="Calibri" w:eastAsia="Calibri" w:cs="Calibri"/>
          <w:i/>
        </w:rPr>
        <w:t>World Development Indicators: Pakistan</w:t>
      </w:r>
      <w:r>
        <w:t xml:space="preserve"> [Data set]. Retrieved September 5, 2026, from </w:t>
      </w:r>
      <w:hyperlink r:id="rId54">
        <w:r>
          <w:rPr>
            <w:rFonts w:ascii="Calibri" w:hAnsi="Calibri" w:eastAsia="Calibri" w:cs="Calibri"/>
            <w:color w:val="2E74B5"/>
            <w:u w:val="single"/>
          </w:rPr>
          <w:t xml:space="preserve">https://data.worldbank.org/country/pakistan</w:t>
        </w:r>
      </w:hyperlink>
    </w:p>
    <w:p>
      <w:pPr>
        <w:widowControl/>
      </w:pPr>
      <w:r>
        <w:t xml:space="preserve">World Bank. (2026c). </w:t>
      </w:r>
      <w:r>
        <w:rPr>
          <w:rFonts w:ascii="Calibri" w:hAnsi="Calibri" w:eastAsia="Calibri" w:cs="Calibri"/>
          <w:i/>
        </w:rPr>
        <w:t>World Development Indicators: Ukraine</w:t>
      </w:r>
      <w:r>
        <w:t xml:space="preserve"> [Data set]. Retrieved September 5, 2026, from </w:t>
      </w:r>
      <w:hyperlink r:id="rId55">
        <w:r>
          <w:rPr>
            <w:rFonts w:ascii="Calibri" w:hAnsi="Calibri" w:eastAsia="Calibri" w:cs="Calibri"/>
            <w:color w:val="2E74B5"/>
            <w:u w:val="single"/>
          </w:rPr>
          <w:t xml:space="preserve">https://data.worldbank.org/country/ukraine</w:t>
        </w:r>
      </w:hyperlink>
    </w:p>
    <w:p>
      <w:pPr>
        <w:widowControl/>
      </w:pPr>
      <w:r>
        <w:t xml:space="preserve">World Bank. (2026d). </w:t>
      </w:r>
      <w:r>
        <w:rPr>
          <w:rFonts w:ascii="Calibri" w:hAnsi="Calibri" w:eastAsia="Calibri" w:cs="Calibri"/>
          <w:i/>
        </w:rPr>
        <w:t>World Development Indicators: Russian Federation</w:t>
      </w:r>
      <w:r>
        <w:t xml:space="preserve"> [Data set]. Retrieved September 5, 2026, from </w:t>
      </w:r>
      <w:hyperlink r:id="rId56">
        <w:r>
          <w:rPr>
            <w:rFonts w:ascii="Calibri" w:hAnsi="Calibri" w:eastAsia="Calibri" w:cs="Calibri"/>
            <w:color w:val="2E74B5"/>
            <w:u w:val="single"/>
          </w:rPr>
          <w:t xml:space="preserve">https://data.worldbank.org/country/russian-federation</w:t>
        </w:r>
      </w:hyperlink>
    </w:p>
    <w:p>
      <w:pPr>
        <w:widowControl/>
      </w:pPr>
      <w:r>
        <w:t xml:space="preserve">OpenStax. (2026a). </w:t>
      </w:r>
      <w:r>
        <w:rPr>
          <w:rFonts w:ascii="Calibri" w:hAnsi="Calibri" w:eastAsia="Calibri" w:cs="Calibri"/>
          <w:i/>
        </w:rPr>
        <w:t>Prealgebra 2e source collection</w:t>
      </w:r>
      <w:r>
        <w:t xml:space="preserve"> (Git commit </w:t>
      </w:r>
      <w:r>
        <w:rPr>
          <w:rFonts w:ascii="Consolas" w:hAnsi="Consolas" w:eastAsia="Consolas" w:cs="Consolas"/>
          <w:color w:val="31465A"/>
          <w:sz w:val="21"/>
        </w:rPr>
        <w:t>38cae454e644abf9f0a623e876994553881597c9</w:t>
      </w:r>
      <w:r>
        <w:t xml:space="preserve">) [CNXML source]. GitHub. </w:t>
      </w:r>
      <w:hyperlink r:id="rId57">
        <w:r>
          <w:rPr>
            <w:rFonts w:ascii="Calibri" w:hAnsi="Calibri" w:eastAsia="Calibri" w:cs="Calibri"/>
            <w:color w:val="2E74B5"/>
            <w:u w:val="single"/>
          </w:rPr>
          <w:t xml:space="preserve">https://github.com/openstax/osbooks-prealgebra-bundle/tree/38cae454e644abf9f0a623e876994553881597c9</w:t>
        </w:r>
      </w:hyperlink>
    </w:p>
    <w:p>
      <w:pPr>
        <w:widowControl/>
      </w:pPr>
      <w:r>
        <w:t xml:space="preserve">OpenStax. (2026b). </w:t>
      </w:r>
      <w:r>
        <w:rPr>
          <w:rFonts w:ascii="Calibri" w:hAnsi="Calibri" w:eastAsia="Calibri" w:cs="Calibri"/>
          <w:i/>
        </w:rPr>
        <w:t>Introductory Statistics 2e source collection</w:t>
      </w:r>
      <w:r>
        <w:t xml:space="preserve"> (Git commit </w:t>
      </w:r>
      <w:r>
        <w:rPr>
          <w:rFonts w:ascii="Consolas" w:hAnsi="Consolas" w:eastAsia="Consolas" w:cs="Consolas"/>
          <w:color w:val="31465A"/>
          <w:sz w:val="21"/>
        </w:rPr>
        <w:t>1f6a35825395bb4aa2834cf1eca37512655f920c</w:t>
      </w:r>
      <w:r>
        <w:t xml:space="preserve">) [CNXML source]. GitHub. </w:t>
      </w:r>
      <w:hyperlink r:id="rId58">
        <w:r>
          <w:rPr>
            <w:rFonts w:ascii="Calibri" w:hAnsi="Calibri" w:eastAsia="Calibri" w:cs="Calibri"/>
            <w:color w:val="2E74B5"/>
            <w:u w:val="single"/>
          </w:rPr>
          <w:t xml:space="preserve">https://github.com/openstax/osbooks-introductory-statistics-bundle/tree/1f6a35825395bb4aa2834cf1eca37512655f920c</w:t>
        </w:r>
      </w:hyperlink>
    </w:p>
    <w:p>
      <w:pPr>
        <w:widowControl/>
      </w:pPr>
      <w:r>
        <w:t xml:space="preserve">OpenStax. (2026c). </w:t>
      </w:r>
      <w:r>
        <w:rPr>
          <w:rFonts w:ascii="Calibri" w:hAnsi="Calibri" w:eastAsia="Calibri" w:cs="Calibri"/>
          <w:i/>
        </w:rPr>
        <w:t>Biology 2e source collection</w:t>
      </w:r>
      <w:r>
        <w:t xml:space="preserve"> (Git commit </w:t>
      </w:r>
      <w:r>
        <w:rPr>
          <w:rFonts w:ascii="Consolas" w:hAnsi="Consolas" w:eastAsia="Consolas" w:cs="Consolas"/>
          <w:color w:val="31465A"/>
          <w:sz w:val="21"/>
        </w:rPr>
        <w:t>63f8b6f8d129dd1582989bb755011e9a6d523471</w:t>
      </w:r>
      <w:r>
        <w:t xml:space="preserve">) [CNXML source]. GitHub. </w:t>
      </w:r>
      <w:hyperlink r:id="rId59">
        <w:r>
          <w:rPr>
            <w:rFonts w:ascii="Calibri" w:hAnsi="Calibri" w:eastAsia="Calibri" w:cs="Calibri"/>
            <w:color w:val="2E74B5"/>
            <w:u w:val="single"/>
          </w:rPr>
          <w:t xml:space="preserve">https://github.com/openstax/osbooks-biology-bundle/tree/63f8b6f8d129dd1582989bb755011e9a6d523471</w:t>
        </w:r>
      </w:hyperlink>
    </w:p>
    <w:p>
      <w:pPr>
        <w:widowControl/>
      </w:pPr>
      <w:r>
        <w:t xml:space="preserve">OpenStax. (2026d). </w:t>
      </w:r>
      <w:r>
        <w:rPr>
          <w:rFonts w:ascii="Calibri" w:hAnsi="Calibri" w:eastAsia="Calibri" w:cs="Calibri"/>
          <w:i/>
        </w:rPr>
        <w:t>Chemistry 2e source collection</w:t>
      </w:r>
      <w:r>
        <w:t xml:space="preserve"> (Git commit </w:t>
      </w:r>
      <w:r>
        <w:rPr>
          <w:rFonts w:ascii="Consolas" w:hAnsi="Consolas" w:eastAsia="Consolas" w:cs="Consolas"/>
          <w:color w:val="31465A"/>
          <w:sz w:val="21"/>
        </w:rPr>
        <w:t>3be4b60ff501f29a445f0cacf003e5f5cc16244d</w:t>
      </w:r>
      <w:r>
        <w:t xml:space="preserve">) [CNXML source]. GitHub. </w:t>
      </w:r>
      <w:hyperlink r:id="rId60">
        <w:r>
          <w:rPr>
            <w:rFonts w:ascii="Calibri" w:hAnsi="Calibri" w:eastAsia="Calibri" w:cs="Calibri"/>
            <w:color w:val="2E74B5"/>
            <w:u w:val="single"/>
          </w:rPr>
          <w:t xml:space="preserve">https://github.com/openstax/osbooks-chemistry-bundle/tree/3be4b60ff501f29a445f0cacf003e5f5cc16244d</w:t>
        </w:r>
      </w:hyperlink>
    </w:p>
    <w:p>
      <w:pPr>
        <w:widowControl/>
      </w:pPr>
      <w:r>
        <w:t xml:space="preserve">OpenStax. (2026e). </w:t>
      </w:r>
      <w:r>
        <w:rPr>
          <w:rFonts w:ascii="Calibri" w:hAnsi="Calibri" w:eastAsia="Calibri" w:cs="Calibri"/>
          <w:i/>
        </w:rPr>
        <w:t>College Physics 2e source collection</w:t>
      </w:r>
      <w:r>
        <w:t xml:space="preserve"> (Git commit </w:t>
      </w:r>
      <w:r>
        <w:rPr>
          <w:rFonts w:ascii="Consolas" w:hAnsi="Consolas" w:eastAsia="Consolas" w:cs="Consolas"/>
          <w:color w:val="31465A"/>
          <w:sz w:val="21"/>
        </w:rPr>
        <w:t>fd1b25dfd5d8c6580c6e2b2b34a19e29cc69ada9</w:t>
      </w:r>
      <w:r>
        <w:t xml:space="preserve">) [CNXML source]. GitHub. </w:t>
      </w:r>
      <w:hyperlink r:id="rId61">
        <w:r>
          <w:rPr>
            <w:rFonts w:ascii="Calibri" w:hAnsi="Calibri" w:eastAsia="Calibri" w:cs="Calibri"/>
            <w:color w:val="2E74B5"/>
            <w:u w:val="single"/>
          </w:rPr>
          <w:t xml:space="preserve">https://github.com/openstax/osbooks-college-physics-bundle/tree/fd1b25dfd5d8c6580c6e2b2b34a19e29cc69ada9</w:t>
        </w:r>
      </w:hyperlink>
    </w:p>
    <w:p>
      <w:pPr>
        <w:widowControl/>
      </w:pPr>
      <w:r>
        <w:t xml:space="preserve">OpenStax. (2026f). </w:t>
      </w:r>
      <w:r>
        <w:rPr>
          <w:rFonts w:ascii="Calibri" w:hAnsi="Calibri" w:eastAsia="Calibri" w:cs="Calibri"/>
          <w:i/>
        </w:rPr>
        <w:t>Principles of Management source collection</w:t>
      </w:r>
      <w:r>
        <w:t xml:space="preserve"> (Git commit </w:t>
      </w:r>
      <w:r>
        <w:rPr>
          <w:rFonts w:ascii="Consolas" w:hAnsi="Consolas" w:eastAsia="Consolas" w:cs="Consolas"/>
          <w:color w:val="31465A"/>
          <w:sz w:val="21"/>
        </w:rPr>
        <w:t>f2b749648a176dbe114dbc4e35ec20c030be4713</w:t>
      </w:r>
      <w:r>
        <w:t xml:space="preserve">) [CNXML source]. GitHub. </w:t>
      </w:r>
      <w:hyperlink r:id="rId62">
        <w:r>
          <w:rPr>
            <w:rFonts w:ascii="Calibri" w:hAnsi="Calibri" w:eastAsia="Calibri" w:cs="Calibri"/>
            <w:color w:val="2E74B5"/>
            <w:u w:val="single"/>
          </w:rPr>
          <w:t xml:space="preserve">https://github.com/openstax/osbooks-principles-of-management-bundle/tree/f2b749648a176dbe114dbc4e35ec20c030be4713</w:t>
        </w:r>
      </w:hyperlink>
    </w:p>
    <w:p>
      <w:pPr>
        <w:widowControl/>
      </w:pPr>
      <w:r>
        <w:t xml:space="preserve">OpenStax. (2026g). </w:t>
      </w:r>
      <w:r>
        <w:rPr>
          <w:rFonts w:ascii="Calibri" w:hAnsi="Calibri" w:eastAsia="Calibri" w:cs="Calibri"/>
          <w:i/>
        </w:rPr>
        <w:t>Principles of Finance 2e source collection</w:t>
      </w:r>
      <w:r>
        <w:t xml:space="preserve"> (Git commit </w:t>
      </w:r>
      <w:r>
        <w:rPr>
          <w:rFonts w:ascii="Consolas" w:hAnsi="Consolas" w:eastAsia="Consolas" w:cs="Consolas"/>
          <w:color w:val="31465A"/>
          <w:sz w:val="21"/>
        </w:rPr>
        <w:t>e3e5135ae36e21282d7afb4cccd5ce09f421d830</w:t>
      </w:r>
      <w:r>
        <w:t xml:space="preserve">) [CNXML source]. GitHub. </w:t>
      </w:r>
      <w:hyperlink r:id="rId63">
        <w:r>
          <w:rPr>
            <w:rFonts w:ascii="Calibri" w:hAnsi="Calibri" w:eastAsia="Calibri" w:cs="Calibri"/>
            <w:color w:val="2E74B5"/>
            <w:u w:val="single"/>
          </w:rPr>
          <w:t xml:space="preserve">https://github.com/openstax/osbooks-principles-finance/tree/e3e5135ae36e21282d7afb4cccd5ce09f421d830</w:t>
        </w:r>
      </w:hyperlink>
    </w:p>
    <w:p>
      <w:pPr>
        <w:widowControl/>
      </w:pPr>
      <w:r>
        <w:t xml:space="preserve">OpenStax. (2026h). </w:t>
      </w:r>
      <w:r>
        <w:rPr>
          <w:rFonts w:ascii="Calibri" w:hAnsi="Calibri" w:eastAsia="Calibri" w:cs="Calibri"/>
          <w:i/>
        </w:rPr>
        <w:t>Anatomy and Physiology 2e source collection</w:t>
      </w:r>
      <w:r>
        <w:t xml:space="preserve"> (Git commit </w:t>
      </w:r>
      <w:r>
        <w:rPr>
          <w:rFonts w:ascii="Consolas" w:hAnsi="Consolas" w:eastAsia="Consolas" w:cs="Consolas"/>
          <w:color w:val="31465A"/>
          <w:sz w:val="21"/>
        </w:rPr>
        <w:t>716383a4c6c16037b14d75a156c65145e75e895e</w:t>
      </w:r>
      <w:r>
        <w:t xml:space="preserve">) [CNXML source]. GitHub. </w:t>
      </w:r>
      <w:hyperlink r:id="rId64">
        <w:r>
          <w:rPr>
            <w:rFonts w:ascii="Calibri" w:hAnsi="Calibri" w:eastAsia="Calibri" w:cs="Calibri"/>
            <w:color w:val="2E74B5"/>
            <w:u w:val="single"/>
          </w:rPr>
          <w:t xml:space="preserve">https://github.com/openstax/osbooks-anatomy-physiology/tree/716383a4c6c16037b14d75a156c65145e75e895e</w:t>
        </w:r>
      </w:hyperlink>
    </w:p>
    <w:p>
      <w:pPr>
        <w:widowControl/>
      </w:pPr>
      <w:r>
        <w:t xml:space="preserve">OpenStax. (2026i). </w:t>
      </w:r>
      <w:r>
        <w:rPr>
          <w:rFonts w:ascii="Calibri" w:hAnsi="Calibri" w:eastAsia="Calibri" w:cs="Calibri"/>
          <w:i/>
        </w:rPr>
        <w:t>Introduction to Python Programming source collection</w:t>
      </w:r>
      <w:r>
        <w:t xml:space="preserve"> (Git commit </w:t>
      </w:r>
      <w:r>
        <w:rPr>
          <w:rFonts w:ascii="Consolas" w:hAnsi="Consolas" w:eastAsia="Consolas" w:cs="Consolas"/>
          <w:color w:val="31465A"/>
          <w:sz w:val="21"/>
        </w:rPr>
        <w:t>d215dd3b99c33db855c49315152ebd5fbadc8534</w:t>
      </w:r>
      <w:r>
        <w:t xml:space="preserve">) [CNXML source]. GitHub. </w:t>
      </w:r>
      <w:hyperlink r:id="rId65">
        <w:r>
          <w:rPr>
            <w:rFonts w:ascii="Calibri" w:hAnsi="Calibri" w:eastAsia="Calibri" w:cs="Calibri"/>
            <w:color w:val="2E74B5"/>
            <w:u w:val="single"/>
          </w:rPr>
          <w:t xml:space="preserve">https://github.com/openstax/osbooks-introduction-python-programming/tree/d215dd3b99c33db855c49315152ebd5fbadc8534</w:t>
        </w:r>
      </w:hyperlink>
    </w:p>
    <w:p>
      <w:pPr>
        <w:widowControl/>
      </w:pPr>
      <w:r>
        <w:t xml:space="preserve">Houston Independent School District. (2022). </w:t>
      </w:r>
      <w:r>
        <w:rPr>
          <w:rFonts w:ascii="Calibri" w:hAnsi="Calibri" w:eastAsia="Calibri" w:cs="Calibri"/>
          <w:i/>
        </w:rPr>
        <w:t>Immigrant student program evaluation report 2021-2022</w:t>
      </w:r>
      <w:r>
        <w:t xml:space="preserve">. </w:t>
      </w:r>
      <w:hyperlink r:id="rId66">
        <w:r>
          <w:rPr>
            <w:rFonts w:ascii="Calibri" w:hAnsi="Calibri" w:eastAsia="Calibri" w:cs="Calibri"/>
            <w:color w:val="2E74B5"/>
            <w:u w:val="single"/>
          </w:rPr>
          <w:t xml:space="preserve">https://www.houstonisd.org/fs/resource-manager/view/a76fe050-7086-4b96-9bdc-540738502595</w:t>
        </w:r>
      </w:hyperlink>
    </w:p>
    <w:p>
      <w:pPr>
        <w:widowControl/>
      </w:pPr>
      <w:r>
        <w:t xml:space="preserve">Houston Independent School District. (n.d.-a). </w:t>
      </w:r>
      <w:r>
        <w:rPr>
          <w:rFonts w:ascii="Calibri" w:hAnsi="Calibri" w:eastAsia="Calibri" w:cs="Calibri"/>
          <w:i/>
        </w:rPr>
        <w:t>Multilingual program models</w:t>
      </w:r>
      <w:r>
        <w:t xml:space="preserve">. Retrieved September 5, 2026, from </w:t>
      </w:r>
      <w:hyperlink r:id="rId67">
        <w:r>
          <w:rPr>
            <w:rFonts w:ascii="Calibri" w:hAnsi="Calibri" w:eastAsia="Calibri" w:cs="Calibri"/>
            <w:color w:val="2E74B5"/>
            <w:u w:val="single"/>
          </w:rPr>
          <w:t xml:space="preserve">https://www.houstonisd.org/schools-academics/academics/multilingual/multilingual-program-models</w:t>
        </w:r>
      </w:hyperlink>
    </w:p>
    <w:p>
      <w:pPr>
        <w:widowControl/>
      </w:pPr>
      <w:r>
        <w:t xml:space="preserve">Houston Independent School District. (n.d.-b). </w:t>
      </w:r>
      <w:r>
        <w:rPr>
          <w:rFonts w:ascii="Calibri" w:hAnsi="Calibri" w:eastAsia="Calibri" w:cs="Calibri"/>
          <w:i/>
        </w:rPr>
        <w:t>Testing &amp; identification</w:t>
      </w:r>
      <w:r>
        <w:t xml:space="preserve">. Retrieved September 5, 2026, from </w:t>
      </w:r>
      <w:hyperlink r:id="rId68">
        <w:r>
          <w:rPr>
            <w:rFonts w:ascii="Calibri" w:hAnsi="Calibri" w:eastAsia="Calibri" w:cs="Calibri"/>
            <w:color w:val="2E74B5"/>
            <w:u w:val="single"/>
          </w:rPr>
          <w:t xml:space="preserve">https://www.houstonisd.org/schools-academics/academics/multilingual/testing-identification</w:t>
        </w:r>
      </w:hyperlink>
    </w:p>
    <w:p>
      <w:pPr>
        <w:widowControl/>
      </w:pPr>
      <w:r>
        <w:t xml:space="preserve">Texas Education Agency. (n.d.-a). </w:t>
      </w:r>
      <w:r>
        <w:rPr>
          <w:rFonts w:ascii="Calibri" w:hAnsi="Calibri" w:eastAsia="Calibri" w:cs="Calibri"/>
          <w:i/>
        </w:rPr>
        <w:t>Bluebonnet Learning: K-5 math and secondary mathematics</w:t>
      </w:r>
      <w:r>
        <w:t xml:space="preserve">. Retrieved September 5, 2026, from </w:t>
      </w:r>
      <w:hyperlink r:id="rId69">
        <w:r>
          <w:rPr>
            <w:rFonts w:ascii="Calibri" w:hAnsi="Calibri" w:eastAsia="Calibri" w:cs="Calibri"/>
            <w:color w:val="2E74B5"/>
            <w:u w:val="single"/>
          </w:rPr>
          <w:t xml:space="preserve">https://tea.texas.gov/curriculum-and-instruction/instructional-materials/bluebonnet-learning/bluebonnet-learning-k-5-math-and-secondary-mathematics</w:t>
        </w:r>
      </w:hyperlink>
    </w:p>
    <w:p>
      <w:pPr>
        <w:widowControl/>
      </w:pPr>
      <w:r>
        <w:t xml:space="preserve">Texas Education Agency. (n.d.-b). </w:t>
      </w:r>
      <w:r>
        <w:rPr>
          <w:rFonts w:ascii="Calibri" w:hAnsi="Calibri" w:eastAsia="Calibri" w:cs="Calibri"/>
          <w:i/>
        </w:rPr>
        <w:t>Texas Essential Knowledge and Skills in Spanish</w:t>
      </w:r>
      <w:r>
        <w:t xml:space="preserve">. Retrieved September 5, 2026, from </w:t>
      </w:r>
      <w:hyperlink r:id="rId70">
        <w:r>
          <w:rPr>
            <w:rFonts w:ascii="Calibri" w:hAnsi="Calibri" w:eastAsia="Calibri" w:cs="Calibri"/>
            <w:color w:val="2E74B5"/>
            <w:u w:val="single"/>
          </w:rPr>
          <w:t xml:space="preserve">https://tea.texas.gov/laws-and-rules/state-board-education/teks/texas-essential-knowledge-and-skills-spanish</w:t>
        </w:r>
      </w:hyperlink>
    </w:p>
    <w:p>
      <w:pPr>
        <w:widowControl/>
      </w:pPr>
      <w:r>
        <w:t xml:space="preserve">Wharton K-8 Dual Language Academy. (n.d.). </w:t>
      </w:r>
      <w:r>
        <w:rPr>
          <w:rFonts w:ascii="Calibri" w:hAnsi="Calibri" w:eastAsia="Calibri" w:cs="Calibri"/>
          <w:i/>
        </w:rPr>
        <w:t>Academic offerings</w:t>
      </w:r>
      <w:r>
        <w:t xml:space="preserve">. Retrieved September 5, 2026, from </w:t>
      </w:r>
      <w:hyperlink r:id="rId71">
        <w:r>
          <w:rPr>
            <w:rFonts w:ascii="Calibri" w:hAnsi="Calibri" w:eastAsia="Calibri" w:cs="Calibri"/>
            <w:color w:val="2E74B5"/>
            <w:u w:val="single"/>
          </w:rPr>
          <w:t xml:space="preserve">https://wharton.houstonisd.org/academics-programs/academic-offerings</w:t>
        </w:r>
      </w:hyperlink>
    </w:p>
    <w:p>
      <w:pPr>
        <w:widowControl/>
      </w:pPr>
      <w:r>
        <w:t xml:space="preserve">World Bank. (n.d.). </w:t>
      </w:r>
      <w:r>
        <w:rPr>
          <w:rFonts w:ascii="Calibri" w:hAnsi="Calibri" w:eastAsia="Calibri" w:cs="Calibri"/>
          <w:i/>
        </w:rPr>
        <w:t>Fostering foundational skills in Thailand: From a skills crisis to a learning society</w:t>
      </w:r>
      <w:r>
        <w:t xml:space="preserve">. </w:t>
      </w:r>
      <w:hyperlink r:id="rId72">
        <w:r>
          <w:rPr>
            <w:rFonts w:ascii="Calibri" w:hAnsi="Calibri" w:eastAsia="Calibri" w:cs="Calibri"/>
            <w:color w:val="2E74B5"/>
            <w:u w:val="single"/>
          </w:rPr>
          <w:t xml:space="preserve">https://www.worldbank.org/en/country/thailand/publication/fostering-foundational-skills-in-thailand</w:t>
        </w:r>
      </w:hyperlink>
    </w:p>
    <w:p>
      <w:pPr>
        <w:widowControl/>
      </w:pPr>
      <w:r>
        <w:t xml:space="preserve">UNICEF Myanmar. (n.d.). </w:t>
      </w:r>
      <w:r>
        <w:rPr>
          <w:rFonts w:ascii="Calibri" w:hAnsi="Calibri" w:eastAsia="Calibri" w:cs="Calibri"/>
          <w:i/>
        </w:rPr>
        <w:t>Learning</w:t>
      </w:r>
      <w:r>
        <w:t xml:space="preserve">. Retrieved September 4, 2026, from </w:t>
      </w:r>
      <w:hyperlink r:id="rId73">
        <w:r>
          <w:rPr>
            <w:rFonts w:ascii="Calibri" w:hAnsi="Calibri" w:eastAsia="Calibri" w:cs="Calibri"/>
            <w:color w:val="2E74B5"/>
            <w:u w:val="single"/>
          </w:rPr>
          <w:t xml:space="preserve">https://www.unicef.org/myanmar/learning</w:t>
        </w:r>
      </w:hyperlink>
    </w:p>
    <w:p>
      <w:pPr>
        <w:widowControl/>
      </w:pPr>
      <w:r>
        <w:t xml:space="preserve">Universidad Nacional Autónoma de México. (n.d.). </w:t>
      </w:r>
      <w:r>
        <w:rPr>
          <w:rFonts w:ascii="Calibri" w:hAnsi="Calibri" w:eastAsia="Calibri" w:cs="Calibri"/>
          <w:i/>
        </w:rPr>
        <w:t>MOOC UNAM: Catálogo de cursos</w:t>
      </w:r>
      <w:r>
        <w:t xml:space="preserve">. Retrieved September 4, 2026, from </w:t>
      </w:r>
      <w:hyperlink r:id="rId74">
        <w:r>
          <w:rPr>
            <w:rFonts w:ascii="Calibri" w:hAnsi="Calibri" w:eastAsia="Calibri" w:cs="Calibri"/>
            <w:color w:val="2E74B5"/>
            <w:u w:val="single"/>
          </w:rPr>
          <w:t xml:space="preserve">https://mooc.unam.mx/</w:t>
        </w:r>
      </w:hyperlink>
    </w:p>
    <w:p>
      <w:pPr>
        <w:widowControl/>
      </w:pPr>
      <w:r>
        <w:t xml:space="preserve">Badan Pusat Statistik. (2022a). </w:t>
      </w:r>
      <w:r>
        <w:rPr>
          <w:rFonts w:ascii="Calibri" w:hAnsi="Calibri" w:eastAsia="Calibri" w:cs="Calibri"/>
          <w:i/>
        </w:rPr>
        <w:t>Kemampuan berbahasa Indonesia: Long Form SP2020 tables</w:t>
      </w:r>
      <w:r>
        <w:t xml:space="preserve">. </w:t>
      </w:r>
      <w:hyperlink r:id="rId75">
        <w:r>
          <w:rPr>
            <w:rFonts w:ascii="Calibri" w:hAnsi="Calibri" w:eastAsia="Calibri" w:cs="Calibri"/>
            <w:color w:val="2E74B5"/>
            <w:u w:val="single"/>
          </w:rPr>
          <w:t xml:space="preserve">https://sensus.bps.go.id/topik/tabular/sp2022/196/1/0</w:t>
        </w:r>
      </w:hyperlink>
    </w:p>
    <w:p>
      <w:pPr>
        <w:widowControl/>
      </w:pPr>
      <w:r>
        <w:t xml:space="preserve">Badan Pusat Statistik. (2022b). </w:t>
      </w:r>
      <w:r>
        <w:rPr>
          <w:rFonts w:ascii="Calibri" w:hAnsi="Calibri" w:eastAsia="Calibri" w:cs="Calibri"/>
          <w:i/>
        </w:rPr>
        <w:t>Bahasa pertama: Long Form SP2020 tables</w:t>
      </w:r>
      <w:r>
        <w:t xml:space="preserve">. </w:t>
      </w:r>
      <w:hyperlink r:id="rId76">
        <w:r>
          <w:rPr>
            <w:rFonts w:ascii="Calibri" w:hAnsi="Calibri" w:eastAsia="Calibri" w:cs="Calibri"/>
            <w:color w:val="2E74B5"/>
            <w:u w:val="single"/>
          </w:rPr>
          <w:t xml:space="preserve">https://sensus.bps.go.id/topik/tabular/sp2022/197/0/0</w:t>
        </w:r>
      </w:hyperlink>
    </w:p>
    <w:p>
      <w:pPr>
        <w:widowControl/>
      </w:pPr>
      <w:r>
        <w:t xml:space="preserve">Badan Pemeriksa Keuangan. (2003). </w:t>
      </w:r>
      <w:r>
        <w:rPr>
          <w:rFonts w:ascii="Calibri" w:hAnsi="Calibri" w:eastAsia="Calibri" w:cs="Calibri"/>
          <w:i/>
        </w:rPr>
        <w:t>Undang-Undang Republik Indonesia Nomor 20 Tahun 2003 tentang Sistem Pendidikan Nasional</w:t>
      </w:r>
      <w:r>
        <w:t xml:space="preserve">. </w:t>
      </w:r>
      <w:hyperlink r:id="rId77">
        <w:r>
          <w:rPr>
            <w:rFonts w:ascii="Calibri" w:hAnsi="Calibri" w:eastAsia="Calibri" w:cs="Calibri"/>
            <w:color w:val="2E74B5"/>
            <w:u w:val="single"/>
          </w:rPr>
          <w:t xml:space="preserve">https://peraturan.bpk.go.id/Download/32160/UU%20Nomor%2020%20Tahun%202003.pdf</w:t>
        </w:r>
      </w:hyperlink>
    </w:p>
    <w:p>
      <w:pPr>
        <w:widowControl/>
      </w:pPr>
      <w:r>
        <w:t xml:space="preserve">Badan Pusat Statistik. (2025). </w:t>
      </w:r>
      <w:r>
        <w:rPr>
          <w:rFonts w:ascii="Calibri" w:hAnsi="Calibri" w:eastAsia="Calibri" w:cs="Calibri"/>
          <w:i/>
        </w:rPr>
        <w:t>Telecommunication statistics in Indonesia 2024</w:t>
      </w:r>
      <w:r>
        <w:t xml:space="preserve">. </w:t>
      </w:r>
      <w:hyperlink r:id="rId78">
        <w:r>
          <w:rPr>
            <w:rFonts w:ascii="Calibri" w:hAnsi="Calibri" w:eastAsia="Calibri" w:cs="Calibri"/>
            <w:color w:val="2E74B5"/>
            <w:u w:val="single"/>
          </w:rPr>
          <w:t xml:space="preserve">https://www.bps.go.id/id/publication/2025/08/29/beaa2be400eda6ce6c636ef8/telecommunication-statistics-in-indonesia-2024.html</w:t>
        </w:r>
      </w:hyperlink>
    </w:p>
    <w:p>
      <w:pPr>
        <w:widowControl/>
      </w:pPr>
      <w:r>
        <w:t xml:space="preserve">Kementerian Pendidikan Dasar dan Menengah. (n.d.). </w:t>
      </w:r>
      <w:r>
        <w:rPr>
          <w:rFonts w:ascii="Calibri" w:hAnsi="Calibri" w:eastAsia="Calibri" w:cs="Calibri"/>
          <w:i/>
        </w:rPr>
        <w:t>Sistem Informasi Perbukuan Indonesia: Katalog buku</w:t>
      </w:r>
      <w:r>
        <w:t xml:space="preserve">. Retrieved September 5, 2026, from </w:t>
      </w:r>
      <w:hyperlink r:id="rId79">
        <w:r>
          <w:rPr>
            <w:rFonts w:ascii="Calibri" w:hAnsi="Calibri" w:eastAsia="Calibri" w:cs="Calibri"/>
            <w:color w:val="2E74B5"/>
            <w:u w:val="single"/>
          </w:rPr>
          <w:t xml:space="preserve">https://buku.kemendikdasmen.go.id/katalog</w:t>
        </w:r>
      </w:hyperlink>
    </w:p>
    <w:p>
      <w:pPr>
        <w:widowControl/>
      </w:pPr>
      <w:r>
        <w:t xml:space="preserve">Pusat Standar dan Kebijakan Pendidikan. (2023). </w:t>
      </w:r>
      <w:r>
        <w:rPr>
          <w:rFonts w:ascii="Calibri" w:hAnsi="Calibri" w:eastAsia="Calibri" w:cs="Calibri"/>
          <w:i/>
        </w:rPr>
        <w:t>Optimising the use of local languages in early grades</w:t>
      </w:r>
      <w:r>
        <w:t xml:space="preserve"> (Policy Brief No. 1). </w:t>
      </w:r>
      <w:hyperlink r:id="rId80">
        <w:r>
          <w:rPr>
            <w:rFonts w:ascii="Calibri" w:hAnsi="Calibri" w:eastAsia="Calibri" w:cs="Calibri"/>
            <w:color w:val="2E74B5"/>
            <w:u w:val="single"/>
          </w:rPr>
          <w:t xml:space="preserve">https://pskp.kemendikdasmen.go.id/assets_front/images/produk/1-gtk/kebijakan/Policy_Brief-Optimising_the_Use_of_Local_Languages_in_Early_Grades_FIN_%281%29.pdf</w:t>
        </w:r>
      </w:hyperlink>
    </w:p>
    <w:p>
      <w:pPr>
        <w:widowControl/>
      </w:pPr>
      <w:r>
        <w:t xml:space="preserve">Bangladesh Open University. (n.d.). </w:t>
      </w:r>
      <w:r>
        <w:rPr>
          <w:rFonts w:ascii="Calibri" w:hAnsi="Calibri" w:eastAsia="Calibri" w:cs="Calibri"/>
          <w:i/>
        </w:rPr>
        <w:t>BBA course materials, third-level course contents</w:t>
      </w:r>
      <w:r>
        <w:t xml:space="preserve">. </w:t>
      </w:r>
      <w:hyperlink r:id="rId81">
        <w:r>
          <w:rPr>
            <w:rFonts w:ascii="Calibri" w:hAnsi="Calibri" w:eastAsia="Calibri" w:cs="Calibri"/>
            <w:color w:val="2E74B5"/>
            <w:u w:val="single"/>
          </w:rPr>
          <w:t xml:space="preserve">https://www.ebookbou.edu.bd/wp/OS/osbba3_1.php</w:t>
        </w:r>
      </w:hyperlink>
    </w:p>
    <w:p>
      <w:pPr>
        <w:widowControl/>
      </w:pPr>
      <w:r>
        <w:t xml:space="preserve">Bangladesh Bureau of Educational Information and Statistics. (2026). </w:t>
      </w:r>
      <w:r>
        <w:rPr>
          <w:rFonts w:ascii="Calibri" w:hAnsi="Calibri" w:eastAsia="Calibri" w:cs="Calibri"/>
          <w:i/>
        </w:rPr>
        <w:t>Bangladesh education statistics 2024</w:t>
      </w:r>
      <w:r>
        <w:t xml:space="preserve">. </w:t>
      </w:r>
      <w:hyperlink r:id="rId82">
        <w:r>
          <w:rPr>
            <w:rFonts w:ascii="Calibri" w:hAnsi="Calibri" w:eastAsia="Calibri" w:cs="Calibri"/>
            <w:color w:val="2E74B5"/>
            <w:u w:val="single"/>
          </w:rPr>
          <w:t xml:space="preserve">https://banbeis.gov.bd/pages/static-pages/6a338d7fcb6cb358ff185b6c</w:t>
        </w:r>
      </w:hyperlink>
    </w:p>
    <w:p>
      <w:pPr>
        <w:widowControl/>
      </w:pPr>
      <w:r>
        <w:t xml:space="preserve">Bangladesh Bureau of Statistics. (2026). </w:t>
      </w:r>
      <w:r>
        <w:rPr>
          <w:rFonts w:ascii="Calibri" w:hAnsi="Calibri" w:eastAsia="Calibri" w:cs="Calibri"/>
          <w:i/>
        </w:rPr>
        <w:t>ICT access and use by households and individuals survey 2024-25</w:t>
      </w:r>
      <w:r>
        <w:t xml:space="preserve">. </w:t>
      </w:r>
      <w:hyperlink r:id="rId83">
        <w:r>
          <w:rPr>
            <w:rFonts w:ascii="Calibri" w:hAnsi="Calibri" w:eastAsia="Calibri" w:cs="Calibri"/>
            <w:color w:val="2E74B5"/>
            <w:u w:val="single"/>
          </w:rPr>
          <w:t xml:space="preserve">https://bbs.gov.bd/pages/files/6a609418b859b8767ff841e0</w:t>
        </w:r>
      </w:hyperlink>
    </w:p>
    <w:p>
      <w:pPr>
        <w:widowControl/>
      </w:pPr>
      <w:r>
        <w:t xml:space="preserve">Islam, M. T., Hasan, M. K., &amp; Akhand, M. M. (2025). Challenges in English-medium instruction classes among engineering major students at Bangladeshi private universities. </w:t>
      </w:r>
      <w:r>
        <w:rPr>
          <w:rFonts w:ascii="Calibri" w:hAnsi="Calibri" w:eastAsia="Calibri" w:cs="Calibri"/>
          <w:i/>
        </w:rPr>
        <w:t>Studies in English Language and Education, 12</w:t>
      </w:r>
      <w:r>
        <w:t xml:space="preserve">(1), 285-300. </w:t>
      </w:r>
      <w:hyperlink r:id="rId84">
        <w:r>
          <w:rPr>
            <w:rFonts w:ascii="Calibri" w:hAnsi="Calibri" w:eastAsia="Calibri" w:cs="Calibri"/>
            <w:color w:val="2E74B5"/>
            <w:u w:val="single"/>
          </w:rPr>
          <w:t xml:space="preserve">https://doi.org/10.24815/siele.v12i1.38407</w:t>
        </w:r>
      </w:hyperlink>
    </w:p>
    <w:p>
      <w:pPr>
        <w:widowControl/>
      </w:pPr>
      <w:r>
        <w:t xml:space="preserve">Karim, A., Kabilan, M. K., Ahmed, Z., Reshmin, L., &amp; Rahman, M. M. (2023). The medium of instruction in Bangladeshi higher education institutions: Bangla, English, or both? </w:t>
      </w:r>
      <w:r>
        <w:rPr>
          <w:rFonts w:ascii="Calibri" w:hAnsi="Calibri" w:eastAsia="Calibri" w:cs="Calibri"/>
          <w:i/>
        </w:rPr>
        <w:t>Journal of Language, Identity &amp; Education, 22</w:t>
      </w:r>
      <w:r>
        <w:t xml:space="preserve">(3), 232-246. </w:t>
      </w:r>
      <w:hyperlink r:id="rId85">
        <w:r>
          <w:rPr>
            <w:rFonts w:ascii="Calibri" w:hAnsi="Calibri" w:eastAsia="Calibri" w:cs="Calibri"/>
            <w:color w:val="2E74B5"/>
            <w:u w:val="single"/>
          </w:rPr>
          <w:t xml:space="preserve">https://doi.org/10.1080/15348458.2020.1871353</w:t>
        </w:r>
      </w:hyperlink>
    </w:p>
    <w:p>
      <w:pPr>
        <w:widowControl/>
      </w:pPr>
      <w:r>
        <w:t xml:space="preserve">Sultana, S., &amp; Fang, F. (2024). English as the medium of instruction and mother-tongue-based translanguaging: Challenges and prospects for tertiary education in Bangladesh and China. </w:t>
      </w:r>
      <w:r>
        <w:rPr>
          <w:rFonts w:ascii="Calibri" w:hAnsi="Calibri" w:eastAsia="Calibri" w:cs="Calibri"/>
          <w:i/>
        </w:rPr>
        <w:t>International Journal of Educational Development, 104</w:t>
      </w:r>
      <w:r>
        <w:t xml:space="preserve">, 102951. </w:t>
      </w:r>
      <w:hyperlink r:id="rId86">
        <w:r>
          <w:rPr>
            <w:rFonts w:ascii="Calibri" w:hAnsi="Calibri" w:eastAsia="Calibri" w:cs="Calibri"/>
            <w:color w:val="2E74B5"/>
            <w:u w:val="single"/>
          </w:rPr>
          <w:t xml:space="preserve">https://doi.org/10.1016/j.ijedudev.2023.102951</w:t>
        </w:r>
      </w:hyperlink>
    </w:p>
    <w:p>
      <w:pPr>
        <w:widowControl/>
      </w:pPr>
      <w:r>
        <w:t xml:space="preserve">OECD. (2023a). </w:t>
      </w:r>
      <w:r>
        <w:rPr>
          <w:rFonts w:ascii="Calibri" w:hAnsi="Calibri" w:eastAsia="Calibri" w:cs="Calibri"/>
          <w:i/>
        </w:rPr>
        <w:t>PISA 2022 results (Volume I): The state of learning and equity in education</w:t>
      </w:r>
      <w:r>
        <w:t xml:space="preserve">. </w:t>
      </w:r>
      <w:hyperlink r:id="rId87">
        <w:r>
          <w:rPr>
            <w:rFonts w:ascii="Calibri" w:hAnsi="Calibri" w:eastAsia="Calibri" w:cs="Calibri"/>
            <w:color w:val="2E74B5"/>
            <w:u w:val="single"/>
          </w:rPr>
          <w:t xml:space="preserve">https://doi.org/10.1787/53f23881-en</w:t>
        </w:r>
      </w:hyperlink>
    </w:p>
    <w:p>
      <w:pPr>
        <w:widowControl/>
      </w:pPr>
      <w:r>
        <w:t xml:space="preserve">OECD. (2023b). </w:t>
      </w:r>
      <w:r>
        <w:rPr>
          <w:rFonts w:ascii="Calibri" w:hAnsi="Calibri" w:eastAsia="Calibri" w:cs="Calibri"/>
          <w:i/>
        </w:rPr>
        <w:t>PISA 2022 statistical tables: Annex A2 and Chapter 3</w:t>
      </w:r>
      <w:r>
        <w:t xml:space="preserve">. </w:t>
      </w:r>
      <w:hyperlink r:id="rId88">
        <w:r>
          <w:rPr>
            <w:rFonts w:ascii="Calibri" w:hAnsi="Calibri" w:eastAsia="Calibri" w:cs="Calibri"/>
            <w:color w:val="2E74B5"/>
            <w:u w:val="single"/>
          </w:rPr>
          <w:t xml:space="preserve">https://stat.link/hpg9nd</w:t>
        </w:r>
      </w:hyperlink>
      <w:r>
        <w:t xml:space="preserve"> ; </w:t>
      </w:r>
      <w:hyperlink r:id="rId89">
        <w:r>
          <w:rPr>
            <w:rFonts w:ascii="Calibri" w:hAnsi="Calibri" w:eastAsia="Calibri" w:cs="Calibri"/>
            <w:color w:val="2E74B5"/>
            <w:u w:val="single"/>
          </w:rPr>
          <w:t xml:space="preserve">https://stat.link/znxau8</w:t>
        </w:r>
      </w:hyperlink>
    </w:p>
    <w:p>
      <w:pPr>
        <w:widowControl/>
      </w:pPr>
      <w:r>
        <w:t xml:space="preserve">OECD. (2023c). </w:t>
      </w:r>
      <w:r>
        <w:rPr>
          <w:rFonts w:ascii="Calibri" w:hAnsi="Calibri" w:eastAsia="Calibri" w:cs="Calibri"/>
          <w:i/>
        </w:rPr>
        <w:t>PISA 2022 results: Ukrainian regions (18 of 27) country note</w:t>
      </w:r>
      <w:r>
        <w:t xml:space="preserve">. </w:t>
      </w:r>
      <w:hyperlink r:id="rId90">
        <w:r>
          <w:rPr>
            <w:rFonts w:ascii="Calibri" w:hAnsi="Calibri" w:eastAsia="Calibri" w:cs="Calibri"/>
            <w:color w:val="2E74B5"/>
            <w:u w:val="single"/>
          </w:rPr>
          <w:t xml:space="preserve">https://www.oecd.org/content/dam/oecd/en/publications/reports/2023/11/pisa-2022-results-volume-i-and-ii-country-notes_2fca04b9/ukrainian-regions-18-of-27_de3ad3b1/78043794-en.pdf</w:t>
        </w:r>
      </w:hyperlink>
    </w:p>
    <w:p>
      <w:pPr>
        <w:widowControl/>
      </w:pPr>
      <w:r>
        <w:t xml:space="preserve">Eurostat. (2026, August 11). </w:t>
      </w:r>
      <w:r>
        <w:rPr>
          <w:rFonts w:ascii="Calibri" w:hAnsi="Calibri" w:eastAsia="Calibri" w:cs="Calibri"/>
          <w:i/>
        </w:rPr>
        <w:t>4.41 million under temporary protection in June 2026</w:t>
      </w:r>
      <w:r>
        <w:t xml:space="preserve">. </w:t>
      </w:r>
      <w:hyperlink r:id="rId91">
        <w:r>
          <w:rPr>
            <w:rFonts w:ascii="Calibri" w:hAnsi="Calibri" w:eastAsia="Calibri" w:cs="Calibri"/>
            <w:color w:val="2E74B5"/>
            <w:u w:val="single"/>
          </w:rPr>
          <w:t xml:space="preserve">https://ec.europa.eu/eurostat/web/products-eurostat-news/w/ddn-20260811-1</w:t>
        </w:r>
      </w:hyperlink>
    </w:p>
    <w:p>
      <w:pPr>
        <w:widowControl/>
      </w:pPr>
      <w:r>
        <w:t xml:space="preserve">HSE University Institute for Statistical Studies and Economics of Knowledge. (2025). </w:t>
      </w:r>
      <w:r>
        <w:rPr>
          <w:rFonts w:ascii="Calibri" w:hAnsi="Calibri" w:eastAsia="Calibri" w:cs="Calibri"/>
          <w:i/>
        </w:rPr>
        <w:t>Education in figures: 2025</w:t>
      </w:r>
      <w:r>
        <w:t xml:space="preserve">. </w:t>
      </w:r>
      <w:hyperlink r:id="rId92">
        <w:r>
          <w:rPr>
            <w:rFonts w:ascii="Calibri" w:hAnsi="Calibri" w:eastAsia="Calibri" w:cs="Calibri"/>
            <w:color w:val="2E74B5"/>
            <w:u w:val="single"/>
          </w:rPr>
          <w:t xml:space="preserve">https://www.hse.ru/en/primarydata/oc2025</w:t>
        </w:r>
      </w:hyperlink>
    </w:p>
    <w:p>
      <w:pPr>
        <w:widowControl/>
      </w:pPr>
      <w:r>
        <w:t xml:space="preserve">Kyiv International Institute of Sociology. (2026, June 15). </w:t>
      </w:r>
      <w:r>
        <w:rPr>
          <w:rFonts w:ascii="Calibri" w:hAnsi="Calibri" w:eastAsia="Calibri" w:cs="Calibri"/>
          <w:i/>
        </w:rPr>
        <w:t>Dynamics of attitude to the status of the Russian language in Ukraine during 1997-2026</w:t>
      </w:r>
      <w:r>
        <w:t xml:space="preserve">. </w:t>
      </w:r>
      <w:hyperlink r:id="rId93">
        <w:r>
          <w:rPr>
            <w:rFonts w:ascii="Calibri" w:hAnsi="Calibri" w:eastAsia="Calibri" w:cs="Calibri"/>
            <w:color w:val="2E74B5"/>
            <w:u w:val="single"/>
          </w:rPr>
          <w:t xml:space="preserve">https://www.kiis.com.ua/?cat=reports&amp;id=1619&amp;lang=eng&amp;page=1</w:t>
        </w:r>
      </w:hyperlink>
    </w:p>
    <w:p>
      <w:pPr>
        <w:widowControl/>
      </w:pPr>
      <w:r>
        <w:t xml:space="preserve">National Audit Office of Estonia. (2023, June 1). </w:t>
      </w:r>
      <w:r>
        <w:rPr>
          <w:rFonts w:ascii="Calibri" w:hAnsi="Calibri" w:eastAsia="Calibri" w:cs="Calibri"/>
          <w:i/>
        </w:rPr>
        <w:t>Estonian language training in a Russian-language basic school</w:t>
      </w:r>
      <w:r>
        <w:t xml:space="preserve">. </w:t>
      </w:r>
      <w:hyperlink r:id="rId94">
        <w:r>
          <w:rPr>
            <w:rFonts w:ascii="Calibri" w:hAnsi="Calibri" w:eastAsia="Calibri" w:cs="Calibri"/>
            <w:color w:val="2E74B5"/>
            <w:u w:val="single"/>
          </w:rPr>
          <w:t xml:space="preserve">https://www.riigikontroll.ee/en/audits/estonian-language-training-russian-language-basic-school</w:t>
        </w:r>
      </w:hyperlink>
    </w:p>
    <w:p>
      <w:pPr>
        <w:widowControl/>
      </w:pPr>
      <w:r>
        <w:t xml:space="preserve">State Statistics Committee of Ukraine. (2001). </w:t>
      </w:r>
      <w:r>
        <w:rPr>
          <w:rFonts w:ascii="Calibri" w:hAnsi="Calibri" w:eastAsia="Calibri" w:cs="Calibri"/>
          <w:i/>
        </w:rPr>
        <w:t>All-Ukrainian population census 2001: Results</w:t>
      </w:r>
      <w:r>
        <w:t xml:space="preserve">. </w:t>
      </w:r>
      <w:hyperlink r:id="rId95">
        <w:r>
          <w:rPr>
            <w:rFonts w:ascii="Calibri" w:hAnsi="Calibri" w:eastAsia="Calibri" w:cs="Calibri"/>
            <w:color w:val="2E74B5"/>
            <w:u w:val="single"/>
          </w:rPr>
          <w:t xml:space="preserve">https://2001.ukrcensus.gov.ua/d/mono_eng.pdf</w:t>
        </w:r>
      </w:hyperlink>
    </w:p>
    <w:p>
      <w:pPr>
        <w:widowControl/>
      </w:pPr>
      <w:r>
        <w:t xml:space="preserve">UNESCO, &amp; United Nations Ukraine. (2024, March 11). </w:t>
      </w:r>
      <w:r>
        <w:rPr>
          <w:rFonts w:ascii="Calibri" w:hAnsi="Calibri" w:eastAsia="Calibri" w:cs="Calibri"/>
          <w:i/>
        </w:rPr>
        <w:t>Analysis of war damage to the Ukrainian science sector and its consequences</w:t>
      </w:r>
      <w:r>
        <w:t xml:space="preserve">. </w:t>
      </w:r>
      <w:hyperlink r:id="rId96">
        <w:r>
          <w:rPr>
            <w:rFonts w:ascii="Calibri" w:hAnsi="Calibri" w:eastAsia="Calibri" w:cs="Calibri"/>
            <w:color w:val="2E74B5"/>
            <w:u w:val="single"/>
          </w:rPr>
          <w:t xml:space="preserve">https://ukraine.un.org/en/262987-analysis-war-damage-ukrainian-science-sector-and-its-consequences</w:t>
        </w:r>
      </w:hyperlink>
    </w:p>
    <w:p>
      <w:pPr>
        <w:widowControl/>
      </w:pPr>
      <w:r>
        <w:t xml:space="preserve">Pakistan Bureau of Statistics. (2026). </w:t>
      </w:r>
      <w:r>
        <w:rPr>
          <w:rFonts w:ascii="Calibri" w:hAnsi="Calibri" w:eastAsia="Calibri" w:cs="Calibri"/>
          <w:i/>
        </w:rPr>
        <w:t>Household Integrated Economic Survey 2024-25: Social report</w:t>
      </w:r>
      <w:r>
        <w:t xml:space="preserve">. </w:t>
      </w:r>
      <w:hyperlink r:id="rId97">
        <w:r>
          <w:rPr>
            <w:rFonts w:ascii="Calibri" w:hAnsi="Calibri" w:eastAsia="Calibri" w:cs="Calibri"/>
            <w:color w:val="2E74B5"/>
            <w:u w:val="single"/>
          </w:rPr>
          <w:t xml:space="preserve">https://www.pbs.gov.pk/wp-content/uploads/2020/07/PSLM_Report_2024-25-janurary-26-Social-Reportupdated.pdf</w:t>
        </w:r>
      </w:hyperlink>
    </w:p>
    <w:p>
      <w:pPr>
        <w:widowControl/>
      </w:pPr>
      <w:r>
        <w:t xml:space="preserve">UNICEF Bangladesh. (2026). </w:t>
      </w:r>
      <w:r>
        <w:rPr>
          <w:rFonts w:ascii="Calibri" w:hAnsi="Calibri" w:eastAsia="Calibri" w:cs="Calibri"/>
          <w:i/>
        </w:rPr>
        <w:t>Data on the situation of children in Bangladesh: MICS 2025 indicators</w:t>
      </w:r>
      <w:r>
        <w:t xml:space="preserve">. </w:t>
      </w:r>
      <w:hyperlink r:id="rId98">
        <w:r>
          <w:rPr>
            <w:rFonts w:ascii="Calibri" w:hAnsi="Calibri" w:eastAsia="Calibri" w:cs="Calibri"/>
            <w:color w:val="2E74B5"/>
            <w:u w:val="single"/>
          </w:rPr>
          <w:t xml:space="preserve">https://www.unicef.org/bangladesh/en/data-situation-children-bangladesh</w:t>
        </w:r>
      </w:hyperlink>
    </w:p>
    <w:p>
      <w:pPr>
        <w:widowControl/>
      </w:pPr>
      <w:r>
        <w:t xml:space="preserve">Virtual University of Pakistan. (n.d.). </w:t>
      </w:r>
      <w:r>
        <w:rPr>
          <w:rFonts w:ascii="Calibri" w:hAnsi="Calibri" w:eastAsia="Calibri" w:cs="Calibri"/>
          <w:i/>
        </w:rPr>
        <w:t>Open courseware: Mathematics</w:t>
      </w:r>
      <w:r>
        <w:t xml:space="preserve">. </w:t>
      </w:r>
      <w:hyperlink r:id="rId99">
        <w:r>
          <w:rPr>
            <w:rFonts w:ascii="Calibri" w:hAnsi="Calibri" w:eastAsia="Calibri" w:cs="Calibri"/>
            <w:color w:val="2E74B5"/>
            <w:u w:val="single"/>
          </w:rPr>
          <w:t xml:space="preserve">https://ocw.vu.edu.pk/Courses.aspx?cat=Mathematics</w:t>
        </w:r>
      </w:hyperlink>
    </w:p>
    <w:p>
      <w:pPr>
        <w:widowControl/>
      </w:pPr>
      <w:r>
        <w:t xml:space="preserve">University of Tokyo. (n.d.). </w:t>
      </w:r>
      <w:r>
        <w:rPr>
          <w:rFonts w:ascii="Calibri" w:hAnsi="Calibri" w:eastAsia="Calibri" w:cs="Calibri"/>
          <w:i/>
        </w:rPr>
        <w:t>Pythonプログラミング入門 [Introduction to Python programming]</w:t>
      </w:r>
      <w:r>
        <w:t xml:space="preserve">. </w:t>
      </w:r>
      <w:hyperlink r:id="rId100">
        <w:r>
          <w:rPr>
            <w:rFonts w:ascii="Calibri" w:hAnsi="Calibri" w:eastAsia="Calibri" w:cs="Calibri"/>
            <w:color w:val="2E74B5"/>
            <w:u w:val="single"/>
          </w:rPr>
          <w:t xml:space="preserve">https://utokyo-ipp.github.io/</w:t>
        </w:r>
      </w:hyperlink>
    </w:p>
    <w:p>
      <w:pPr>
        <w:widowControl/>
      </w:pPr>
      <w:r>
        <w:t xml:space="preserve">Xu, Z. (2023). </w:t>
      </w:r>
      <w:r>
        <w:rPr>
          <w:rFonts w:ascii="Calibri" w:hAnsi="Calibri" w:eastAsia="Calibri" w:cs="Calibri"/>
          <w:i/>
        </w:rPr>
        <w:t>概率统计与Python解法 [Probability and statistics with Python solutions]</w:t>
      </w:r>
      <w:r>
        <w:t xml:space="preserve">. Tsinghua University Press. </w:t>
      </w:r>
      <w:hyperlink r:id="rId101">
        <w:r>
          <w:rPr>
            <w:rFonts w:ascii="Calibri" w:hAnsi="Calibri" w:eastAsia="Calibri" w:cs="Calibri"/>
            <w:color w:val="2E74B5"/>
            <w:u w:val="single"/>
          </w:rPr>
          <w:t xml:space="preserve">https://www.tup.tsinghua.edu.cn/booksCenter/book_09529801.html</w:t>
        </w:r>
      </w:hyperlink>
    </w:p>
    <w:p>
      <w:pPr>
        <w:widowControl/>
      </w:pPr>
      <w:r>
        <w:t xml:space="preserve">Golubović, J., &amp; Gooskens, C. (2015). Mutual intelligibility between West and South Slavic languages. </w:t>
      </w:r>
      <w:r>
        <w:rPr>
          <w:rFonts w:ascii="Calibri" w:hAnsi="Calibri" w:eastAsia="Calibri" w:cs="Calibri"/>
          <w:i/>
        </w:rPr>
        <w:t>Russian Linguistics</w:t>
      </w:r>
      <w:r>
        <w:t xml:space="preserve">. </w:t>
      </w:r>
      <w:hyperlink r:id="rId102">
        <w:r>
          <w:rPr>
            <w:rFonts w:ascii="Calibri" w:hAnsi="Calibri" w:eastAsia="Calibri" w:cs="Calibri"/>
            <w:color w:val="2E74B5"/>
            <w:u w:val="single"/>
          </w:rPr>
          <w:t xml:space="preserve">https://doi.org/10.1007/s11185-015-9150-9</w:t>
        </w:r>
      </w:hyperlink>
    </w:p>
    <w:p>
      <w:pPr>
        <w:widowControl/>
      </w:pPr>
      <w:r>
        <w:t xml:space="preserve">Österholm, M. (2006). Characterizing reading comprehension of mathematical texts. </w:t>
      </w:r>
      <w:r>
        <w:rPr>
          <w:rFonts w:ascii="Calibri" w:hAnsi="Calibri" w:eastAsia="Calibri" w:cs="Calibri"/>
          <w:i/>
        </w:rPr>
        <w:t>Educational Studies in Mathematics, 63</w:t>
      </w:r>
      <w:r>
        <w:t xml:space="preserve">, 325-346. </w:t>
      </w:r>
      <w:hyperlink r:id="rId103">
        <w:r>
          <w:rPr>
            <w:rFonts w:ascii="Calibri" w:hAnsi="Calibri" w:eastAsia="Calibri" w:cs="Calibri"/>
            <w:color w:val="2E74B5"/>
            <w:u w:val="single"/>
          </w:rPr>
          <w:t xml:space="preserve">https://www.diva-portal.org/smash/get/diva2:22664/FULLTEXT01.pdf</w:t>
        </w:r>
      </w:hyperlink>
    </w:p>
    <w:p>
      <w:pPr>
        <w:widowControl/>
      </w:pPr>
      <w:r>
        <w:t xml:space="preserve">Cristia, J., Ibarrarán, P., Cueto, S., Santiago, A., &amp; Severín, E. (2017). Technology and child development: Evidence from the One Laptop per Child program. </w:t>
      </w:r>
      <w:r>
        <w:rPr>
          <w:rFonts w:ascii="Calibri" w:hAnsi="Calibri" w:eastAsia="Calibri" w:cs="Calibri"/>
          <w:i/>
        </w:rPr>
        <w:t>American Economic Journal: Applied Economics, 9</w:t>
      </w:r>
      <w:r>
        <w:t xml:space="preserve">(3), 295-320. </w:t>
      </w:r>
      <w:hyperlink r:id="rId104">
        <w:r>
          <w:rPr>
            <w:rFonts w:ascii="Calibri" w:hAnsi="Calibri" w:eastAsia="Calibri" w:cs="Calibri"/>
            <w:color w:val="2E74B5"/>
            <w:u w:val="single"/>
          </w:rPr>
          <w:t xml:space="preserve">https://doi.org/10.1257/app.20150385</w:t>
        </w:r>
      </w:hyperlink>
    </w:p>
    <w:p>
      <w:pPr>
        <w:widowControl/>
      </w:pPr>
      <w:r>
        <w:t xml:space="preserve">Glewwe, P., Kremer, M., &amp; Moulin, S. (2009). Many children left behind? Textbooks and test scores in Kenya. </w:t>
      </w:r>
      <w:r>
        <w:rPr>
          <w:rFonts w:ascii="Calibri" w:hAnsi="Calibri" w:eastAsia="Calibri" w:cs="Calibri"/>
          <w:i/>
        </w:rPr>
        <w:t>American Economic Journal: Applied Economics, 1</w:t>
      </w:r>
      <w:r>
        <w:t xml:space="preserve">(1), 112-135. </w:t>
      </w:r>
      <w:hyperlink r:id="rId105">
        <w:r>
          <w:rPr>
            <w:rFonts w:ascii="Calibri" w:hAnsi="Calibri" w:eastAsia="Calibri" w:cs="Calibri"/>
            <w:color w:val="2E74B5"/>
            <w:u w:val="single"/>
          </w:rPr>
          <w:t xml:space="preserve">https://doi.org/10.1257/app.1.1.112</w:t>
        </w:r>
      </w:hyperlink>
    </w:p>
    <w:p>
      <w:pPr>
        <w:widowControl/>
      </w:pPr>
      <w:r>
        <w:t xml:space="preserve">Muralidharan, K., Singh, A., &amp; Ganimian, A. J. (2019). Disrupting education? Experimental evidence on technology-aided instruction in India. </w:t>
      </w:r>
      <w:r>
        <w:rPr>
          <w:rFonts w:ascii="Calibri" w:hAnsi="Calibri" w:eastAsia="Calibri" w:cs="Calibri"/>
          <w:i/>
        </w:rPr>
        <w:t>American Economic Review, 109</w:t>
      </w:r>
      <w:r>
        <w:t xml:space="preserve">(4), 1426-1460. </w:t>
      </w:r>
      <w:hyperlink r:id="rId106">
        <w:r>
          <w:rPr>
            <w:rFonts w:ascii="Calibri" w:hAnsi="Calibri" w:eastAsia="Calibri" w:cs="Calibri"/>
            <w:color w:val="2E74B5"/>
            <w:u w:val="single"/>
          </w:rPr>
          <w:t xml:space="preserve">https://doi.org/10.1257/aer.20171112</w:t>
        </w:r>
      </w:hyperlink>
    </w:p>
    <w:p>
      <w:pPr>
        <w:widowControl/>
      </w:pPr>
      <w:r>
        <w:t xml:space="preserve">Bangladesh Bureau of Statistics, &amp; UNICEF Bangladesh. (2026). </w:t>
      </w:r>
      <w:r>
        <w:rPr>
          <w:rFonts w:ascii="Calibri" w:hAnsi="Calibri" w:eastAsia="Calibri" w:cs="Calibri"/>
          <w:i/>
        </w:rPr>
        <w:t>Bangladesh Multiple Indicator Cluster Survey 2025: Final report</w:t>
      </w:r>
      <w:r>
        <w:t xml:space="preserve">. </w:t>
      </w:r>
      <w:hyperlink r:id="rId107">
        <w:r>
          <w:rPr>
            <w:rFonts w:ascii="Calibri" w:hAnsi="Calibri" w:eastAsia="Calibri" w:cs="Calibri"/>
            <w:color w:val="2E74B5"/>
            <w:u w:val="single"/>
          </w:rPr>
          <w:t xml:space="preserve">https://www.unicef.org/bangladesh/en/reports/bangladesh-multiple-indicator-cluster-survey-2025-0</w:t>
        </w:r>
      </w:hyperlink>
    </w:p>
    <w:p>
      <w:pPr>
        <w:widowControl/>
      </w:pPr>
      <w:r>
        <w:t xml:space="preserve">UNICEF Data. (n.d.). </w:t>
      </w:r>
      <w:r>
        <w:rPr>
          <w:rFonts w:ascii="Calibri" w:hAnsi="Calibri" w:eastAsia="Calibri" w:cs="Calibri"/>
          <w:i/>
        </w:rPr>
        <w:t>Child-related SDG progress assessment for Bangladesh: Population overview</w:t>
      </w:r>
      <w:r>
        <w:t xml:space="preserve">. Retrieved September 4, 2026, from </w:t>
      </w:r>
      <w:hyperlink r:id="rId108">
        <w:r>
          <w:rPr>
            <w:rFonts w:ascii="Calibri" w:hAnsi="Calibri" w:eastAsia="Calibri" w:cs="Calibri"/>
            <w:color w:val="2E74B5"/>
            <w:u w:val="single"/>
          </w:rPr>
          <w:t xml:space="preserve">https://data.unicef.org/sdgs/country/bgd/</w:t>
        </w:r>
      </w:hyperlink>
    </w:p>
    <w:p>
      <w:pPr>
        <w:widowControl/>
      </w:pPr>
      <w:r>
        <w:t xml:space="preserve">Ministry of Statistics and Programme Implementation. (2020). </w:t>
      </w:r>
      <w:r>
        <w:rPr>
          <w:rFonts w:ascii="Calibri" w:hAnsi="Calibri" w:eastAsia="Calibri" w:cs="Calibri"/>
          <w:i/>
        </w:rPr>
        <w:t>Household social consumption on education in India: NSS 75th Round, July 2017-June 2018</w:t>
      </w:r>
      <w:r>
        <w:t xml:space="preserve"> (Report No. 585). </w:t>
      </w:r>
      <w:hyperlink r:id="rId109">
        <w:r>
          <w:rPr>
            <w:rFonts w:ascii="Calibri" w:hAnsi="Calibri" w:eastAsia="Calibri" w:cs="Calibri"/>
            <w:color w:val="2E74B5"/>
            <w:u w:val="single"/>
          </w:rPr>
          <w:t xml:space="preserve">https://mospi.gov.in/sites/default/files/publication_reports/Report_585_75th_round_Education_final_1507_0.pdf</w:t>
        </w:r>
      </w:hyperlink>
    </w:p>
    <w:p>
      <w:pPr>
        <w:widowControl/>
      </w:pPr>
      <w:r>
        <w:t xml:space="preserve">ASER Centre. (2025). </w:t>
      </w:r>
      <w:r>
        <w:rPr>
          <w:rFonts w:ascii="Calibri" w:hAnsi="Calibri" w:eastAsia="Calibri" w:cs="Calibri"/>
          <w:i/>
        </w:rPr>
        <w:t>ASER 2024 national findings</w:t>
      </w:r>
      <w:r>
        <w:t xml:space="preserve">. </w:t>
      </w:r>
      <w:hyperlink r:id="rId110">
        <w:r>
          <w:rPr>
            <w:rFonts w:ascii="Calibri" w:hAnsi="Calibri" w:eastAsia="Calibri" w:cs="Calibri"/>
            <w:color w:val="2E74B5"/>
            <w:u w:val="single"/>
          </w:rPr>
          <w:t xml:space="preserve">https://asercentre.org/wp-content/uploads/2022/12/ASER-2024-National-findings.pdf</w:t>
        </w:r>
      </w:hyperlink>
    </w:p>
    <w:p>
      <w:pPr>
        <w:widowControl/>
      </w:pPr>
      <w:r>
        <w:t xml:space="preserve">Department of Higher Education, Ministry of Education, Government of India. (2026). </w:t>
      </w:r>
      <w:r>
        <w:rPr>
          <w:rFonts w:ascii="Calibri" w:hAnsi="Calibri" w:eastAsia="Calibri" w:cs="Calibri"/>
          <w:i/>
        </w:rPr>
        <w:t>All India Survey on Higher Education 2023-24: Final report</w:t>
      </w:r>
      <w:r>
        <w:t xml:space="preserve">. </w:t>
      </w:r>
      <w:hyperlink r:id="rId111">
        <w:r>
          <w:rPr>
            <w:rFonts w:ascii="Calibri" w:hAnsi="Calibri" w:eastAsia="Calibri" w:cs="Calibri"/>
            <w:color w:val="2E74B5"/>
            <w:u w:val="single"/>
          </w:rPr>
          <w:t xml:space="preserve">https://cdnbbsr.s3waas.gov.in/s392049debbe566ca5782a3045cf300a3c/uploads/2026/07/202607131602421770.pdf</w:t>
        </w:r>
      </w:hyperlink>
    </w:p>
    <w:p>
      <w:pPr>
        <w:widowControl/>
      </w:pPr>
      <w:r>
        <w:t xml:space="preserve">Department of School Education &amp; Literacy, Ministry of Education, Government of India. (2025). </w:t>
      </w:r>
      <w:r>
        <w:rPr>
          <w:rFonts w:ascii="Calibri" w:hAnsi="Calibri" w:eastAsia="Calibri" w:cs="Calibri"/>
          <w:i/>
        </w:rPr>
        <w:t>UDISE+ report 2024-25: NEP structure</w:t>
      </w:r>
      <w:r>
        <w:t xml:space="preserve">. </w:t>
      </w:r>
      <w:hyperlink r:id="rId112">
        <w:r>
          <w:rPr>
            <w:rFonts w:ascii="Calibri" w:hAnsi="Calibri" w:eastAsia="Calibri" w:cs="Calibri"/>
            <w:color w:val="2E74B5"/>
            <w:u w:val="single"/>
          </w:rPr>
          <w:t xml:space="preserve">https://www.dsel-education.gov.in/statistics</w:t>
        </w:r>
      </w:hyperlink>
    </w:p>
    <w:p>
      <w:pPr>
        <w:widowControl/>
      </w:pPr>
      <w:r>
        <w:t xml:space="preserve">DIKSHA. (n.d.). </w:t>
      </w:r>
      <w:r>
        <w:rPr>
          <w:rFonts w:ascii="Calibri" w:hAnsi="Calibri" w:eastAsia="Calibri" w:cs="Calibri"/>
          <w:i/>
        </w:rPr>
        <w:t>Features and supported languages</w:t>
      </w:r>
      <w:r>
        <w:t xml:space="preserve">. Retrieved September 5, 2026, from </w:t>
      </w:r>
      <w:hyperlink r:id="rId113">
        <w:r>
          <w:rPr>
            <w:rFonts w:ascii="Calibri" w:hAnsi="Calibri" w:eastAsia="Calibri" w:cs="Calibri"/>
            <w:color w:val="2E74B5"/>
            <w:u w:val="single"/>
          </w:rPr>
          <w:t xml:space="preserve">https://diksha.gov.in/help/faqs/user/features.html</w:t>
        </w:r>
      </w:hyperlink>
    </w:p>
    <w:p>
      <w:pPr>
        <w:widowControl/>
      </w:pPr>
      <w:r>
        <w:t xml:space="preserve">Indian Sign Language Research and Training Centre. (n.d.). </w:t>
      </w:r>
      <w:r>
        <w:rPr>
          <w:rFonts w:ascii="Calibri" w:hAnsi="Calibri" w:eastAsia="Calibri" w:cs="Calibri"/>
          <w:i/>
        </w:rPr>
        <w:t>Frequently asked questions: ISL Dictionary</w:t>
      </w:r>
      <w:r>
        <w:t xml:space="preserve">. Retrieved September 5, 2026, from </w:t>
      </w:r>
      <w:hyperlink r:id="rId114">
        <w:r>
          <w:rPr>
            <w:rFonts w:ascii="Calibri" w:hAnsi="Calibri" w:eastAsia="Calibri" w:cs="Calibri"/>
            <w:color w:val="2E74B5"/>
            <w:u w:val="single"/>
          </w:rPr>
          <w:t xml:space="preserve">https://islrtc.nic.in/faq/</w:t>
        </w:r>
      </w:hyperlink>
    </w:p>
    <w:p>
      <w:pPr>
        <w:widowControl/>
      </w:pPr>
      <w:r>
        <w:t xml:space="preserve">National Council of Educational Research and Training. (n.d.). </w:t>
      </w:r>
      <w:r>
        <w:rPr>
          <w:rFonts w:ascii="Calibri" w:hAnsi="Calibri" w:eastAsia="Calibri" w:cs="Calibri"/>
          <w:i/>
        </w:rPr>
        <w:t>Indian-language primers</w:t>
      </w:r>
      <w:r>
        <w:t xml:space="preserve">. Retrieved September 5, 2026, from </w:t>
      </w:r>
      <w:hyperlink r:id="rId115">
        <w:r>
          <w:rPr>
            <w:rFonts w:ascii="Calibri" w:hAnsi="Calibri" w:eastAsia="Calibri" w:cs="Calibri"/>
            <w:color w:val="2E74B5"/>
            <w:u w:val="single"/>
          </w:rPr>
          <w:t xml:space="preserve">https://ncert.nic.in/primers.php</w:t>
        </w:r>
      </w:hyperlink>
    </w:p>
    <w:p>
      <w:pPr>
        <w:widowControl/>
      </w:pPr>
      <w:r>
        <w:t xml:space="preserve">National Statistical Office. (2025). </w:t>
      </w:r>
      <w:r>
        <w:rPr>
          <w:rFonts w:ascii="Calibri" w:hAnsi="Calibri" w:eastAsia="Calibri" w:cs="Calibri"/>
          <w:i/>
        </w:rPr>
        <w:t>Comprehensive Modular Survey: Telecom, 2025</w:t>
      </w:r>
      <w:r>
        <w:t xml:space="preserve"> (NSS Report No. 593). </w:t>
      </w:r>
      <w:hyperlink r:id="rId116">
        <w:r>
          <w:rPr>
            <w:rFonts w:ascii="Calibri" w:hAnsi="Calibri" w:eastAsia="Calibri" w:cs="Calibri"/>
            <w:color w:val="2E74B5"/>
            <w:u w:val="single"/>
          </w:rPr>
          <w:t xml:space="preserve">https://mospi.gov.in/sites/default/files/publication_reports/CMST_report_m.pdf</w:t>
        </w:r>
      </w:hyperlink>
    </w:p>
    <w:p>
      <w:pPr>
        <w:widowControl/>
      </w:pPr>
      <w:r>
        <w:t xml:space="preserve">NPTEL. (n.d.). </w:t>
      </w:r>
      <w:r>
        <w:rPr>
          <w:rFonts w:ascii="Calibri" w:hAnsi="Calibri" w:eastAsia="Calibri" w:cs="Calibri"/>
          <w:i/>
        </w:rPr>
        <w:t>Translation programme and translated books</w:t>
      </w:r>
      <w:r>
        <w:t xml:space="preserve">. </w:t>
      </w:r>
      <w:hyperlink r:id="rId117">
        <w:r>
          <w:rPr>
            <w:rFonts w:ascii="Calibri" w:hAnsi="Calibri" w:eastAsia="Calibri" w:cs="Calibri"/>
            <w:color w:val="2E74B5"/>
            <w:u w:val="single"/>
          </w:rPr>
          <w:t xml:space="preserve">https://nptel.ac.in/translation</w:t>
        </w:r>
      </w:hyperlink>
    </w:p>
    <w:p>
      <w:pPr>
        <w:widowControl/>
      </w:pPr>
      <w:r>
        <w:t xml:space="preserve">Agency for Cultural Affairs, Japan. (n.d.). </w:t>
      </w:r>
      <w:r>
        <w:rPr>
          <w:rFonts w:ascii="Calibri" w:hAnsi="Calibri" w:eastAsia="Calibri" w:cs="Calibri"/>
          <w:i/>
        </w:rPr>
        <w:t>Languages and dialects in critical situations</w:t>
      </w:r>
      <w:r>
        <w:t xml:space="preserve">. Retrieved September 5, 2026, from </w:t>
      </w:r>
      <w:hyperlink r:id="rId118">
        <w:r>
          <w:rPr>
            <w:rFonts w:ascii="Calibri" w:hAnsi="Calibri" w:eastAsia="Calibri" w:cs="Calibri"/>
            <w:color w:val="2E74B5"/>
            <w:u w:val="single"/>
          </w:rPr>
          <w:t xml:space="preserve">https://www.bunka.go.jp/seisaku/kokugo_nihongo/kokugo_shisaku/kikigengo/</w:t>
        </w:r>
      </w:hyperlink>
    </w:p>
    <w:p>
      <w:pPr>
        <w:widowControl/>
      </w:pPr>
      <w:r>
        <w:t xml:space="preserve">Cabinet Office, Japan. (2025). </w:t>
      </w:r>
      <w:r>
        <w:rPr>
          <w:rFonts w:ascii="Calibri" w:hAnsi="Calibri" w:eastAsia="Calibri" w:cs="Calibri"/>
          <w:i/>
        </w:rPr>
        <w:t>Promotion of measures concerning sign language</w:t>
      </w:r>
      <w:r>
        <w:t xml:space="preserve">. </w:t>
      </w:r>
      <w:hyperlink r:id="rId119">
        <w:r>
          <w:rPr>
            <w:rFonts w:ascii="Calibri" w:hAnsi="Calibri" w:eastAsia="Calibri" w:cs="Calibri"/>
            <w:color w:val="2E74B5"/>
            <w:u w:val="single"/>
          </w:rPr>
          <w:t xml:space="preserve">https://www8.cao.go.jp/shougai/suishin/jsl.html</w:t>
        </w:r>
      </w:hyperlink>
    </w:p>
    <w:p>
      <w:pPr>
        <w:widowControl/>
      </w:pPr>
      <w:r>
        <w:t xml:space="preserve">Japan Science and Technology Agency. (n.d.). </w:t>
      </w:r>
      <w:r>
        <w:rPr>
          <w:rFonts w:ascii="Calibri" w:hAnsi="Calibri" w:eastAsia="Calibri" w:cs="Calibri"/>
          <w:i/>
        </w:rPr>
        <w:t>J-STAGE overview</w:t>
      </w:r>
      <w:r>
        <w:t xml:space="preserve">. Retrieved September 5, 2026, from </w:t>
      </w:r>
      <w:hyperlink r:id="rId120">
        <w:r>
          <w:rPr>
            <w:rFonts w:ascii="Calibri" w:hAnsi="Calibri" w:eastAsia="Calibri" w:cs="Calibri"/>
            <w:color w:val="2E74B5"/>
            <w:u w:val="single"/>
          </w:rPr>
          <w:t xml:space="preserve">https://www.jstage.jst.go.jp/static/pages/JstageOverview/-char/en</w:t>
        </w:r>
      </w:hyperlink>
    </w:p>
    <w:p>
      <w:pPr>
        <w:widowControl/>
      </w:pPr>
      <w:r>
        <w:t xml:space="preserve">Ministry of Education, Culture, Sports, Science and Technology, Japan. (2024a). </w:t>
      </w:r>
      <w:r>
        <w:rPr>
          <w:rFonts w:ascii="Calibri" w:hAnsi="Calibri" w:eastAsia="Calibri" w:cs="Calibri"/>
          <w:i/>
        </w:rPr>
        <w:t>Statistical abstract 2024: School education and science-and-technology tables</w:t>
      </w:r>
      <w:r>
        <w:t xml:space="preserve"> [Data set]. </w:t>
      </w:r>
      <w:hyperlink r:id="rId121">
        <w:r>
          <w:rPr>
            <w:rFonts w:ascii="Calibri" w:hAnsi="Calibri" w:eastAsia="Calibri" w:cs="Calibri"/>
            <w:color w:val="2E74B5"/>
            <w:u w:val="single"/>
          </w:rPr>
          <w:t xml:space="preserve">https://www.mext.go.jp/b_menu/toukei/002/002b/1417059_00009.htm</w:t>
        </w:r>
      </w:hyperlink>
    </w:p>
    <w:p>
      <w:pPr>
        <w:widowControl/>
      </w:pPr>
      <w:r>
        <w:t xml:space="preserve">Ministry of Education, Culture, Sports, Science and Technology, Japan. (2024b). </w:t>
      </w:r>
      <w:r>
        <w:rPr>
          <w:rFonts w:ascii="Calibri" w:hAnsi="Calibri" w:eastAsia="Calibri" w:cs="Calibri"/>
          <w:i/>
        </w:rPr>
        <w:t>Results of the 2023 survey on the acceptance of students requiring Japanese-language instruction</w:t>
      </w:r>
      <w:r>
        <w:t xml:space="preserve">. </w:t>
      </w:r>
      <w:hyperlink r:id="rId122">
        <w:r>
          <w:rPr>
            <w:rFonts w:ascii="Calibri" w:hAnsi="Calibri" w:eastAsia="Calibri" w:cs="Calibri"/>
            <w:color w:val="2E74B5"/>
            <w:u w:val="single"/>
          </w:rPr>
          <w:t xml:space="preserve">https://www.mext.go.jp/content/20240808-mxt_kyokoku-000037366_4.pdf</w:t>
        </w:r>
      </w:hyperlink>
    </w:p>
    <w:p>
      <w:pPr>
        <w:widowControl/>
      </w:pPr>
      <w:r>
        <w:t xml:space="preserve">Ministry of Education, Culture, Sports, Science and Technology, Japan. (2024c). </w:t>
      </w:r>
      <w:r>
        <w:rPr>
          <w:rFonts w:ascii="Calibri" w:hAnsi="Calibri" w:eastAsia="Calibri" w:cs="Calibri"/>
          <w:i/>
        </w:rPr>
        <w:t>Japan's student performance for PISA 2022</w:t>
      </w:r>
      <w:r>
        <w:t xml:space="preserve">. </w:t>
      </w:r>
      <w:hyperlink r:id="rId123">
        <w:r>
          <w:rPr>
            <w:rFonts w:ascii="Calibri" w:hAnsi="Calibri" w:eastAsia="Calibri" w:cs="Calibri"/>
            <w:color w:val="2E74B5"/>
            <w:u w:val="single"/>
          </w:rPr>
          <w:t xml:space="preserve">https://www.mext.go.jp/content/20240524-mxt_chousa02-100002205_2.pdf</w:t>
        </w:r>
      </w:hyperlink>
    </w:p>
    <w:p>
      <w:pPr>
        <w:widowControl/>
      </w:pPr>
      <w:r>
        <w:t xml:space="preserve">Ministry of Education, Culture, Sports, Science and Technology, Japan. (2024d). </w:t>
      </w:r>
      <w:r>
        <w:rPr>
          <w:rFonts w:ascii="Calibri" w:hAnsi="Calibri" w:eastAsia="Calibri" w:cs="Calibri"/>
          <w:i/>
        </w:rPr>
        <w:t>The fourth basic plan for the promotion of education</w:t>
      </w:r>
      <w:r>
        <w:t xml:space="preserve"> [English translation]. </w:t>
      </w:r>
      <w:hyperlink r:id="rId124">
        <w:r>
          <w:rPr>
            <w:rFonts w:ascii="Calibri" w:hAnsi="Calibri" w:eastAsia="Calibri" w:cs="Calibri"/>
            <w:color w:val="2E74B5"/>
            <w:u w:val="single"/>
          </w:rPr>
          <w:t xml:space="preserve">https://www.mext.go.jp/content/20240228-soseisk02-100000597_09.pdf</w:t>
        </w:r>
      </w:hyperlink>
    </w:p>
    <w:p>
      <w:pPr>
        <w:widowControl/>
      </w:pPr>
      <w:r>
        <w:t xml:space="preserve">National Institute of Science and Technology Policy. (2016). </w:t>
      </w:r>
      <w:r>
        <w:rPr>
          <w:rFonts w:ascii="Calibri" w:hAnsi="Calibri" w:eastAsia="Calibri" w:cs="Calibri"/>
          <w:i/>
        </w:rPr>
        <w:t>Characteristics of research-article publication in major countries, focusing on journals</w:t>
      </w:r>
      <w:r>
        <w:t xml:space="preserve"> (Research Material No. 254, press summary). </w:t>
      </w:r>
      <w:hyperlink r:id="rId125">
        <w:r>
          <w:rPr>
            <w:rFonts w:ascii="Calibri" w:hAnsi="Calibri" w:eastAsia="Calibri" w:cs="Calibri"/>
            <w:color w:val="2E74B5"/>
            <w:u w:val="single"/>
          </w:rPr>
          <w:t xml:space="preserve">https://www.nistep.go.jp/wp/wp-content/uploads/NISTEP-RM254-PressJ.pdf</w:t>
        </w:r>
      </w:hyperlink>
    </w:p>
    <w:p>
      <w:pPr>
        <w:widowControl/>
      </w:pPr>
      <w:r>
        <w:t xml:space="preserve">World Bank. (2026e). </w:t>
      </w:r>
      <w:r>
        <w:rPr>
          <w:rFonts w:ascii="Calibri" w:hAnsi="Calibri" w:eastAsia="Calibri" w:cs="Calibri"/>
          <w:i/>
        </w:rPr>
        <w:t>World Development Indicators: Japan</w:t>
      </w:r>
      <w:r>
        <w:t xml:space="preserve"> [Data set]. Retrieved September 5, 2026, from </w:t>
      </w:r>
      <w:hyperlink r:id="rId126">
        <w:r>
          <w:rPr>
            <w:rFonts w:ascii="Calibri" w:hAnsi="Calibri" w:eastAsia="Calibri" w:cs="Calibri"/>
            <w:color w:val="2E74B5"/>
            <w:u w:val="single"/>
          </w:rPr>
          <w:t xml:space="preserve">https://data.worldbank.org/country/japan</w:t>
        </w:r>
      </w:hyperlink>
    </w:p>
    <w:p>
      <w:pPr>
        <w:widowControl/>
      </w:pPr>
      <w:r>
        <w:t xml:space="preserve">Office of the Registrar General &amp; Census Commissioner, India. (2011a). </w:t>
      </w:r>
      <w:r>
        <w:rPr>
          <w:rFonts w:ascii="Calibri" w:hAnsi="Calibri" w:eastAsia="Calibri" w:cs="Calibri"/>
          <w:i/>
        </w:rPr>
        <w:t>C-16 population by mother tongue</w:t>
      </w:r>
      <w:r>
        <w:t xml:space="preserve">. </w:t>
      </w:r>
      <w:hyperlink r:id="rId127">
        <w:r>
          <w:rPr>
            <w:rFonts w:ascii="Calibri" w:hAnsi="Calibri" w:eastAsia="Calibri" w:cs="Calibri"/>
            <w:color w:val="2E74B5"/>
            <w:u w:val="single"/>
          </w:rPr>
          <w:t xml:space="preserve">https://censusindia.gov.in/nada/index.php/catalog/10191</w:t>
        </w:r>
      </w:hyperlink>
    </w:p>
    <w:p>
      <w:pPr>
        <w:widowControl/>
      </w:pPr>
      <w:r>
        <w:t xml:space="preserve">Office of the Registrar General &amp; Census Commissioner, India. (2011b). </w:t>
      </w:r>
      <w:r>
        <w:rPr>
          <w:rFonts w:ascii="Calibri" w:hAnsi="Calibri" w:eastAsia="Calibri" w:cs="Calibri"/>
          <w:i/>
        </w:rPr>
        <w:t>C-17 population by bilingualism and trilingualism</w:t>
      </w:r>
      <w:r>
        <w:t xml:space="preserve">. </w:t>
      </w:r>
      <w:hyperlink r:id="rId128">
        <w:r>
          <w:rPr>
            <w:rFonts w:ascii="Calibri" w:hAnsi="Calibri" w:eastAsia="Calibri" w:cs="Calibri"/>
            <w:color w:val="2E74B5"/>
            <w:u w:val="single"/>
          </w:rPr>
          <w:t xml:space="preserve">https://censusindia.gov.in/nada/index.php/catalog/10262</w:t>
        </w:r>
      </w:hyperlink>
    </w:p>
    <w:p>
      <w:pPr>
        <w:widowControl/>
      </w:pPr>
      <w:r>
        <w:t xml:space="preserve">Department of Education, Republic of the Philippines. (n.d.-a). </w:t>
      </w:r>
      <w:r>
        <w:rPr>
          <w:rFonts w:ascii="Calibri" w:hAnsi="Calibri" w:eastAsia="Calibri" w:cs="Calibri"/>
          <w:i/>
        </w:rPr>
        <w:t>ALS learning materials</w:t>
      </w:r>
      <w:r>
        <w:t xml:space="preserve">. </w:t>
      </w:r>
      <w:hyperlink r:id="rId129">
        <w:r>
          <w:rPr>
            <w:rFonts w:ascii="Calibri" w:hAnsi="Calibri" w:eastAsia="Calibri" w:cs="Calibri"/>
            <w:color w:val="2E74B5"/>
            <w:u w:val="single"/>
          </w:rPr>
          <w:t xml:space="preserve">https://www.deped.gov.ph/als-learning-materials/</w:t>
        </w:r>
      </w:hyperlink>
    </w:p>
    <w:p>
      <w:pPr>
        <w:widowControl/>
      </w:pPr>
      <w:r>
        <w:t xml:space="preserve">Department of Education, Republic of the Philippines. (n.d.-b). </w:t>
      </w:r>
      <w:r>
        <w:rPr>
          <w:rFonts w:ascii="Calibri" w:hAnsi="Calibri" w:eastAsia="Calibri" w:cs="Calibri"/>
          <w:i/>
        </w:rPr>
        <w:t>Learning Resources Management and Development System</w:t>
      </w:r>
      <w:r>
        <w:t xml:space="preserve">. Retrieved September 5, 2026, from </w:t>
      </w:r>
      <w:hyperlink r:id="rId130">
        <w:r>
          <w:rPr>
            <w:rFonts w:ascii="Calibri" w:hAnsi="Calibri" w:eastAsia="Calibri" w:cs="Calibri"/>
            <w:color w:val="2E74B5"/>
            <w:u w:val="single"/>
          </w:rPr>
          <w:t xml:space="preserve">https://lrmds.deped.gov.ph/k_to_12</w:t>
        </w:r>
      </w:hyperlink>
    </w:p>
    <w:p>
      <w:pPr>
        <w:widowControl/>
      </w:pPr>
      <w:r>
        <w:t xml:space="preserve">Department of Education, Republic of the Philippines. (2025). </w:t>
      </w:r>
      <w:r>
        <w:rPr>
          <w:rFonts w:ascii="Calibri" w:hAnsi="Calibri" w:eastAsia="Calibri" w:cs="Calibri"/>
          <w:i/>
        </w:rPr>
        <w:t>Policy on the medium of instruction for Kindergarten to Grade 3 effective school year 2025-2026</w:t>
      </w:r>
      <w:r>
        <w:t xml:space="preserve"> (DepEd Order No. 020, s. 2025). </w:t>
      </w:r>
      <w:hyperlink r:id="rId131">
        <w:r>
          <w:rPr>
            <w:rFonts w:ascii="Calibri" w:hAnsi="Calibri" w:eastAsia="Calibri" w:cs="Calibri"/>
            <w:color w:val="2E74B5"/>
            <w:u w:val="single"/>
          </w:rPr>
          <w:t xml:space="preserve">https://www.deped.gov.ph/wp-content/uploads/DO_s2025_020r_8.pdf</w:t>
        </w:r>
      </w:hyperlink>
    </w:p>
    <w:p>
      <w:pPr>
        <w:widowControl/>
      </w:pPr>
      <w:r>
        <w:t xml:space="preserve">Philippine Statistics Authority. (2023a). </w:t>
      </w:r>
      <w:r>
        <w:rPr>
          <w:rFonts w:ascii="Calibri" w:hAnsi="Calibri" w:eastAsia="Calibri" w:cs="Calibri"/>
          <w:i/>
        </w:rPr>
        <w:t>Tagalog is the most widely spoken language at home (2020 Census of Population and Housing)</w:t>
      </w:r>
      <w:r>
        <w:t xml:space="preserve"> (Reference No. 2023-42). </w:t>
      </w:r>
      <w:hyperlink r:id="rId132">
        <w:r>
          <w:rPr>
            <w:rFonts w:ascii="Calibri" w:hAnsi="Calibri" w:eastAsia="Calibri" w:cs="Calibri"/>
            <w:color w:val="2E74B5"/>
            <w:u w:val="single"/>
          </w:rPr>
          <w:t xml:space="preserve">https://psa.gov.ph/content/tagalog-most-widely-spoken-language-home-2020-census-population-and-housing</w:t>
        </w:r>
      </w:hyperlink>
    </w:p>
    <w:p>
      <w:pPr>
        <w:widowControl/>
      </w:pPr>
      <w:r>
        <w:t xml:space="preserve">Philippine Statistics Authority. (2023b). </w:t>
      </w:r>
      <w:r>
        <w:rPr>
          <w:rFonts w:ascii="Calibri" w:hAnsi="Calibri" w:eastAsia="Calibri" w:cs="Calibri"/>
          <w:i/>
        </w:rPr>
        <w:t>More than 50 million have access to the Internet (2020 Census of Population and Housing)</w:t>
      </w:r>
      <w:r>
        <w:t xml:space="preserve"> (Reference No. 2023-73). </w:t>
      </w:r>
      <w:hyperlink r:id="rId133">
        <w:r>
          <w:rPr>
            <w:rFonts w:ascii="Calibri" w:hAnsi="Calibri" w:eastAsia="Calibri" w:cs="Calibri"/>
            <w:color w:val="2E74B5"/>
            <w:u w:val="single"/>
          </w:rPr>
          <w:t xml:space="preserve">https://psa.gov.ph/content/more-50-million-have-access-internet-2020-census-population-and-housing</w:t>
        </w:r>
      </w:hyperlink>
    </w:p>
    <w:p>
      <w:pPr>
        <w:widowControl/>
      </w:pPr>
      <w:r>
        <w:t xml:space="preserve">Philippine Statistics Authority. (2025a). </w:t>
      </w:r>
      <w:r>
        <w:rPr>
          <w:rFonts w:ascii="Calibri" w:hAnsi="Calibri" w:eastAsia="Calibri" w:cs="Calibri"/>
          <w:i/>
        </w:rPr>
        <w:t>For every 10 Filipinos, 9 have basic literacy, while 7 have functional literacy</w:t>
      </w:r>
      <w:r>
        <w:t xml:space="preserve"> (Reference No. 2025-118). </w:t>
      </w:r>
      <w:hyperlink r:id="rId134">
        <w:r>
          <w:rPr>
            <w:rFonts w:ascii="Calibri" w:hAnsi="Calibri" w:eastAsia="Calibri" w:cs="Calibri"/>
            <w:color w:val="2E74B5"/>
            <w:u w:val="single"/>
          </w:rPr>
          <w:t xml:space="preserve">https://psa.gov.ph/content/every-10-filipinos-9-have-basic-literacy-while-7-have-functional-literacy</w:t>
        </w:r>
      </w:hyperlink>
    </w:p>
    <w:p>
      <w:pPr>
        <w:widowControl/>
      </w:pPr>
      <w:r>
        <w:t xml:space="preserve">Philippine Statistics Authority. (2025b). </w:t>
      </w:r>
      <w:r>
        <w:rPr>
          <w:rFonts w:ascii="Calibri" w:hAnsi="Calibri" w:eastAsia="Calibri" w:cs="Calibri"/>
          <w:i/>
        </w:rPr>
        <w:t>Percentage of households with internet connection increased to 48.8 percent in 2024; two in every three individuals aged 10 years and over used the internet</w:t>
      </w:r>
      <w:r>
        <w:t xml:space="preserve">. </w:t>
      </w:r>
      <w:hyperlink r:id="rId135">
        <w:r>
          <w:rPr>
            <w:rFonts w:ascii="Calibri" w:hAnsi="Calibri" w:eastAsia="Calibri" w:cs="Calibri"/>
            <w:color w:val="2E74B5"/>
            <w:u w:val="single"/>
          </w:rPr>
          <w:t xml:space="preserve">https://psa.gov.ph/content/percentage-households-internet-connection-increased-488-percent-2024-two-every-three</w:t>
        </w:r>
      </w:hyperlink>
    </w:p>
    <w:p>
      <w:pPr>
        <w:widowControl/>
      </w:pPr>
      <w:r>
        <w:t xml:space="preserve">Bureau of National Statistics of Kazakhstan. (2021). </w:t>
      </w:r>
      <w:r>
        <w:rPr>
          <w:rFonts w:ascii="Calibri" w:hAnsi="Calibri" w:eastAsia="Calibri" w:cs="Calibri"/>
          <w:i/>
        </w:rPr>
        <w:t>National composition, religion and language proficiency in the Republic of Kazakhstan</w:t>
      </w:r>
      <w:r>
        <w:t xml:space="preserve">. </w:t>
      </w:r>
      <w:hyperlink r:id="rId136">
        <w:r>
          <w:rPr>
            <w:rFonts w:ascii="Calibri" w:hAnsi="Calibri" w:eastAsia="Calibri" w:cs="Calibri"/>
            <w:color w:val="2E74B5"/>
            <w:u w:val="single"/>
          </w:rPr>
          <w:t xml:space="preserve">https://stat.gov.kz/en/national/2021/</w:t>
        </w:r>
      </w:hyperlink>
    </w:p>
    <w:p>
      <w:pPr>
        <w:widowControl/>
      </w:pPr>
      <w:r>
        <w:t xml:space="preserve">Government of Mongolia. (2020). </w:t>
      </w:r>
      <w:r>
        <w:rPr>
          <w:rFonts w:ascii="Calibri" w:hAnsi="Calibri" w:eastAsia="Calibri" w:cs="Calibri"/>
          <w:i/>
        </w:rPr>
        <w:t>Mongolian State Report on the implementation of the 1960 Convention and Recommendation against Discrimination in Education</w:t>
      </w:r>
      <w:r>
        <w:t xml:space="preserve">. </w:t>
      </w:r>
      <w:hyperlink r:id="rId137">
        <w:r>
          <w:rPr>
            <w:rFonts w:ascii="Calibri" w:hAnsi="Calibri" w:eastAsia="Calibri" w:cs="Calibri"/>
            <w:color w:val="2E74B5"/>
            <w:u w:val="single"/>
          </w:rPr>
          <w:t xml:space="preserve">https://media.unesco.org/sites/default/files/webform/r2e002/mongolian-state-report-on-the-implementation-of-the-1960-convention-and-recommendation-against-discrimination-in-education-15-nov-2020.pdf</w:t>
        </w:r>
      </w:hyperlink>
    </w:p>
    <w:p>
      <w:pPr>
        <w:widowControl/>
      </w:pPr>
      <w:r>
        <w:t xml:space="preserve">National Statistical Committee of the Kyrgyz Republic. (2024). </w:t>
      </w:r>
      <w:r>
        <w:rPr>
          <w:rFonts w:ascii="Calibri" w:hAnsi="Calibri" w:eastAsia="Calibri" w:cs="Calibri"/>
          <w:i/>
        </w:rPr>
        <w:t>Students in daytime general educational organizations by language of instruction</w:t>
      </w:r>
      <w:r>
        <w:t xml:space="preserve">. </w:t>
      </w:r>
      <w:hyperlink r:id="rId138">
        <w:r>
          <w:rPr>
            <w:rFonts w:ascii="Calibri" w:hAnsi="Calibri" w:eastAsia="Calibri" w:cs="Calibri"/>
            <w:color w:val="2E74B5"/>
            <w:u w:val="single"/>
          </w:rPr>
          <w:t xml:space="preserve">https://stat.gov.kg/kg/opendata/category/4263/</w:t>
        </w:r>
      </w:hyperlink>
    </w:p>
    <w:p>
      <w:pPr>
        <w:widowControl/>
      </w:pPr>
      <w:r>
        <w:t xml:space="preserve">State Committee of the Republic of Uzbekistan on Statistics. (2022). </w:t>
      </w:r>
      <w:r>
        <w:rPr>
          <w:rFonts w:ascii="Calibri" w:hAnsi="Calibri" w:eastAsia="Calibri" w:cs="Calibri"/>
          <w:i/>
        </w:rPr>
        <w:t>Main statistical indicators of the activity of general secondary educational institutions</w:t>
      </w:r>
      <w:r>
        <w:t xml:space="preserve">. </w:t>
      </w:r>
      <w:hyperlink r:id="rId139">
        <w:r>
          <w:rPr>
            <w:rFonts w:ascii="Calibri" w:hAnsi="Calibri" w:eastAsia="Calibri" w:cs="Calibri"/>
            <w:color w:val="2E74B5"/>
            <w:u w:val="single"/>
          </w:rPr>
          <w:t xml:space="preserve">https://stat.uz/images/umumtalim-eng-30_03_2022.pdf</w:t>
        </w:r>
      </w:hyperlink>
    </w:p>
    <w:p>
      <w:pPr>
        <w:widowControl/>
      </w:pPr>
      <w:r>
        <w:t xml:space="preserve">World Bank &amp; UNESCO Institute for Statistics. (2024). </w:t>
      </w:r>
      <w:r>
        <w:rPr>
          <w:rFonts w:ascii="Calibri" w:hAnsi="Calibri" w:eastAsia="Calibri" w:cs="Calibri"/>
          <w:i/>
        </w:rPr>
        <w:t>Learning Poverty Briefs: Kazakhstan, Kyrgyz Republic, Mongolia, and Uzbekistan</w:t>
      </w:r>
      <w:r>
        <w:t xml:space="preserve">. </w:t>
      </w:r>
      <w:hyperlink r:id="rId140">
        <w:r>
          <w:rPr>
            <w:rFonts w:ascii="Calibri" w:hAnsi="Calibri" w:eastAsia="Calibri" w:cs="Calibri"/>
            <w:color w:val="2E74B5"/>
            <w:u w:val="single"/>
          </w:rPr>
          <w:t xml:space="preserve">https://www.worldbank.org/en/topic/education/brief/learning-poverty</w:t>
        </w:r>
      </w:hyperlink>
    </w:p>
    <w:p>
      <w:pPr>
        <w:widowControl/>
      </w:pPr>
      <w:r>
        <w:t xml:space="preserve">Xinjiang Uyghur Autonomous Region Statistics Bureau. (2021). </w:t>
      </w:r>
      <w:r>
        <w:rPr>
          <w:rFonts w:ascii="Calibri" w:hAnsi="Calibri" w:eastAsia="Calibri" w:cs="Calibri"/>
          <w:i/>
        </w:rPr>
        <w:t>Seventh National Population Census Bulletin No. 1</w:t>
      </w:r>
      <w:r>
        <w:t xml:space="preserve">. </w:t>
      </w:r>
      <w:hyperlink r:id="rId141">
        <w:r>
          <w:rPr>
            <w:rFonts w:ascii="Calibri" w:hAnsi="Calibri" w:eastAsia="Calibri" w:cs="Calibri"/>
            <w:color w:val="2E74B5"/>
            <w:u w:val="single"/>
          </w:rPr>
          <w:t xml:space="preserve">https://tjj.xinjiang.gov.cn/tjj/tjgn/202106/e3605637963f4f7280654a6f07af0b0e.shtml</w:t>
        </w:r>
      </w:hyperlink>
    </w:p>
    <w:p>
      <w:pPr>
        <w:widowControl/>
      </w:pPr>
      <w:r>
        <w:t xml:space="preserve">Pakistan Bureau of Statistics. (2023a). </w:t>
      </w:r>
      <w:r>
        <w:rPr>
          <w:rFonts w:ascii="Calibri" w:hAnsi="Calibri" w:eastAsia="Calibri" w:cs="Calibri"/>
          <w:i/>
        </w:rPr>
        <w:t>Population by single year age, sex and rural/urban: Census 2023</w:t>
      </w:r>
      <w:r>
        <w:t xml:space="preserve"> (Table 4). </w:t>
      </w:r>
      <w:hyperlink r:id="rId142">
        <w:r>
          <w:rPr>
            <w:rFonts w:ascii="Calibri" w:hAnsi="Calibri" w:eastAsia="Calibri" w:cs="Calibri"/>
            <w:color w:val="2E74B5"/>
            <w:u w:val="single"/>
          </w:rPr>
          <w:t xml:space="preserve">https://www.pbs.gov.pk/wp-content/uploads/census_tables/tables/Table_4_national.pdf</w:t>
        </w:r>
      </w:hyperlink>
    </w:p>
    <w:p>
      <w:pPr>
        <w:widowControl/>
      </w:pPr>
      <w:r>
        <w:t xml:space="preserve">Pakistan Bureau of Statistics. (2023b). </w:t>
      </w:r>
      <w:r>
        <w:rPr>
          <w:rFonts w:ascii="Calibri" w:hAnsi="Calibri" w:eastAsia="Calibri" w:cs="Calibri"/>
          <w:i/>
        </w:rPr>
        <w:t>Population by mother tongue, sex and rural/urban: Census 2023</w:t>
      </w:r>
      <w:r>
        <w:t xml:space="preserve"> (Table 11). </w:t>
      </w:r>
      <w:hyperlink r:id="rId143">
        <w:r>
          <w:rPr>
            <w:rFonts w:ascii="Calibri" w:hAnsi="Calibri" w:eastAsia="Calibri" w:cs="Calibri"/>
            <w:color w:val="2E74B5"/>
            <w:u w:val="single"/>
          </w:rPr>
          <w:t xml:space="preserve">https://www.pbs.gov.pk/wp-content/uploads/census_tables/tables/table_11_national.pdf</w:t>
        </w:r>
      </w:hyperlink>
    </w:p>
    <w:p>
      <w:pPr>
        <w:widowControl/>
      </w:pPr>
      <w:r>
        <w:t xml:space="preserve">Pakistan Bureau of Statistics. (2023c). </w:t>
      </w:r>
      <w:r>
        <w:rPr>
          <w:rFonts w:ascii="Calibri" w:hAnsi="Calibri" w:eastAsia="Calibri" w:cs="Calibri"/>
          <w:i/>
        </w:rPr>
        <w:t>Literacy rate, enrolment and out-of-school population by sex and rural/urban: Census 2023</w:t>
      </w:r>
      <w:r>
        <w:t xml:space="preserve"> (Table 12). </w:t>
      </w:r>
      <w:hyperlink r:id="rId144">
        <w:r>
          <w:rPr>
            <w:rFonts w:ascii="Calibri" w:hAnsi="Calibri" w:eastAsia="Calibri" w:cs="Calibri"/>
            <w:color w:val="2E74B5"/>
            <w:u w:val="single"/>
          </w:rPr>
          <w:t xml:space="preserve">https://www.pbs.gov.pk/wp-content/uploads/census_tables/tables/table_12_national.pdf</w:t>
        </w:r>
      </w:hyperlink>
    </w:p>
    <w:p>
      <w:pPr>
        <w:widowControl/>
      </w:pPr>
      <w:r>
        <w:t xml:space="preserve">Higher Education Commission, Pakistan. (n.d.). </w:t>
      </w:r>
      <w:r>
        <w:rPr>
          <w:rFonts w:ascii="Calibri" w:hAnsi="Calibri" w:eastAsia="Calibri" w:cs="Calibri"/>
          <w:i/>
        </w:rPr>
        <w:t>Digital library frequently asked questions</w:t>
      </w:r>
      <w:r>
        <w:t xml:space="preserve">. Retrieved September 5, 2026, from </w:t>
      </w:r>
      <w:hyperlink r:id="rId145">
        <w:r>
          <w:rPr>
            <w:rFonts w:ascii="Calibri" w:hAnsi="Calibri" w:eastAsia="Calibri" w:cs="Calibri"/>
            <w:color w:val="2E74B5"/>
            <w:u w:val="single"/>
          </w:rPr>
          <w:t xml:space="preserve">https://www.hec.gov.pk/english/services/students/DL/Pages/FAQs.aspx</w:t>
        </w:r>
      </w:hyperlink>
    </w:p>
    <w:p>
      <w:pPr>
        <w:widowControl/>
      </w:pPr>
      <w:r>
        <w:t xml:space="preserve">Higher Education Commission, Pakistan. (2025). </w:t>
      </w:r>
      <w:r>
        <w:rPr>
          <w:rFonts w:ascii="Calibri" w:hAnsi="Calibri" w:eastAsia="Calibri" w:cs="Calibri"/>
          <w:i/>
        </w:rPr>
        <w:t>Annual report 2023-24</w:t>
      </w:r>
      <w:r>
        <w:t xml:space="preserve">. </w:t>
      </w:r>
      <w:hyperlink r:id="rId146">
        <w:r>
          <w:rPr>
            <w:rFonts w:ascii="Calibri" w:hAnsi="Calibri" w:eastAsia="Calibri" w:cs="Calibri"/>
            <w:color w:val="2E74B5"/>
            <w:u w:val="single"/>
          </w:rPr>
          <w:t xml:space="preserve">https://www.hec.gov.pk/english/news/AnnualReports/Annual-Report-2023-24.pdf</w:t>
        </w:r>
      </w:hyperlink>
    </w:p>
    <w:p>
      <w:pPr>
        <w:widowControl/>
      </w:pPr>
      <w:r>
        <w:t xml:space="preserve">Ministry of Human Rights, Pakistan. (2024). </w:t>
      </w:r>
      <w:r>
        <w:rPr>
          <w:rFonts w:ascii="Calibri" w:hAnsi="Calibri" w:eastAsia="Calibri" w:cs="Calibri"/>
          <w:i/>
        </w:rPr>
        <w:t>Year book 2022-23</w:t>
      </w:r>
      <w:r>
        <w:t xml:space="preserve">. </w:t>
      </w:r>
      <w:hyperlink r:id="rId147">
        <w:r>
          <w:rPr>
            <w:rFonts w:ascii="Calibri" w:hAnsi="Calibri" w:eastAsia="Calibri" w:cs="Calibri"/>
            <w:color w:val="2E74B5"/>
            <w:u w:val="single"/>
          </w:rPr>
          <w:t xml:space="preserve">https://mohr.gov.pk/SiteImage/Misc/files/Final%20Draft%20Year%20Book%202022-23%20ver%202nd%20April,%202024.pdf</w:t>
        </w:r>
      </w:hyperlink>
    </w:p>
    <w:p>
      <w:pPr>
        <w:widowControl/>
      </w:pPr>
      <w:r>
        <w:t xml:space="preserve">National Curriculum Council. (2025). </w:t>
      </w:r>
      <w:r>
        <w:rPr>
          <w:rFonts w:ascii="Calibri" w:hAnsi="Calibri" w:eastAsia="Calibri" w:cs="Calibri"/>
          <w:i/>
        </w:rPr>
        <w:t>Inclusive scheme of studies, version I</w:t>
      </w:r>
      <w:r>
        <w:t xml:space="preserve">. </w:t>
      </w:r>
      <w:hyperlink r:id="rId148">
        <w:r>
          <w:rPr>
            <w:rFonts w:ascii="Calibri" w:hAnsi="Calibri" w:eastAsia="Calibri" w:cs="Calibri"/>
            <w:color w:val="2E74B5"/>
            <w:u w:val="single"/>
          </w:rPr>
          <w:t xml:space="preserve">https://ncc.gov.pk/SiteImage/Misc/files/Inclusive%20Scheme%20of%20Studies%20Version%20I%281%29.pdf</w:t>
        </w:r>
      </w:hyperlink>
    </w:p>
    <w:p>
      <w:pPr>
        <w:widowControl/>
      </w:pPr>
      <w:r>
        <w:t xml:space="preserve">Pakistan Institute of Education. (2024a). </w:t>
      </w:r>
      <w:r>
        <w:rPr>
          <w:rFonts w:ascii="Calibri" w:hAnsi="Calibri" w:eastAsia="Calibri" w:cs="Calibri"/>
          <w:i/>
        </w:rPr>
        <w:t>Pakistan non-formal education statistics 2022-23</w:t>
      </w:r>
      <w:r>
        <w:t xml:space="preserve">. </w:t>
      </w:r>
      <w:hyperlink r:id="rId149">
        <w:r>
          <w:rPr>
            <w:rFonts w:ascii="Calibri" w:hAnsi="Calibri" w:eastAsia="Calibri" w:cs="Calibri"/>
            <w:color w:val="2E74B5"/>
            <w:u w:val="single"/>
          </w:rPr>
          <w:t xml:space="preserve">https://pie.gov.pk/SiteImage/Publication/NFE.pdf</w:t>
        </w:r>
      </w:hyperlink>
    </w:p>
    <w:p>
      <w:pPr>
        <w:widowControl/>
      </w:pPr>
      <w:r>
        <w:t xml:space="preserve">Pakistan Institute of Education. (2024b). </w:t>
      </w:r>
      <w:r>
        <w:rPr>
          <w:rFonts w:ascii="Calibri" w:hAnsi="Calibri" w:eastAsia="Calibri" w:cs="Calibri"/>
          <w:i/>
        </w:rPr>
        <w:t>National Achievement Test 2023: Findings report</w:t>
      </w:r>
      <w:r>
        <w:t xml:space="preserve">. </w:t>
      </w:r>
      <w:hyperlink r:id="rId150">
        <w:r>
          <w:rPr>
            <w:rFonts w:ascii="Calibri" w:hAnsi="Calibri" w:eastAsia="Calibri" w:cs="Calibri"/>
            <w:color w:val="2E74B5"/>
            <w:u w:val="single"/>
          </w:rPr>
          <w:t xml:space="preserve">https://pie.gov.pk/SiteImage/Downloads/NAT%202023%20Findings%20Report%2006.03.2024%20-Final-%20v6.pdf</w:t>
        </w:r>
      </w:hyperlink>
    </w:p>
    <w:p>
      <w:pPr>
        <w:widowControl/>
      </w:pPr>
      <w:r>
        <w:t xml:space="preserve">Uwezo Tanzania. (2019). </w:t>
      </w:r>
      <w:r>
        <w:rPr>
          <w:rFonts w:ascii="Calibri" w:hAnsi="Calibri" w:eastAsia="Calibri" w:cs="Calibri"/>
          <w:i/>
        </w:rPr>
        <w:t>Are our children learning? Tanzania learning assessment report</w:t>
      </w:r>
      <w:r>
        <w:t xml:space="preserve">. Twaweza East Africa. </w:t>
      </w:r>
      <w:hyperlink r:id="rId151">
        <w:r>
          <w:rPr>
            <w:rFonts w:ascii="Calibri" w:hAnsi="Calibri" w:eastAsia="Calibri" w:cs="Calibri"/>
            <w:color w:val="2E74B5"/>
            <w:u w:val="single"/>
          </w:rPr>
          <w:t xml:space="preserve">https://twaweza.org/wp-content/uploads/2021/01/Tanzania-Report-FINAL3-2019-13-12-2019-Print-Readyzm.pdf</w:t>
        </w:r>
      </w:hyperlink>
    </w:p>
    <w:p>
      <w:pPr>
        <w:widowControl/>
      </w:pPr>
      <w:r>
        <w:t xml:space="preserve">National Curriculum and Textbook Board. (2026). </w:t>
      </w:r>
      <w:r>
        <w:rPr>
          <w:rFonts w:ascii="Calibri" w:hAnsi="Calibri" w:eastAsia="Calibri" w:cs="Calibri"/>
          <w:i/>
        </w:rPr>
        <w:t>প্রাথমিক গণিত, দ্বিতীয় শ্রেণি [Primary mathematics, grade 2]</w:t>
      </w:r>
      <w:r>
        <w:t xml:space="preserve"> (2026 academic-year reprint). </w:t>
      </w:r>
      <w:hyperlink r:id="rId152">
        <w:r>
          <w:rPr>
            <w:rFonts w:ascii="Calibri" w:hAnsi="Calibri" w:eastAsia="Calibri" w:cs="Calibri"/>
            <w:color w:val="2E74B5"/>
            <w:u w:val="single"/>
          </w:rPr>
          <w:t xml:space="preserve">https://drive.egovcloud.gov.bd/index.php/s/VeBQB1ZuzSZPRBJ</w:t>
        </w:r>
      </w:hyperlink>
    </w:p>
    <w:p>
      <w:pPr>
        <w:widowControl/>
      </w:pPr>
      <w:r>
        <w:t xml:space="preserve">Merunka, V., van Steenbergen, J., Yordanova, L., &amp; Kocór, M. (2019). The Interslavic language as a tool for supporting e-democracy in Central and Eastern Europe. </w:t>
      </w:r>
      <w:r>
        <w:rPr>
          <w:rFonts w:ascii="Calibri" w:hAnsi="Calibri" w:eastAsia="Calibri" w:cs="Calibri"/>
          <w:i/>
        </w:rPr>
        <w:t>International Journal of Electronic Governance, 11</w:t>
      </w:r>
      <w:r>
        <w:t xml:space="preserve">(3/4), 260-288. </w:t>
      </w:r>
      <w:hyperlink r:id="rId153">
        <w:r>
          <w:rPr>
            <w:rFonts w:ascii="Calibri" w:hAnsi="Calibri" w:eastAsia="Calibri" w:cs="Calibri"/>
            <w:color w:val="2E74B5"/>
            <w:u w:val="single"/>
          </w:rPr>
          <w:t xml:space="preserve">https://interslavic-language.org/doc/ijeg-2019-interslavic.pdf</w:t>
        </w:r>
      </w:hyperlink>
    </w:p>
    <w:p>
      <w:pPr>
        <w:widowControl/>
      </w:pPr>
      <w:r>
        <w:t xml:space="preserve">Khan Academy. (n.d.). </w:t>
      </w:r>
      <w:r>
        <w:rPr>
          <w:rFonts w:ascii="Calibri" w:hAnsi="Calibri" w:eastAsia="Calibri" w:cs="Calibri"/>
          <w:i/>
        </w:rPr>
        <w:t>Early mathematics: Counting</w:t>
      </w:r>
      <w:r>
        <w:t xml:space="preserve"> [Bangla learning materials]. </w:t>
      </w:r>
      <w:hyperlink r:id="rId154">
        <w:r>
          <w:rPr>
            <w:rFonts w:ascii="Calibri" w:hAnsi="Calibri" w:eastAsia="Calibri" w:cs="Calibri"/>
            <w:color w:val="2E74B5"/>
            <w:u w:val="single"/>
          </w:rPr>
          <w:t xml:space="preserve">https://bn.khanacademy.org/math/early-math/cc-early-math-counting-topic</w:t>
        </w:r>
      </w:hyperlink>
    </w:p>
    <w:p>
      <w:pPr>
        <w:widowControl/>
      </w:pPr>
      <w:r>
        <w:t xml:space="preserve">National Institute of Statistics of Rwanda. (2023). </w:t>
      </w:r>
      <w:r>
        <w:rPr>
          <w:rFonts w:ascii="Calibri" w:hAnsi="Calibri" w:eastAsia="Calibri" w:cs="Calibri"/>
          <w:i/>
        </w:rPr>
        <w:t>Fifth Rwanda Population and Housing Census: Education characteristics of population</w:t>
      </w:r>
      <w:r>
        <w:t xml:space="preserve">. Tables 7.7, C.25 and C.31. </w:t>
      </w:r>
      <w:hyperlink r:id="rId155">
        <w:r>
          <w:rPr>
            <w:rFonts w:ascii="Calibri" w:hAnsi="Calibri" w:eastAsia="Calibri" w:cs="Calibri"/>
            <w:color w:val="2E74B5"/>
            <w:u w:val="single"/>
          </w:rPr>
          <w:t xml:space="preserve">https://statistics.gov.rw/sites/default/files/documents/2025-02/Education.pdf</w:t>
        </w:r>
      </w:hyperlink>
    </w:p>
    <w:p>
      <w:pPr>
        <w:widowControl/>
      </w:pPr>
      <w:r>
        <w:t xml:space="preserve">Rwanda Basic Education Board. (n.d.). </w:t>
      </w:r>
      <w:r>
        <w:rPr>
          <w:rFonts w:ascii="Calibri" w:hAnsi="Calibri" w:eastAsia="Calibri" w:cs="Calibri"/>
          <w:i/>
        </w:rPr>
        <w:t>Translated books are now available for students and teachers</w:t>
      </w:r>
      <w:r>
        <w:t xml:space="preserve">. </w:t>
      </w:r>
      <w:hyperlink r:id="rId156">
        <w:r>
          <w:rPr>
            <w:rFonts w:ascii="Calibri" w:hAnsi="Calibri" w:eastAsia="Calibri" w:cs="Calibri"/>
            <w:color w:val="2E74B5"/>
            <w:u w:val="single"/>
          </w:rPr>
          <w:t xml:space="preserve">https://www.reb.gov.rw/news-detail/translated-books-are-now-available-for-students-and-teachers</w:t>
        </w:r>
      </w:hyperlink>
    </w:p>
    <w:p>
      <w:pPr>
        <w:widowControl/>
      </w:pPr>
      <w:r>
        <w:t xml:space="preserve">Federated States of Micronesia Statistics. (2024). </w:t>
      </w:r>
      <w:r>
        <w:rPr>
          <w:rFonts w:ascii="Calibri" w:hAnsi="Calibri" w:eastAsia="Calibri" w:cs="Calibri"/>
          <w:i/>
        </w:rPr>
        <w:t>2023 FSM municipality workbook</w:t>
      </w:r>
      <w:r>
        <w:t xml:space="preserve">. </w:t>
      </w:r>
      <w:hyperlink r:id="rId157">
        <w:r>
          <w:rPr>
            <w:rFonts w:ascii="Calibri" w:hAnsi="Calibri" w:eastAsia="Calibri" w:cs="Calibri"/>
            <w:color w:val="2E74B5"/>
            <w:u w:val="single"/>
          </w:rPr>
          <w:t xml:space="preserve">https://www.pacificweb.org/library/preview.php?file=fsm/states/2023FSMMunicipality.xlsx</w:t>
        </w:r>
      </w:hyperlink>
    </w:p>
    <w:p>
      <w:pPr>
        <w:widowControl/>
      </w:pPr>
      <w:r>
        <w:t xml:space="preserve">Government of Alberta. (n.d.). </w:t>
      </w:r>
      <w:r>
        <w:rPr>
          <w:rFonts w:ascii="Calibri" w:hAnsi="Calibri" w:eastAsia="Calibri" w:cs="Calibri"/>
          <w:i/>
        </w:rPr>
        <w:t>Plains Cree Y-dialect Grade 7-9 guide to implementation</w:t>
      </w:r>
      <w:r>
        <w:t xml:space="preserve"> [Draft guide]. </w:t>
      </w:r>
      <w:hyperlink r:id="rId158">
        <w:r>
          <w:rPr>
            <w:rFonts w:ascii="Calibri" w:hAnsi="Calibri" w:eastAsia="Calibri" w:cs="Calibri"/>
            <w:color w:val="2E74B5"/>
            <w:u w:val="single"/>
          </w:rPr>
          <w:t xml:space="preserve">https://open.alberta.ca/dataset/ac9f2505-2b2d-4e4f-919e-41769c41d6ca/resource/4c805ee1-02bf-4721-a62e-c78ba6875038/download/cree-12y-guide-to-implementation-7-9-draft.pdf</w:t>
        </w:r>
      </w:hyperlink>
    </w:p>
    <w:p>
      <w:pPr>
        <w:widowControl/>
      </w:pPr>
      <w:r>
        <w:t xml:space="preserve">Government of Nunavut. (2024). </w:t>
      </w:r>
      <w:r>
        <w:rPr>
          <w:rFonts w:ascii="Calibri" w:hAnsi="Calibri" w:eastAsia="Calibri" w:cs="Calibri"/>
          <w:i/>
        </w:rPr>
        <w:t>Department of Education annual report 2022-23</w:t>
      </w:r>
      <w:r>
        <w:t xml:space="preserve">. </w:t>
      </w:r>
      <w:hyperlink r:id="rId159">
        <w:r>
          <w:rPr>
            <w:rFonts w:ascii="Calibri" w:hAnsi="Calibri" w:eastAsia="Calibri" w:cs="Calibri"/>
            <w:color w:val="2E74B5"/>
            <w:u w:val="single"/>
          </w:rPr>
          <w:t xml:space="preserve">https://www.assembly.nu.ca/sites/default/files/2024-11/EDU%20Annual%20Report%202022-23%20EN.pdf</w:t>
        </w:r>
      </w:hyperlink>
    </w:p>
    <w:p>
      <w:pPr>
        <w:widowControl/>
      </w:pPr>
      <w:r>
        <w:t xml:space="preserve">Government of Nunavut. (2025). </w:t>
      </w:r>
      <w:r>
        <w:rPr>
          <w:rFonts w:ascii="Calibri" w:hAnsi="Calibri" w:eastAsia="Calibri" w:cs="Calibri"/>
          <w:i/>
        </w:rPr>
        <w:t>Department of Education annual report 2023-24</w:t>
      </w:r>
      <w:r>
        <w:t xml:space="preserve">. </w:t>
      </w:r>
      <w:hyperlink r:id="rId160">
        <w:r>
          <w:rPr>
            <w:rFonts w:ascii="Calibri" w:hAnsi="Calibri" w:eastAsia="Calibri" w:cs="Calibri"/>
            <w:color w:val="2E74B5"/>
            <w:u w:val="single"/>
          </w:rPr>
          <w:t xml:space="preserve">https://www.assembly.nu.ca/sites/default/files/2025-09/TD-463-6(2)-EN-Education%20Annual%20Report%202023-24.pdf</w:t>
        </w:r>
      </w:hyperlink>
    </w:p>
    <w:p>
      <w:pPr>
        <w:widowControl/>
      </w:pPr>
      <w:r>
        <w:t xml:space="preserve">Guatemala Instituto Nacional de Estadística. (2019). </w:t>
      </w:r>
      <w:r>
        <w:rPr>
          <w:rFonts w:ascii="Calibri" w:hAnsi="Calibri" w:eastAsia="Calibri" w:cs="Calibri"/>
          <w:i/>
        </w:rPr>
        <w:t>XII Censo Nacional de Población y VII de Vivienda: Principales resultados</w:t>
      </w:r>
      <w:r>
        <w:t xml:space="preserve">. </w:t>
      </w:r>
      <w:hyperlink r:id="rId161">
        <w:r>
          <w:rPr>
            <w:rFonts w:ascii="Calibri" w:hAnsi="Calibri" w:eastAsia="Calibri" w:cs="Calibri"/>
            <w:color w:val="2E74B5"/>
            <w:u w:val="single"/>
          </w:rPr>
          <w:t xml:space="preserve">https://censo2018.ine.gob.gt/archivos/Principales_resultados_Censo2018.pdf</w:t>
        </w:r>
      </w:hyperlink>
    </w:p>
    <w:p>
      <w:pPr>
        <w:widowControl/>
      </w:pPr>
      <w:r>
        <w:t xml:space="preserve">Guatemala Ministry of Education. (2022). </w:t>
      </w:r>
      <w:r>
        <w:rPr>
          <w:rFonts w:ascii="Calibri" w:hAnsi="Calibri" w:eastAsia="Calibri" w:cs="Calibri"/>
          <w:i/>
        </w:rPr>
        <w:t>Memoria de labores 2022</w:t>
      </w:r>
      <w:r>
        <w:t xml:space="preserve">. </w:t>
      </w:r>
      <w:hyperlink r:id="rId162">
        <w:r>
          <w:rPr>
            <w:rFonts w:ascii="Calibri" w:hAnsi="Calibri" w:eastAsia="Calibri" w:cs="Calibri"/>
            <w:color w:val="2E74B5"/>
            <w:u w:val="single"/>
          </w:rPr>
          <w:t xml:space="preserve">https://edu.mineduc.gob.gt/documents/memoriaLabores/Memoria_de_Labores_2022.pdf</w:t>
        </w:r>
      </w:hyperlink>
    </w:p>
    <w:p>
      <w:pPr>
        <w:widowControl/>
      </w:pPr>
      <w:r>
        <w:t xml:space="preserve">Institut Haïtien de Statistique et d’Informatique. (2024). </w:t>
      </w:r>
      <w:r>
        <w:rPr>
          <w:rFonts w:ascii="Calibri" w:hAnsi="Calibri" w:eastAsia="Calibri" w:cs="Calibri"/>
          <w:i/>
        </w:rPr>
        <w:t>Projections et estimations de la population</w:t>
      </w:r>
      <w:r>
        <w:t xml:space="preserve">. </w:t>
      </w:r>
      <w:hyperlink r:id="rId163">
        <w:r>
          <w:rPr>
            <w:rFonts w:ascii="Calibri" w:hAnsi="Calibri" w:eastAsia="Calibri" w:cs="Calibri"/>
            <w:color w:val="2E74B5"/>
            <w:u w:val="single"/>
          </w:rPr>
          <w:t xml:space="preserve">https://www.ihsi.gouv.ht/statistiques/statistiques_demographiques_et_sociales/projections_et_estimations_de_la_population</w:t>
        </w:r>
      </w:hyperlink>
    </w:p>
    <w:p>
      <w:pPr>
        <w:widowControl/>
      </w:pPr>
      <w:r>
        <w:t xml:space="preserve">Marshall Islands Economic Policy, Planning and Statistics Office. (2022). </w:t>
      </w:r>
      <w:r>
        <w:rPr>
          <w:rFonts w:ascii="Calibri" w:hAnsi="Calibri" w:eastAsia="Calibri" w:cs="Calibri"/>
          <w:i/>
        </w:rPr>
        <w:t>2021 census report</w:t>
      </w:r>
      <w:r>
        <w:t xml:space="preserve">. </w:t>
      </w:r>
      <w:hyperlink r:id="rId164">
        <w:r>
          <w:rPr>
            <w:rFonts w:ascii="Calibri" w:hAnsi="Calibri" w:eastAsia="Calibri" w:cs="Calibri"/>
            <w:color w:val="2E74B5"/>
            <w:u w:val="single"/>
          </w:rPr>
          <w:t xml:space="preserve">https://prdrse4all.spc.int/sites/default/files/marshall_islands_census_report_2021.pdf</w:t>
        </w:r>
      </w:hyperlink>
    </w:p>
    <w:p>
      <w:pPr>
        <w:widowControl/>
      </w:pPr>
      <w:r>
        <w:t xml:space="preserve">Paraguay Instituto Nacional de Estadística. (2022). </w:t>
      </w:r>
      <w:r>
        <w:rPr>
          <w:rFonts w:ascii="Calibri" w:hAnsi="Calibri" w:eastAsia="Calibri" w:cs="Calibri"/>
          <w:i/>
        </w:rPr>
        <w:t>Día Internacional de la Lengua Materna: EPHC 2022</w:t>
      </w:r>
      <w:r>
        <w:t xml:space="preserve">. </w:t>
      </w:r>
      <w:hyperlink r:id="rId165">
        <w:r>
          <w:rPr>
            <w:rFonts w:ascii="Calibri" w:hAnsi="Calibri" w:eastAsia="Calibri" w:cs="Calibri"/>
            <w:color w:val="2E74B5"/>
            <w:u w:val="single"/>
          </w:rPr>
          <w:t xml:space="preserve">https://www.ine.gov.py/ende/contenido.php?c=1484&amp;title=21_de_febrero,_D%C3%ADa_Internacional_de_la_Lengua_Materna</w:t>
        </w:r>
      </w:hyperlink>
    </w:p>
    <w:p>
      <w:pPr>
        <w:widowControl/>
      </w:pPr>
      <w:r>
        <w:t xml:space="preserve">Paraguay Ministry of Education. (2022). </w:t>
      </w:r>
      <w:r>
        <w:rPr>
          <w:rFonts w:ascii="Calibri" w:hAnsi="Calibri" w:eastAsia="Calibri" w:cs="Calibri"/>
          <w:i/>
        </w:rPr>
        <w:t>Plan Nacional de Transformación Educativa Paraguay 2040</w:t>
      </w:r>
      <w:r>
        <w:t xml:space="preserve">. </w:t>
      </w:r>
      <w:hyperlink r:id="rId166">
        <w:r>
          <w:rPr>
            <w:rFonts w:ascii="Calibri" w:hAnsi="Calibri" w:eastAsia="Calibri" w:cs="Calibri"/>
            <w:color w:val="2E74B5"/>
            <w:u w:val="single"/>
          </w:rPr>
          <w:t xml:space="preserve">https://siteal.iiep.unesco.org/sites/default/files/sit_accion_files/plan_nacional_de_transformacion_educativa_paraguay_2040.pdf</w:t>
        </w:r>
      </w:hyperlink>
    </w:p>
    <w:p>
      <w:pPr>
        <w:widowControl/>
      </w:pPr>
      <w:r>
        <w:t xml:space="preserve">Peru Ministry of Education. (2018). </w:t>
      </w:r>
      <w:r>
        <w:rPr>
          <w:rFonts w:ascii="Calibri" w:hAnsi="Calibri" w:eastAsia="Calibri" w:cs="Calibri"/>
          <w:i/>
        </w:rPr>
        <w:t>Resultados 2018: Evaluación Censal y Muestral de Estudiantes</w:t>
      </w:r>
      <w:r>
        <w:t xml:space="preserve">. </w:t>
      </w:r>
      <w:hyperlink r:id="rId167">
        <w:r>
          <w:rPr>
            <w:rFonts w:ascii="Calibri" w:hAnsi="Calibri" w:eastAsia="Calibri" w:cs="Calibri"/>
            <w:color w:val="2E74B5"/>
            <w:u w:val="single"/>
          </w:rPr>
          <w:t xml:space="preserve">https://repositorio.minedu.gob.pe/bitstream/handle/20.500.12799/6562/Resultados%202018%20Evaluaci%C3%B3n%20Censal%20de%20Estudiantes%20y%20Evaluaci%C3%B3n%20Muestral%20de%20Estudiantes%20evaluaciones%20de%20logros%20de%20aprendizaje.pdf?isAllowed=y&amp;sequence=1</w:t>
        </w:r>
      </w:hyperlink>
    </w:p>
    <w:p>
      <w:pPr>
        <w:widowControl/>
      </w:pPr>
      <w:r>
        <w:t xml:space="preserve">Solomon Islands National Statistics Office. (2023). </w:t>
      </w:r>
      <w:r>
        <w:rPr>
          <w:rFonts w:ascii="Calibri" w:hAnsi="Calibri" w:eastAsia="Calibri" w:cs="Calibri"/>
          <w:i/>
        </w:rPr>
        <w:t>English is Solomon Islands’ most predominant language in communication</w:t>
      </w:r>
      <w:r>
        <w:t xml:space="preserve">. </w:t>
      </w:r>
      <w:hyperlink r:id="rId168">
        <w:r>
          <w:rPr>
            <w:rFonts w:ascii="Calibri" w:hAnsi="Calibri" w:eastAsia="Calibri" w:cs="Calibri"/>
            <w:color w:val="2E74B5"/>
            <w:u w:val="single"/>
          </w:rPr>
          <w:t xml:space="preserve">https://statistics.gov.sb/english-is-solomon-islands-most-predominant-language-in-communication/</w:t>
        </w:r>
      </w:hyperlink>
    </w:p>
    <w:p>
      <w:pPr>
        <w:widowControl/>
      </w:pPr>
      <w:r>
        <w:t xml:space="preserve">State of Hawaiʻi Department of Business, Economic Development &amp; Tourism. (2019). </w:t>
      </w:r>
      <w:r>
        <w:rPr>
          <w:rFonts w:ascii="Calibri" w:hAnsi="Calibri" w:eastAsia="Calibri" w:cs="Calibri"/>
          <w:i/>
        </w:rPr>
        <w:t>State of Hawaii Data Book 2018, Section 1</w:t>
      </w:r>
      <w:r>
        <w:t xml:space="preserve">. </w:t>
      </w:r>
      <w:hyperlink r:id="rId169">
        <w:r>
          <w:rPr>
            <w:rFonts w:ascii="Calibri" w:hAnsi="Calibri" w:eastAsia="Calibri" w:cs="Calibri"/>
            <w:color w:val="2E74B5"/>
            <w:u w:val="single"/>
          </w:rPr>
          <w:t xml:space="preserve">https://files.hawaii.gov/dbedt/economic/databook/db2018/section01.pdf</w:t>
        </w:r>
      </w:hyperlink>
    </w:p>
    <w:p>
      <w:pPr>
        <w:widowControl/>
      </w:pPr>
      <w:r>
        <w:t xml:space="preserve">Statistics Canada. (2025a). </w:t>
      </w:r>
      <w:r>
        <w:rPr>
          <w:rFonts w:ascii="Calibri" w:hAnsi="Calibri" w:eastAsia="Calibri" w:cs="Calibri"/>
          <w:i/>
        </w:rPr>
        <w:t>Algonquian languages, 2021 Census</w:t>
      </w:r>
      <w:r>
        <w:t xml:space="preserve">. </w:t>
      </w:r>
      <w:hyperlink r:id="rId170">
        <w:r>
          <w:rPr>
            <w:rFonts w:ascii="Calibri" w:hAnsi="Calibri" w:eastAsia="Calibri" w:cs="Calibri"/>
            <w:color w:val="2E74B5"/>
            <w:u w:val="single"/>
          </w:rPr>
          <w:t xml:space="preserve">https://www150.statcan.gc.ca/n1/pub/41-20-0002/412000022025002-eng.htm</w:t>
        </w:r>
      </w:hyperlink>
    </w:p>
    <w:p>
      <w:pPr>
        <w:widowControl/>
      </w:pPr>
      <w:r>
        <w:t xml:space="preserve">Statistics Canada. (2025b). </w:t>
      </w:r>
      <w:r>
        <w:rPr>
          <w:rFonts w:ascii="Calibri" w:hAnsi="Calibri" w:eastAsia="Calibri" w:cs="Calibri"/>
          <w:i/>
        </w:rPr>
        <w:t>Inuktut languages, 2021 Census</w:t>
      </w:r>
      <w:r>
        <w:t xml:space="preserve">. </w:t>
      </w:r>
      <w:hyperlink r:id="rId171">
        <w:r>
          <w:rPr>
            <w:rFonts w:ascii="Calibri" w:hAnsi="Calibri" w:eastAsia="Calibri" w:cs="Calibri"/>
            <w:color w:val="2E74B5"/>
            <w:u w:val="single"/>
          </w:rPr>
          <w:t xml:space="preserve">https://www150.statcan.gc.ca/n1/pub/41-20-0002/412000022025004-eng.htm</w:t>
        </w:r>
      </w:hyperlink>
    </w:p>
    <w:p>
      <w:pPr>
        <w:widowControl/>
      </w:pPr>
      <w:r>
        <w:t xml:space="preserve">Statistics Greenland. (2026). </w:t>
      </w:r>
      <w:r>
        <w:rPr>
          <w:rFonts w:ascii="Calibri" w:hAnsi="Calibri" w:eastAsia="Calibri" w:cs="Calibri"/>
          <w:i/>
        </w:rPr>
        <w:t>Befolkningsstatus 1. januar 2026</w:t>
      </w:r>
      <w:r>
        <w:t xml:space="preserve">. </w:t>
      </w:r>
      <w:hyperlink r:id="rId172">
        <w:r>
          <w:rPr>
            <w:rFonts w:ascii="Calibri" w:hAnsi="Calibri" w:eastAsia="Calibri" w:cs="Calibri"/>
            <w:color w:val="2E74B5"/>
            <w:u w:val="single"/>
          </w:rPr>
          <w:t xml:space="preserve">https://stat.gl/publ/da/BE/202601/oversigt/Befolkningsstatus.htm</w:t>
        </w:r>
      </w:hyperlink>
    </w:p>
    <w:p>
      <w:pPr>
        <w:widowControl/>
      </w:pPr>
      <w:r>
        <w:t xml:space="preserve">Stats NZ. (2024). </w:t>
      </w:r>
      <w:r>
        <w:rPr>
          <w:rFonts w:ascii="Calibri" w:hAnsi="Calibri" w:eastAsia="Calibri" w:cs="Calibri"/>
          <w:i/>
        </w:rPr>
        <w:t>2023 Census ethnic-group summary: Māori</w:t>
      </w:r>
      <w:r>
        <w:t xml:space="preserve">. </w:t>
      </w:r>
      <w:hyperlink r:id="rId173">
        <w:r>
          <w:rPr>
            <w:rFonts w:ascii="Calibri" w:hAnsi="Calibri" w:eastAsia="Calibri" w:cs="Calibri"/>
            <w:color w:val="2E74B5"/>
            <w:u w:val="single"/>
          </w:rPr>
          <w:t xml:space="preserve">https://tools.summaries.stats.govt.nz/ethnic-group/maori</w:t>
        </w:r>
      </w:hyperlink>
    </w:p>
    <w:p>
      <w:pPr>
        <w:widowControl/>
      </w:pPr>
      <w:r>
        <w:t xml:space="preserve">UNICEF. (2025). </w:t>
      </w:r>
      <w:r>
        <w:rPr>
          <w:rFonts w:ascii="Calibri" w:hAnsi="Calibri" w:eastAsia="Calibri" w:cs="Calibri"/>
          <w:i/>
        </w:rPr>
        <w:t>Haiti’s children confront a polycrisis</w:t>
      </w:r>
      <w:r>
        <w:t xml:space="preserve">. </w:t>
      </w:r>
      <w:hyperlink r:id="rId174">
        <w:r>
          <w:rPr>
            <w:rFonts w:ascii="Calibri" w:hAnsi="Calibri" w:eastAsia="Calibri" w:cs="Calibri"/>
            <w:color w:val="2E74B5"/>
            <w:u w:val="single"/>
          </w:rPr>
          <w:t xml:space="preserve">https://www.unicef.org/child-alert/haitis-children-confront-polycrisis</w:t>
        </w:r>
      </w:hyperlink>
    </w:p>
    <w:p>
      <w:pPr>
        <w:widowControl/>
      </w:pPr>
      <w:r>
        <w:t xml:space="preserve">World Bank. (2015). </w:t>
      </w:r>
      <w:r>
        <w:rPr>
          <w:rFonts w:ascii="Calibri" w:hAnsi="Calibri" w:eastAsia="Calibri" w:cs="Calibri"/>
          <w:i/>
        </w:rPr>
        <w:t>Why do students learn so little? Seeking answers inside Haiti’s classrooms</w:t>
      </w:r>
      <w:r>
        <w:t xml:space="preserve">. </w:t>
      </w:r>
      <w:hyperlink r:id="rId175">
        <w:r>
          <w:rPr>
            <w:rFonts w:ascii="Calibri" w:hAnsi="Calibri" w:eastAsia="Calibri" w:cs="Calibri"/>
            <w:color w:val="2E74B5"/>
            <w:u w:val="single"/>
          </w:rPr>
          <w:t xml:space="preserve">https://files.eric.ed.gov/fulltext/ED573569.pdf</w:t>
        </w:r>
      </w:hyperlink>
    </w:p>
    <w:p>
      <w:pPr>
        <w:widowControl/>
      </w:pPr>
      <w:r>
        <w:t xml:space="preserve">World Bank. (2019). </w:t>
      </w:r>
      <w:r>
        <w:rPr>
          <w:rFonts w:ascii="Calibri" w:hAnsi="Calibri" w:eastAsia="Calibri" w:cs="Calibri"/>
          <w:i/>
        </w:rPr>
        <w:t>Solomon Islands early grade reading assessment results report</w:t>
      </w:r>
      <w:r>
        <w:t xml:space="preserve">. </w:t>
      </w:r>
      <w:hyperlink r:id="rId176">
        <w:r>
          <w:rPr>
            <w:rFonts w:ascii="Calibri" w:hAnsi="Calibri" w:eastAsia="Calibri" w:cs="Calibri"/>
            <w:color w:val="2E74B5"/>
            <w:u w:val="single"/>
          </w:rPr>
          <w:t xml:space="preserve">https://documents1.worldbank.org/curated/en/178621563252790030/pdf/Solomon-Islands-Early-Grade-Reading-Assessment-Results-Report.pdf</w:t>
        </w:r>
      </w:hyperlink>
    </w:p>
    <w:p>
      <w:pPr>
        <w:widowControl/>
      </w:pPr>
      <w:r>
        <w:t xml:space="preserve">Coordination for the Improvement of Higher Education Personnel. (2025). </w:t>
      </w:r>
      <w:r>
        <w:rPr>
          <w:rFonts w:ascii="Calibri" w:hAnsi="Calibri" w:eastAsia="Calibri" w:cs="Calibri"/>
          <w:i/>
        </w:rPr>
        <w:t>Metadata for stricto sensu postgraduate students in Brazil, 2021-2024</w:t>
      </w:r>
      <w:r>
        <w:t xml:space="preserve">. </w:t>
      </w:r>
      <w:hyperlink r:id="rId177">
        <w:r>
          <w:rPr>
            <w:rFonts w:ascii="Calibri" w:hAnsi="Calibri" w:eastAsia="Calibri" w:cs="Calibri"/>
            <w:color w:val="2E74B5"/>
            <w:u w:val="single"/>
          </w:rPr>
          <w:t xml:space="preserve">https://dadosabertos.capes.gov.br/dataset/c6bd4dca-a0fb-499a-9f7f-df0740563333/resource/70633e5c-5294-4cd4-abea-79341c63e406/download/metadados_discentes_pos_graduacao_2021_2024.pdf</w:t>
        </w:r>
      </w:hyperlink>
    </w:p>
    <w:p>
      <w:pPr>
        <w:widowControl/>
      </w:pPr>
      <w:r>
        <w:t xml:space="preserve">Federal Senate of Brazil. (2021). </w:t>
      </w:r>
      <w:r>
        <w:rPr>
          <w:rFonts w:ascii="Calibri" w:hAnsi="Calibri" w:eastAsia="Calibri" w:cs="Calibri"/>
          <w:i/>
        </w:rPr>
        <w:t>Law No. 14,191 of 3 August 2021: Bilingual education for deaf people</w:t>
      </w:r>
      <w:r>
        <w:t xml:space="preserve">. </w:t>
      </w:r>
      <w:hyperlink r:id="rId178">
        <w:r>
          <w:rPr>
            <w:rFonts w:ascii="Calibri" w:hAnsi="Calibri" w:eastAsia="Calibri" w:cs="Calibri"/>
            <w:color w:val="2E74B5"/>
            <w:u w:val="single"/>
          </w:rPr>
          <w:t xml:space="preserve">https://legis.senado.gov.br/norma/34639654</w:t>
        </w:r>
      </w:hyperlink>
    </w:p>
    <w:p>
      <w:pPr>
        <w:widowControl/>
      </w:pPr>
      <w:r>
        <w:t xml:space="preserve">Brazilian Institute of Geography and Statistics. (2025a). </w:t>
      </w:r>
      <w:r>
        <w:rPr>
          <w:rFonts w:ascii="Calibri" w:hAnsi="Calibri" w:eastAsia="Calibri" w:cs="Calibri"/>
          <w:i/>
        </w:rPr>
        <w:t>2022 Demographic Census: Indigenous ethnicities and languages-Supplementary Table 21</w:t>
      </w:r>
      <w:r>
        <w:t xml:space="preserve"> [Data set]. </w:t>
      </w:r>
      <w:hyperlink r:id="rId179">
        <w:r>
          <w:rPr>
            <w:rFonts w:ascii="Calibri" w:hAnsi="Calibri" w:eastAsia="Calibri" w:cs="Calibri"/>
            <w:color w:val="2E74B5"/>
            <w:u w:val="single"/>
          </w:rPr>
          <w:t xml:space="preserve">https://ftp.ibge.gov.br/Censos/Censo_Demografico_2022/Etnias_e_Linguas_Indigenas_principais_caracteristicas_sociodemograficas_Resultados_do_universo/Tabelas_complementares/xlsx/Tabela_complementar_21.xlsx</w:t>
        </w:r>
      </w:hyperlink>
    </w:p>
    <w:p>
      <w:pPr>
        <w:widowControl/>
      </w:pPr>
      <w:r>
        <w:t xml:space="preserve">Brazilian Institute of Geography and Statistics. (2025b). </w:t>
      </w:r>
      <w:r>
        <w:rPr>
          <w:rFonts w:ascii="Calibri" w:hAnsi="Calibri" w:eastAsia="Calibri" w:cs="Calibri"/>
          <w:i/>
        </w:rPr>
        <w:t>2022 Demographic Census: Indigenous ethnicities and languages-Selected Tables 7-9</w:t>
      </w:r>
      <w:r>
        <w:t xml:space="preserve"> [Data set]. </w:t>
      </w:r>
      <w:hyperlink r:id="rId180">
        <w:r>
          <w:rPr>
            <w:rFonts w:ascii="Calibri" w:hAnsi="Calibri" w:eastAsia="Calibri" w:cs="Calibri"/>
            <w:color w:val="2E74B5"/>
            <w:u w:val="single"/>
          </w:rPr>
          <w:t xml:space="preserve">https://ftp.ibge.gov.br/Censos/Censo_Demografico_2022/Etnias_e_Linguas_Indigenas_principais_caracteristicas_sociodemograficas_Resultados_do_universo/Tabelas_selecionadas/xlsx/</w:t>
        </w:r>
      </w:hyperlink>
    </w:p>
    <w:p>
      <w:pPr>
        <w:widowControl/>
      </w:pPr>
      <w:r>
        <w:t xml:space="preserve">Brazilian Institute of Geography and Statistics. (2025c). </w:t>
      </w:r>
      <w:r>
        <w:rPr>
          <w:rFonts w:ascii="Calibri" w:hAnsi="Calibri" w:eastAsia="Calibri" w:cs="Calibri"/>
          <w:i/>
        </w:rPr>
        <w:t>2022 Demographic Census: Indigenous people-Literacy</w:t>
      </w:r>
      <w:r>
        <w:t xml:space="preserve">. </w:t>
      </w:r>
      <w:hyperlink r:id="rId181">
        <w:r>
          <w:rPr>
            <w:rFonts w:ascii="Calibri" w:hAnsi="Calibri" w:eastAsia="Calibri" w:cs="Calibri"/>
            <w:color w:val="2E74B5"/>
            <w:u w:val="single"/>
          </w:rPr>
          <w:t xml:space="preserve">https://biblioteca.ibge.gov.br/visualizacao/periodicos/3111/cd_2022_indigenas_alfabetizacao.pdf</w:t>
        </w:r>
      </w:hyperlink>
    </w:p>
    <w:p>
      <w:pPr>
        <w:widowControl/>
      </w:pPr>
      <w:r>
        <w:t xml:space="preserve">Instituto Nacional de Estudos e Pesquisas Educacionais Anísio Teixeira. (2025a). </w:t>
      </w:r>
      <w:r>
        <w:rPr>
          <w:rFonts w:ascii="Calibri" w:hAnsi="Calibri" w:eastAsia="Calibri" w:cs="Calibri"/>
          <w:i/>
        </w:rPr>
        <w:t>Censo Escolar da Educação Básica 2024: Resumo técnico</w:t>
      </w:r>
      <w:r>
        <w:t xml:space="preserve">. </w:t>
      </w:r>
      <w:hyperlink r:id="rId182">
        <w:r>
          <w:rPr>
            <w:rFonts w:ascii="Calibri" w:hAnsi="Calibri" w:eastAsia="Calibri" w:cs="Calibri"/>
            <w:color w:val="2E74B5"/>
            <w:u w:val="single"/>
          </w:rPr>
          <w:t xml:space="preserve">https://download.inep.gov.br/publicacoes/institucionais/estatisticas_e_indicadores/resumo_tecnico_censo_escolar_2024.pdf</w:t>
        </w:r>
      </w:hyperlink>
    </w:p>
    <w:p>
      <w:pPr>
        <w:widowControl/>
      </w:pPr>
      <w:r>
        <w:t xml:space="preserve">Instituto Nacional de Estudos e Pesquisas Educacionais Anísio Teixeira. (2025b). </w:t>
      </w:r>
      <w:r>
        <w:rPr>
          <w:rFonts w:ascii="Calibri" w:hAnsi="Calibri" w:eastAsia="Calibri" w:cs="Calibri"/>
          <w:i/>
        </w:rPr>
        <w:t>Censo da Educação Superior 2024: Notas estatísticas</w:t>
      </w:r>
      <w:r>
        <w:t xml:space="preserve">. </w:t>
      </w:r>
      <w:hyperlink r:id="rId183">
        <w:r>
          <w:rPr>
            <w:rFonts w:ascii="Calibri" w:hAnsi="Calibri" w:eastAsia="Calibri" w:cs="Calibri"/>
            <w:color w:val="2E74B5"/>
            <w:u w:val="single"/>
          </w:rPr>
          <w:t xml:space="preserve">https://download.inep.gov.br/publicacoes/institucionais/estatisticas_e_indicadores/notas_estatisticas_censo_escolar_da_educacao_superior_2024.pdf</w:t>
        </w:r>
      </w:hyperlink>
    </w:p>
    <w:p>
      <w:pPr>
        <w:widowControl/>
      </w:pPr>
      <w:r>
        <w:t xml:space="preserve">Ministry of Planning and Budget, Brazil. (2026). </w:t>
      </w:r>
      <w:r>
        <w:rPr>
          <w:rFonts w:ascii="Calibri" w:hAnsi="Calibri" w:eastAsia="Calibri" w:cs="Calibri"/>
          <w:i/>
        </w:rPr>
        <w:t>Agenda Transversal Povos Indígenas 2026: Ano-base 2025</w:t>
      </w:r>
      <w:r>
        <w:t xml:space="preserve">. </w:t>
      </w:r>
      <w:hyperlink r:id="rId184">
        <w:r>
          <w:rPr>
            <w:rFonts w:ascii="Calibri" w:hAnsi="Calibri" w:eastAsia="Calibri" w:cs="Calibri"/>
            <w:color w:val="2E74B5"/>
            <w:u w:val="single"/>
          </w:rPr>
          <w:t xml:space="preserve">https://www.gov.br/planejamento/pt-br/assuntos/orcamento/agendas-transversais-e-multisetoriais/arquivos/2026/2026_05_05_atpovosindigenas.pdf/@@display-file/file</w:t>
        </w:r>
      </w:hyperlink>
    </w:p>
    <w:p>
      <w:pPr>
        <w:widowControl/>
      </w:pPr>
      <w:r>
        <w:t xml:space="preserve">OECD. (2023d). </w:t>
      </w:r>
      <w:r>
        <w:rPr>
          <w:rFonts w:ascii="Calibri" w:hAnsi="Calibri" w:eastAsia="Calibri" w:cs="Calibri"/>
          <w:i/>
        </w:rPr>
        <w:t>PISA 2022 results: Brazil country note</w:t>
      </w:r>
      <w:r>
        <w:t xml:space="preserve">. </w:t>
      </w:r>
      <w:hyperlink r:id="rId185">
        <w:r>
          <w:rPr>
            <w:rFonts w:ascii="Calibri" w:hAnsi="Calibri" w:eastAsia="Calibri" w:cs="Calibri"/>
            <w:color w:val="2E74B5"/>
            <w:u w:val="single"/>
          </w:rPr>
          <w:t xml:space="preserve">https://www.oecd.org/content/dam/oecd/en/publications/reports/2023/11/pisa-2022-results-volume-i-and-ii-country-notes_2fca04b9/brazil_764ee0aa/61690648-en.pdf</w:t>
        </w:r>
      </w:hyperlink>
    </w:p>
    <w:p>
      <w:pPr>
        <w:widowControl/>
      </w:pPr>
      <w:r>
        <w:t xml:space="preserve">Asociación Nacional de Universidades e Instituciones de Educación Superior. (2026). </w:t>
      </w:r>
      <w:r>
        <w:rPr>
          <w:rFonts w:ascii="Calibri" w:hAnsi="Calibri" w:eastAsia="Calibri" w:cs="Calibri"/>
          <w:i/>
        </w:rPr>
        <w:t>Anuario estadístico de educación superior</w:t>
      </w:r>
      <w:r>
        <w:t xml:space="preserve">. </w:t>
      </w:r>
      <w:hyperlink r:id="rId186">
        <w:r>
          <w:rPr>
            <w:rFonts w:ascii="Calibri" w:hAnsi="Calibri" w:eastAsia="Calibri" w:cs="Calibri"/>
            <w:color w:val="2E74B5"/>
            <w:u w:val="single"/>
          </w:rPr>
          <w:t xml:space="preserve">https://www.anuies.mx/informacion-y-servicios/informacion-estadistica-de-educacion-superior/anuario-estadistico-de-educacion-superior</w:t>
        </w:r>
      </w:hyperlink>
    </w:p>
    <w:p>
      <w:pPr>
        <w:widowControl/>
      </w:pPr>
      <w:r>
        <w:t xml:space="preserve">Cámara de Diputados. (2024). </w:t>
      </w:r>
      <w:r>
        <w:rPr>
          <w:rFonts w:ascii="Calibri" w:hAnsi="Calibri" w:eastAsia="Calibri" w:cs="Calibri"/>
          <w:i/>
        </w:rPr>
        <w:t>Ley General para la Inclusión de las Personas con Discapacidad</w:t>
      </w:r>
      <w:r>
        <w:t xml:space="preserve"> (última reforma DOF 14-06-2024). </w:t>
      </w:r>
      <w:hyperlink r:id="rId187">
        <w:r>
          <w:rPr>
            <w:rFonts w:ascii="Calibri" w:hAnsi="Calibri" w:eastAsia="Calibri" w:cs="Calibri"/>
            <w:color w:val="2E74B5"/>
            <w:u w:val="single"/>
          </w:rPr>
          <w:t xml:space="preserve">https://www.diputados.gob.mx/LeyesBiblio/pdf/LGIPD.pdf</w:t>
        </w:r>
      </w:hyperlink>
    </w:p>
    <w:p>
      <w:pPr>
        <w:widowControl/>
      </w:pPr>
      <w:r>
        <w:t xml:space="preserve">Cámara de Diputados. (2026). </w:t>
      </w:r>
      <w:r>
        <w:rPr>
          <w:rFonts w:ascii="Calibri" w:hAnsi="Calibri" w:eastAsia="Calibri" w:cs="Calibri"/>
          <w:i/>
        </w:rPr>
        <w:t>Ley General de Educación</w:t>
      </w:r>
      <w:r>
        <w:t xml:space="preserve"> (última reforma DOF 15-01-2026). </w:t>
      </w:r>
      <w:hyperlink r:id="rId188">
        <w:r>
          <w:rPr>
            <w:rFonts w:ascii="Calibri" w:hAnsi="Calibri" w:eastAsia="Calibri" w:cs="Calibri"/>
            <w:color w:val="2E74B5"/>
            <w:u w:val="single"/>
          </w:rPr>
          <w:t xml:space="preserve">https://www.diputados.gob.mx/LeyesBiblio/pdf/LGE.pdf</w:t>
        </w:r>
      </w:hyperlink>
    </w:p>
    <w:p>
      <w:pPr>
        <w:widowControl/>
      </w:pPr>
      <w:r>
        <w:t xml:space="preserve">Comisión Nacional de Libros de Texto Gratuitos. (2026). </w:t>
      </w:r>
      <w:r>
        <w:rPr>
          <w:rFonts w:ascii="Calibri" w:hAnsi="Calibri" w:eastAsia="Calibri" w:cs="Calibri"/>
          <w:i/>
        </w:rPr>
        <w:t>Catálogo de libros, ciclo escolar 2026-2027</w:t>
      </w:r>
      <w:r>
        <w:t xml:space="preserve">. </w:t>
      </w:r>
      <w:hyperlink r:id="rId189">
        <w:r>
          <w:rPr>
            <w:rFonts w:ascii="Calibri" w:hAnsi="Calibri" w:eastAsia="Calibri" w:cs="Calibri"/>
            <w:color w:val="2E74B5"/>
            <w:u w:val="single"/>
          </w:rPr>
          <w:t xml:space="preserve">https://www.conaliteg.sep.gob.mx/</w:t>
        </w:r>
      </w:hyperlink>
    </w:p>
    <w:p>
      <w:pPr>
        <w:widowControl/>
      </w:pPr>
      <w:r>
        <w:t xml:space="preserve">Dirección General de Educación Indígena, Intercultural y Bilingüe. (2024). </w:t>
      </w:r>
      <w:r>
        <w:rPr>
          <w:rFonts w:ascii="Calibri" w:hAnsi="Calibri" w:eastAsia="Calibri" w:cs="Calibri"/>
          <w:i/>
        </w:rPr>
        <w:t>Estadística indígena, ciclo 2023-2024</w:t>
      </w:r>
      <w:r>
        <w:t>. Secretaría de Educación Pública.</w:t>
      </w:r>
    </w:p>
    <w:p>
      <w:pPr>
        <w:widowControl/>
      </w:pPr>
      <w:r>
        <w:t xml:space="preserve">Instituto Nacional de Estadística y Geografía. (2022). </w:t>
      </w:r>
      <w:r>
        <w:rPr>
          <w:rFonts w:ascii="Calibri" w:hAnsi="Calibri" w:eastAsia="Calibri" w:cs="Calibri"/>
          <w:i/>
        </w:rPr>
        <w:t>Principales resultados del Censo de Población y Vivienda 2020: Estados Unidos Mexicanos</w:t>
      </w:r>
      <w:r>
        <w:t xml:space="preserve">. </w:t>
      </w:r>
      <w:hyperlink r:id="rId190">
        <w:r>
          <w:rPr>
            <w:rFonts w:ascii="Calibri" w:hAnsi="Calibri" w:eastAsia="Calibri" w:cs="Calibri"/>
            <w:color w:val="2E74B5"/>
            <w:u w:val="single"/>
          </w:rPr>
          <w:t xml:space="preserve">https://www.inegi.org.mx/programas/ccpv/2020/</w:t>
        </w:r>
      </w:hyperlink>
    </w:p>
    <w:p>
      <w:pPr>
        <w:widowControl/>
      </w:pPr>
      <w:r>
        <w:t xml:space="preserve">Instituto Nacional de Lenguas Indígenas. (2008). </w:t>
      </w:r>
      <w:r>
        <w:rPr>
          <w:rFonts w:ascii="Calibri" w:hAnsi="Calibri" w:eastAsia="Calibri" w:cs="Calibri"/>
          <w:i/>
        </w:rPr>
        <w:t>Catálogo de las lenguas indígenas nacionales: Variantes lingüísticas de México con sus autodenominaciones y referencias geoestadísticas</w:t>
      </w:r>
      <w:r>
        <w:t xml:space="preserve">. </w:t>
      </w:r>
      <w:hyperlink r:id="rId191">
        <w:r>
          <w:rPr>
            <w:rFonts w:ascii="Calibri" w:hAnsi="Calibri" w:eastAsia="Calibri" w:cs="Calibri"/>
            <w:color w:val="2E74B5"/>
            <w:u w:val="single"/>
          </w:rPr>
          <w:t xml:space="preserve">https://www.inali.gob.mx/clin-inali/</w:t>
        </w:r>
      </w:hyperlink>
    </w:p>
    <w:p>
      <w:pPr>
        <w:widowControl/>
      </w:pPr>
      <w:r>
        <w:t xml:space="preserve">Organisation for Economic Co-operation and Development. (2023e). </w:t>
      </w:r>
      <w:r>
        <w:rPr>
          <w:rFonts w:ascii="Calibri" w:hAnsi="Calibri" w:eastAsia="Calibri" w:cs="Calibri"/>
          <w:i/>
        </w:rPr>
        <w:t>PISA 2022 results: Mexico country note</w:t>
      </w:r>
      <w:r>
        <w:t xml:space="preserve">. </w:t>
      </w:r>
      <w:hyperlink r:id="rId192">
        <w:r>
          <w:rPr>
            <w:rFonts w:ascii="Calibri" w:hAnsi="Calibri" w:eastAsia="Calibri" w:cs="Calibri"/>
            <w:color w:val="2E74B5"/>
            <w:u w:val="single"/>
          </w:rPr>
          <w:t xml:space="preserve">https://www.oecd.org/content/dam/oecd/en/publications/reports/2023/11/pisa-2022-results-volume-i-and-ii-country-notes_2fca04b9/mexico_51978f68/2d35d9e0-en.pdf</w:t>
        </w:r>
      </w:hyperlink>
    </w:p>
    <w:p>
      <w:pPr>
        <w:widowControl/>
      </w:pPr>
      <w:r>
        <w:t xml:space="preserve">SciELO México. (2026). </w:t>
      </w:r>
      <w:r>
        <w:rPr>
          <w:rFonts w:ascii="Calibri" w:hAnsi="Calibri" w:eastAsia="Calibri" w:cs="Calibri"/>
          <w:i/>
        </w:rPr>
        <w:t>Lista alfabética de revistas</w:t>
      </w:r>
      <w:r>
        <w:t xml:space="preserve">. </w:t>
      </w:r>
      <w:hyperlink r:id="rId193">
        <w:r>
          <w:rPr>
            <w:rFonts w:ascii="Calibri" w:hAnsi="Calibri" w:eastAsia="Calibri" w:cs="Calibri"/>
            <w:color w:val="2E74B5"/>
            <w:u w:val="single"/>
          </w:rPr>
          <w:t xml:space="preserve">https://www.scielo.org.mx/scielo.php?script=sci_alphabetic&amp;lng=es&amp;nrm=iso</w:t>
        </w:r>
      </w:hyperlink>
    </w:p>
    <w:p>
      <w:pPr>
        <w:widowControl/>
      </w:pPr>
      <w:r>
        <w:t xml:space="preserve">Secretaría de Educación Pública. (2025). </w:t>
      </w:r>
      <w:r>
        <w:rPr>
          <w:rFonts w:ascii="Calibri" w:hAnsi="Calibri" w:eastAsia="Calibri" w:cs="Calibri"/>
          <w:i/>
        </w:rPr>
        <w:t>Principales cifras del Sistema Educativo Nacional 2024-2025</w:t>
      </w:r>
      <w:r>
        <w:t xml:space="preserve">. </w:t>
      </w:r>
      <w:hyperlink r:id="rId194">
        <w:r>
          <w:rPr>
            <w:rFonts w:ascii="Calibri" w:hAnsi="Calibri" w:eastAsia="Calibri" w:cs="Calibri"/>
            <w:color w:val="2E74B5"/>
            <w:u w:val="single"/>
          </w:rPr>
          <w:t xml:space="preserve">https://www.planeacion.sep.gob.mx/Doc/estadistica_e_indicadores/principales_cifras/principales_cifras_2024_2025_bolsillo.pdf</w:t>
        </w:r>
      </w:hyperlink>
    </w:p>
    <w:p>
      <w:pPr>
        <w:widowControl/>
      </w:pPr>
      <w:r>
        <w:t xml:space="preserve">Secretaría de Educación Pública. (2026). </w:t>
      </w:r>
      <w:r>
        <w:rPr>
          <w:rFonts w:ascii="Calibri" w:hAnsi="Calibri" w:eastAsia="Calibri" w:cs="Calibri"/>
          <w:i/>
        </w:rPr>
        <w:t>Cursos @prende.mx</w:t>
      </w:r>
      <w:r>
        <w:t xml:space="preserve">. </w:t>
      </w:r>
      <w:hyperlink r:id="rId195">
        <w:r>
          <w:rPr>
            <w:rFonts w:ascii="Calibri" w:hAnsi="Calibri" w:eastAsia="Calibri" w:cs="Calibri"/>
            <w:color w:val="2E74B5"/>
            <w:u w:val="single"/>
          </w:rPr>
          <w:t xml:space="preserve">https://dev.mexicox.gob.mx/</w:t>
        </w:r>
      </w:hyperlink>
    </w:p>
    <w:p>
      <w:pPr>
        <w:widowControl/>
      </w:pPr>
      <w:r>
        <w:t xml:space="preserve">Ethiopia Ministry of Education. (2021). </w:t>
      </w:r>
      <w:r>
        <w:rPr>
          <w:rFonts w:ascii="Calibri" w:hAnsi="Calibri" w:eastAsia="Calibri" w:cs="Calibri"/>
          <w:i/>
        </w:rPr>
        <w:t>Education Sector Development Programme VI, 2020/21-2024/25</w:t>
      </w:r>
      <w:r>
        <w:t xml:space="preserve">. </w:t>
      </w:r>
      <w:hyperlink r:id="rId196">
        <w:r>
          <w:rPr>
            <w:rFonts w:ascii="Calibri" w:hAnsi="Calibri" w:eastAsia="Calibri" w:cs="Calibri"/>
            <w:color w:val="2E74B5"/>
            <w:u w:val="single"/>
          </w:rPr>
          <w:t xml:space="preserve">https://moe.gov.et/storage/Books/Ethiopian%20Education%20Sector%20Development%20Program%206%20%28ESDP%20VI%29.pdf</w:t>
        </w:r>
      </w:hyperlink>
    </w:p>
    <w:p>
      <w:pPr>
        <w:widowControl/>
      </w:pPr>
      <w:r>
        <w:t xml:space="preserve">Ethiopia Ministry of Education. (2023a). </w:t>
      </w:r>
      <w:r>
        <w:rPr>
          <w:rFonts w:ascii="Calibri" w:hAnsi="Calibri" w:eastAsia="Calibri" w:cs="Calibri"/>
          <w:i/>
        </w:rPr>
        <w:t>Education statistics annual abstract 2022/23</w:t>
      </w:r>
      <w:r>
        <w:t xml:space="preserve">. </w:t>
      </w:r>
      <w:hyperlink r:id="rId197">
        <w:r>
          <w:rPr>
            <w:rFonts w:ascii="Calibri" w:hAnsi="Calibri" w:eastAsia="Calibri" w:cs="Calibri"/>
            <w:color w:val="2E74B5"/>
            <w:u w:val="single"/>
          </w:rPr>
          <w:t xml:space="preserve">https://moe.gov.et/storage/Books/ESAA%202022-23%20Final.pdf</w:t>
        </w:r>
      </w:hyperlink>
    </w:p>
    <w:p>
      <w:pPr>
        <w:widowControl/>
      </w:pPr>
      <w:r>
        <w:t xml:space="preserve">Ethiopia Ministry of Education. (2023b). </w:t>
      </w:r>
      <w:r>
        <w:rPr>
          <w:rFonts w:ascii="Calibri" w:hAnsi="Calibri" w:eastAsia="Calibri" w:cs="Calibri"/>
          <w:i/>
        </w:rPr>
        <w:t>Digital education strategy and implementation plan 2023-2028</w:t>
      </w:r>
      <w:r>
        <w:t xml:space="preserve">. </w:t>
      </w:r>
      <w:hyperlink r:id="rId198">
        <w:r>
          <w:rPr>
            <w:rFonts w:ascii="Calibri" w:hAnsi="Calibri" w:eastAsia="Calibri" w:cs="Calibri"/>
            <w:color w:val="2E74B5"/>
            <w:u w:val="single"/>
          </w:rPr>
          <w:t xml:space="preserve">https://www.dpgethiopia.org/wp-content/uploads/2024/03/Digital-Education-Strategy-and-Implementation-Plan-for-Ethiopia-.pdf</w:t>
        </w:r>
      </w:hyperlink>
    </w:p>
    <w:p>
      <w:pPr>
        <w:widowControl/>
      </w:pPr>
      <w:r>
        <w:t xml:space="preserve">Ethiopia Ministry of Education. (n.d.-a). </w:t>
      </w:r>
      <w:r>
        <w:rPr>
          <w:rFonts w:ascii="Calibri" w:hAnsi="Calibri" w:eastAsia="Calibri" w:cs="Calibri"/>
          <w:i/>
        </w:rPr>
        <w:t>Special needs/inclusive education strategy</w:t>
      </w:r>
      <w:r>
        <w:t xml:space="preserve">. </w:t>
      </w:r>
      <w:hyperlink r:id="rId199">
        <w:r>
          <w:rPr>
            <w:rFonts w:ascii="Calibri" w:hAnsi="Calibri" w:eastAsia="Calibri" w:cs="Calibri"/>
            <w:color w:val="2E74B5"/>
            <w:u w:val="single"/>
          </w:rPr>
          <w:t xml:space="preserve">https://www.moe.gov.et/storage/Books/Special%20Needs%20Inclusive%20Education%20Strategy.pdf</w:t>
        </w:r>
      </w:hyperlink>
    </w:p>
    <w:p>
      <w:pPr>
        <w:widowControl/>
      </w:pPr>
      <w:r>
        <w:t xml:space="preserve">Ethiopia Ministry of Education. (n.d.-b). </w:t>
      </w:r>
      <w:r>
        <w:rPr>
          <w:rFonts w:ascii="Calibri" w:hAnsi="Calibri" w:eastAsia="Calibri" w:cs="Calibri"/>
          <w:i/>
        </w:rPr>
        <w:t>Strategic policy for national science, technology and mathematics education</w:t>
      </w:r>
      <w:r>
        <w:t xml:space="preserve">. </w:t>
      </w:r>
      <w:hyperlink r:id="rId200">
        <w:r>
          <w:rPr>
            <w:rFonts w:ascii="Calibri" w:hAnsi="Calibri" w:eastAsia="Calibri" w:cs="Calibri"/>
            <w:color w:val="2E74B5"/>
            <w:u w:val="single"/>
          </w:rPr>
          <w:t xml:space="preserve">https://www.moe.gov.et/storage/Books/Strategic%20Policy%20for%20National%20Science%20Technology%20and%20Mathematics%20Education_Full.pdf</w:t>
        </w:r>
      </w:hyperlink>
    </w:p>
    <w:p>
      <w:pPr>
        <w:widowControl/>
      </w:pPr>
      <w:r>
        <w:t xml:space="preserve">Ethiopia Ministry of Labor and Skills. (2025). </w:t>
      </w:r>
      <w:r>
        <w:rPr>
          <w:rFonts w:ascii="Calibri" w:hAnsi="Calibri" w:eastAsia="Calibri" w:cs="Calibri"/>
          <w:i/>
        </w:rPr>
        <w:t>Ethiopia technical and vocational training strategy 2025</w:t>
      </w:r>
      <w:r>
        <w:t xml:space="preserve">. </w:t>
      </w:r>
      <w:hyperlink r:id="rId201">
        <w:r>
          <w:rPr>
            <w:rFonts w:ascii="Calibri" w:hAnsi="Calibri" w:eastAsia="Calibri" w:cs="Calibri"/>
            <w:color w:val="2E74B5"/>
            <w:u w:val="single"/>
          </w:rPr>
          <w:t xml:space="preserve">https://mols.gov.et/wp-content/uploads/2025/12/TVT-Strategy-English-Version-12-Nov-2025_Print.pdf</w:t>
        </w:r>
      </w:hyperlink>
    </w:p>
    <w:p>
      <w:pPr>
        <w:widowControl/>
      </w:pPr>
      <w:r>
        <w:t xml:space="preserve">Ethiopian Statistical Service. (2008). </w:t>
      </w:r>
      <w:r>
        <w:rPr>
          <w:rFonts w:ascii="Calibri" w:hAnsi="Calibri" w:eastAsia="Calibri" w:cs="Calibri"/>
          <w:i/>
        </w:rPr>
        <w:t>Summary and statistical report of the 2007 Population and Housing Census</w:t>
      </w:r>
      <w:r>
        <w:t xml:space="preserve">. </w:t>
      </w:r>
      <w:hyperlink r:id="rId202">
        <w:r>
          <w:rPr>
            <w:rFonts w:ascii="Calibri" w:hAnsi="Calibri" w:eastAsia="Calibri" w:cs="Calibri"/>
            <w:color w:val="2E74B5"/>
            <w:u w:val="single"/>
          </w:rPr>
          <w:t xml:space="preserve">https://ess.gov.et/wp-content/uploads/2007/09/Population-and-Housing-Census-2007-National_Statistical.pdf</w:t>
        </w:r>
      </w:hyperlink>
    </w:p>
    <w:p>
      <w:pPr>
        <w:widowControl/>
      </w:pPr>
      <w:r>
        <w:t xml:space="preserve">Federal Democratic Republic of Ethiopia. (2025). </w:t>
      </w:r>
      <w:r>
        <w:rPr>
          <w:rFonts w:ascii="Calibri" w:hAnsi="Calibri" w:eastAsia="Calibri" w:cs="Calibri"/>
          <w:i/>
        </w:rPr>
        <w:t>General Education Proclamation No. 1368/2025</w:t>
      </w:r>
      <w:r>
        <w:t xml:space="preserve">. </w:t>
      </w:r>
      <w:hyperlink r:id="rId203">
        <w:r>
          <w:rPr>
            <w:rFonts w:ascii="Calibri" w:hAnsi="Calibri" w:eastAsia="Calibri" w:cs="Calibri"/>
            <w:color w:val="2E74B5"/>
            <w:u w:val="single"/>
          </w:rPr>
          <w:t xml:space="preserve">https://justice.gov.et/wp-content/uploads/2025/04/1368.pdf</w:t>
        </w:r>
      </w:hyperlink>
    </w:p>
    <w:p>
      <w:pPr>
        <w:widowControl/>
      </w:pPr>
      <w:r>
        <w:t xml:space="preserve">World Bank. (2026). </w:t>
      </w:r>
      <w:r>
        <w:rPr>
          <w:rFonts w:ascii="Calibri" w:hAnsi="Calibri" w:eastAsia="Calibri" w:cs="Calibri"/>
          <w:i/>
        </w:rPr>
        <w:t>World Development Indicators: Ethiopia population, individuals using the Internet, and access to electricity</w:t>
      </w:r>
      <w:r>
        <w:t xml:space="preserve"> [Data set]. </w:t>
      </w:r>
      <w:hyperlink r:id="rId204">
        <w:r>
          <w:rPr>
            <w:rFonts w:ascii="Calibri" w:hAnsi="Calibri" w:eastAsia="Calibri" w:cs="Calibri"/>
            <w:color w:val="2E74B5"/>
            <w:u w:val="single"/>
          </w:rPr>
          <w:t xml:space="preserve">https://api.worldbank.org/v2/country/ETH?format=json</w:t>
        </w:r>
      </w:hyperlink>
    </w:p>
    <w:p>
      <w:pPr>
        <w:widowControl/>
      </w:pPr>
      <w:r>
        <w:t xml:space="preserve">World Food Programme. (2024). </w:t>
      </w:r>
      <w:r>
        <w:rPr>
          <w:rFonts w:ascii="Calibri" w:hAnsi="Calibri" w:eastAsia="Calibri" w:cs="Calibri"/>
          <w:i/>
        </w:rPr>
        <w:t>McGovern-Dole school feeding programme in Afar and Oromia Regions 2019-2025: Mid-term evaluation, Volume 2-A light-touch early-grade reading assessment report</w:t>
      </w:r>
      <w:r>
        <w:t xml:space="preserve">. </w:t>
      </w:r>
      <w:hyperlink r:id="rId205">
        <w:r>
          <w:rPr>
            <w:rFonts w:ascii="Calibri" w:hAnsi="Calibri" w:eastAsia="Calibri" w:cs="Calibri"/>
            <w:color w:val="2E74B5"/>
            <w:u w:val="single"/>
          </w:rPr>
          <w:t xml:space="preserve">https://wfp.tind.io/record/127524</w:t>
        </w:r>
      </w:hyperlink>
    </w:p>
    <w:p>
      <w:pPr>
        <w:widowControl/>
      </w:pPr>
      <w:r>
        <w:t xml:space="preserve">Bureau of Indian Education. (2024a). </w:t>
      </w:r>
      <w:r>
        <w:rPr>
          <w:rFonts w:ascii="Calibri" w:hAnsi="Calibri" w:eastAsia="Calibri" w:cs="Calibri"/>
          <w:i/>
        </w:rPr>
        <w:t>Strategic direction, 2024-2030</w:t>
      </w:r>
      <w:r>
        <w:t xml:space="preserve">. </w:t>
      </w:r>
      <w:hyperlink r:id="rId206">
        <w:r>
          <w:rPr>
            <w:rFonts w:ascii="Calibri" w:hAnsi="Calibri" w:eastAsia="Calibri" w:cs="Calibri"/>
            <w:color w:val="2E74B5"/>
            <w:u w:val="single"/>
          </w:rPr>
          <w:t xml:space="preserve">https://www.bie.edu/sites/default/files/documents/bie_strategic_direction_2024-2030.pdf</w:t>
        </w:r>
      </w:hyperlink>
    </w:p>
    <w:p>
      <w:pPr>
        <w:widowControl/>
      </w:pPr>
      <w:r>
        <w:t xml:space="preserve">Bureau of Indian Education. (2024b). </w:t>
      </w:r>
      <w:r>
        <w:rPr>
          <w:rFonts w:ascii="Calibri" w:hAnsi="Calibri" w:eastAsia="Calibri" w:cs="Calibri"/>
          <w:i/>
        </w:rPr>
        <w:t>School year 2023-2024 BIE SEA report card</w:t>
      </w:r>
      <w:r>
        <w:t xml:space="preserve">. </w:t>
      </w:r>
      <w:hyperlink r:id="rId207">
        <w:r>
          <w:rPr>
            <w:rFonts w:ascii="Calibri" w:hAnsi="Calibri" w:eastAsia="Calibri" w:cs="Calibri"/>
            <w:color w:val="2E74B5"/>
            <w:u w:val="single"/>
          </w:rPr>
          <w:t xml:space="preserve">https://www.bie.edu/sites/default/files/documents/sy_2023-2024_bie_sea_report_card.pdf</w:t>
        </w:r>
      </w:hyperlink>
    </w:p>
    <w:p>
      <w:pPr>
        <w:widowControl/>
      </w:pPr>
      <w:r>
        <w:t xml:space="preserve">Bureau of Indian Education. (n.d.). </w:t>
      </w:r>
      <w:r>
        <w:rPr>
          <w:rFonts w:ascii="Calibri" w:hAnsi="Calibri" w:eastAsia="Calibri" w:cs="Calibri"/>
          <w:i/>
        </w:rPr>
        <w:t>Performance report</w:t>
      </w:r>
      <w:r>
        <w:t xml:space="preserve">. </w:t>
      </w:r>
      <w:hyperlink r:id="rId208">
        <w:r>
          <w:rPr>
            <w:rFonts w:ascii="Calibri" w:hAnsi="Calibri" w:eastAsia="Calibri" w:cs="Calibri"/>
            <w:color w:val="2E74B5"/>
            <w:u w:val="single"/>
          </w:rPr>
          <w:t xml:space="preserve">https://www.bie.edu/sites/default/files/documents/bie_performance_report.pdf</w:t>
        </w:r>
      </w:hyperlink>
    </w:p>
    <w:p>
      <w:pPr>
        <w:widowControl/>
      </w:pPr>
      <w:r>
        <w:t xml:space="preserve">Gallaudet University Press. (n.d.). </w:t>
      </w:r>
      <w:r>
        <w:rPr>
          <w:rFonts w:ascii="Calibri" w:hAnsi="Calibri" w:eastAsia="Calibri" w:cs="Calibri"/>
          <w:i/>
        </w:rPr>
        <w:t>The hidden treasure of Black ASL</w:t>
      </w:r>
      <w:r>
        <w:t xml:space="preserve">. </w:t>
      </w:r>
      <w:hyperlink r:id="rId209">
        <w:r>
          <w:rPr>
            <w:rFonts w:ascii="Calibri" w:hAnsi="Calibri" w:eastAsia="Calibri" w:cs="Calibri"/>
            <w:color w:val="2E74B5"/>
            <w:u w:val="single"/>
          </w:rPr>
          <w:t xml:space="preserve">https://gupress.gallaudet.edu/Books/T/The-Hidden-Treasure-of-Black-ASL</w:t>
        </w:r>
      </w:hyperlink>
    </w:p>
    <w:p>
      <w:pPr>
        <w:widowControl/>
      </w:pPr>
      <w:r>
        <w:t xml:space="preserve">National Advisory Council on Indian Education. (2023). </w:t>
      </w:r>
      <w:r>
        <w:rPr>
          <w:rFonts w:ascii="Calibri" w:hAnsi="Calibri" w:eastAsia="Calibri" w:cs="Calibri"/>
          <w:i/>
        </w:rPr>
        <w:t>Annual report to Congress, 2022-2023</w:t>
      </w:r>
      <w:r>
        <w:t xml:space="preserve">. </w:t>
      </w:r>
      <w:hyperlink r:id="rId210">
        <w:r>
          <w:rPr>
            <w:rFonts w:ascii="Calibri" w:hAnsi="Calibri" w:eastAsia="Calibri" w:cs="Calibri"/>
            <w:color w:val="2E74B5"/>
            <w:u w:val="single"/>
          </w:rPr>
          <w:t xml:space="preserve">https://www.ed.gov/sites/ed/files/2023/08/NACIE-AnnualReport2023-508_completed.pdf</w:t>
        </w:r>
      </w:hyperlink>
    </w:p>
    <w:p>
      <w:pPr>
        <w:widowControl/>
      </w:pPr>
      <w:r>
        <w:t xml:space="preserve">National Center for Education Statistics. (2023a). </w:t>
      </w:r>
      <w:r>
        <w:rPr>
          <w:rFonts w:ascii="Calibri" w:hAnsi="Calibri" w:eastAsia="Calibri" w:cs="Calibri"/>
          <w:i/>
        </w:rPr>
        <w:t>English learners in public schools</w:t>
      </w:r>
      <w:r>
        <w:t xml:space="preserve">. Condition of Education. </w:t>
      </w:r>
      <w:hyperlink r:id="rId211">
        <w:r>
          <w:rPr>
            <w:rFonts w:ascii="Calibri" w:hAnsi="Calibri" w:eastAsia="Calibri" w:cs="Calibri"/>
            <w:color w:val="2E74B5"/>
            <w:u w:val="single"/>
          </w:rPr>
          <w:t xml:space="preserve">https://nces.ed.gov/programs/coe/pdf/2023/cgf_508.pdf</w:t>
        </w:r>
      </w:hyperlink>
    </w:p>
    <w:p>
      <w:pPr>
        <w:widowControl/>
      </w:pPr>
      <w:r>
        <w:t xml:space="preserve">National Center for Education Statistics. (2023b). </w:t>
      </w:r>
      <w:r>
        <w:rPr>
          <w:rFonts w:ascii="Calibri" w:hAnsi="Calibri" w:eastAsia="Calibri" w:cs="Calibri"/>
          <w:i/>
        </w:rPr>
        <w:t>Enrollment in public elementary and secondary schools, by level and grade: Selected years, fall 1980 through fall 2031</w:t>
      </w:r>
      <w:r>
        <w:t xml:space="preserve"> [Data set]. </w:t>
      </w:r>
      <w:hyperlink r:id="rId212">
        <w:r>
          <w:rPr>
            <w:rFonts w:ascii="Calibri" w:hAnsi="Calibri" w:eastAsia="Calibri" w:cs="Calibri"/>
            <w:color w:val="2E74B5"/>
            <w:u w:val="single"/>
          </w:rPr>
          <w:t xml:space="preserve">https://nces.ed.gov/programs/digest/d23/tables/xls/tabn203.10.xlsx</w:t>
        </w:r>
      </w:hyperlink>
    </w:p>
    <w:p>
      <w:pPr>
        <w:widowControl/>
      </w:pPr>
      <w:r>
        <w:t xml:space="preserve">National Center for Education Statistics. (2024a). </w:t>
      </w:r>
      <w:r>
        <w:rPr>
          <w:rFonts w:ascii="Calibri" w:hAnsi="Calibri" w:eastAsia="Calibri" w:cs="Calibri"/>
          <w:i/>
        </w:rPr>
        <w:t>Percentage of three-, four-, and five-year-old children enrolled in school, by age and selected child and family characteristics: 2022 and 2023</w:t>
      </w:r>
      <w:r>
        <w:t xml:space="preserve"> [Data set]. </w:t>
      </w:r>
      <w:hyperlink r:id="rId213">
        <w:r>
          <w:rPr>
            <w:rFonts w:ascii="Calibri" w:hAnsi="Calibri" w:eastAsia="Calibri" w:cs="Calibri"/>
            <w:color w:val="2E74B5"/>
            <w:u w:val="single"/>
          </w:rPr>
          <w:t xml:space="preserve">https://nces.ed.gov/programs/digest/d24/tables/xls/tabn202.20.xlsx</w:t>
        </w:r>
      </w:hyperlink>
    </w:p>
    <w:p>
      <w:pPr>
        <w:widowControl/>
      </w:pPr>
      <w:r>
        <w:t xml:space="preserve">National Center for Education Statistics. (2024b). </w:t>
      </w:r>
      <w:r>
        <w:rPr>
          <w:rFonts w:ascii="Calibri" w:hAnsi="Calibri" w:eastAsia="Calibri" w:cs="Calibri"/>
          <w:i/>
        </w:rPr>
        <w:t>Career and technical education in the United States</w:t>
      </w:r>
      <w:r>
        <w:t xml:space="preserve">. </w:t>
      </w:r>
      <w:hyperlink r:id="rId214">
        <w:r>
          <w:rPr>
            <w:rFonts w:ascii="Calibri" w:hAnsi="Calibri" w:eastAsia="Calibri" w:cs="Calibri"/>
            <w:color w:val="2E74B5"/>
            <w:u w:val="single"/>
          </w:rPr>
          <w:t xml:space="preserve">https://nces.ed.gov/programs/coe/pdf/2024/tob_508c.pdf</w:t>
        </w:r>
      </w:hyperlink>
    </w:p>
    <w:p>
      <w:pPr>
        <w:widowControl/>
      </w:pPr>
      <w:r>
        <w:t xml:space="preserve">National Center for Education Statistics. (2026). </w:t>
      </w:r>
      <w:r>
        <w:rPr>
          <w:rFonts w:ascii="Calibri" w:hAnsi="Calibri" w:eastAsia="Calibri" w:cs="Calibri"/>
          <w:i/>
        </w:rPr>
        <w:t>Total fall enrollment in degree-granting postsecondary institutions, by level of enrollment, control and level of institution, attendance status, and sex of student: Selected years, 1970 through 2034</w:t>
      </w:r>
      <w:r>
        <w:t xml:space="preserve"> [Data set]. </w:t>
      </w:r>
      <w:hyperlink r:id="rId215">
        <w:r>
          <w:rPr>
            <w:rFonts w:ascii="Calibri" w:hAnsi="Calibri" w:eastAsia="Calibri" w:cs="Calibri"/>
            <w:color w:val="2E74B5"/>
            <w:u w:val="single"/>
          </w:rPr>
          <w:t xml:space="preserve">https://nces.ed.gov/programs/digest/d25/tables/xls/tabn306.10.xlsx</w:t>
        </w:r>
      </w:hyperlink>
    </w:p>
    <w:p>
      <w:pPr>
        <w:widowControl/>
      </w:pPr>
      <w:r>
        <w:t xml:space="preserve">National Center for Science and Engineering Statistics. (2025). </w:t>
      </w:r>
      <w:r>
        <w:rPr>
          <w:rFonts w:ascii="Calibri" w:hAnsi="Calibri" w:eastAsia="Calibri" w:cs="Calibri"/>
          <w:i/>
        </w:rPr>
        <w:t>Doctorate recipients from U.S. universities: 2023</w:t>
      </w:r>
      <w:r>
        <w:t xml:space="preserve"> (NSF 25-300). </w:t>
      </w:r>
      <w:hyperlink r:id="rId216">
        <w:r>
          <w:rPr>
            <w:rFonts w:ascii="Calibri" w:hAnsi="Calibri" w:eastAsia="Calibri" w:cs="Calibri"/>
            <w:color w:val="2E74B5"/>
            <w:u w:val="single"/>
          </w:rPr>
          <w:t xml:space="preserve">https://ncses.nsf.gov/pubs/nsf25300/assets/nsf25300.pdf</w:t>
        </w:r>
      </w:hyperlink>
    </w:p>
    <w:p>
      <w:pPr>
        <w:widowControl/>
      </w:pPr>
      <w:r>
        <w:t xml:space="preserve">National Deaf Center on Postsecondary Outcomes. (2019). </w:t>
      </w:r>
      <w:r>
        <w:rPr>
          <w:rFonts w:ascii="Calibri" w:hAnsi="Calibri" w:eastAsia="Calibri" w:cs="Calibri"/>
          <w:i/>
        </w:rPr>
        <w:t>Undergraduate enrollment of deaf students in the United States</w:t>
      </w:r>
      <w:r>
        <w:t xml:space="preserve">. </w:t>
      </w:r>
      <w:hyperlink r:id="rId217">
        <w:r>
          <w:rPr>
            <w:rFonts w:ascii="Calibri" w:hAnsi="Calibri" w:eastAsia="Calibri" w:cs="Calibri"/>
            <w:color w:val="2E74B5"/>
            <w:u w:val="single"/>
          </w:rPr>
          <w:t xml:space="preserve">https://nationaldeafcenter.org/wp-content/uploads/2022/11/Undergraduate20Enrollment2020of20Deaf20Students20in20the20United20States.pdf</w:t>
        </w:r>
      </w:hyperlink>
    </w:p>
    <w:p>
      <w:pPr>
        <w:widowControl/>
      </w:pPr>
      <w:r>
        <w:t xml:space="preserve">National Deaf Center on Postsecondary Outcomes. (2024). </w:t>
      </w:r>
      <w:r>
        <w:rPr>
          <w:rFonts w:ascii="Calibri" w:hAnsi="Calibri" w:eastAsia="Calibri" w:cs="Calibri"/>
          <w:i/>
        </w:rPr>
        <w:t>Access, belonging, and affirmation: Deaf college student data</w:t>
      </w:r>
      <w:r>
        <w:t xml:space="preserve">. </w:t>
      </w:r>
      <w:hyperlink r:id="rId218">
        <w:r>
          <w:rPr>
            <w:rFonts w:ascii="Calibri" w:hAnsi="Calibri" w:eastAsia="Calibri" w:cs="Calibri"/>
            <w:color w:val="2E74B5"/>
            <w:u w:val="single"/>
          </w:rPr>
          <w:t xml:space="preserve">https://nationaldeafcenter.org/resources/research-data/deaf-college-student-data/access-belonging-and-affirmation/</w:t>
        </w:r>
      </w:hyperlink>
    </w:p>
    <w:p>
      <w:pPr>
        <w:widowControl/>
      </w:pPr>
      <w:r>
        <w:t xml:space="preserve">U.S. Census Bureau. (2022a). </w:t>
      </w:r>
      <w:r>
        <w:rPr>
          <w:rFonts w:ascii="Calibri" w:hAnsi="Calibri" w:eastAsia="Calibri" w:cs="Calibri"/>
          <w:i/>
        </w:rPr>
        <w:t>Language use in the United States: 2019</w:t>
      </w:r>
      <w:r>
        <w:t xml:space="preserve"> (ACS-50). </w:t>
      </w:r>
      <w:hyperlink r:id="rId219">
        <w:r>
          <w:rPr>
            <w:rFonts w:ascii="Calibri" w:hAnsi="Calibri" w:eastAsia="Calibri" w:cs="Calibri"/>
            <w:color w:val="2E74B5"/>
            <w:u w:val="single"/>
          </w:rPr>
          <w:t xml:space="preserve">https://www.census.gov/content/dam/Census/library/publications/2022/acs/acs-50.pdf</w:t>
        </w:r>
      </w:hyperlink>
    </w:p>
    <w:p>
      <w:pPr>
        <w:widowControl/>
      </w:pPr>
      <w:r>
        <w:t xml:space="preserve">U.S. Census Bureau. (2022b). </w:t>
      </w:r>
      <w:r>
        <w:rPr>
          <w:rFonts w:ascii="Calibri" w:hAnsi="Calibri" w:eastAsia="Calibri" w:cs="Calibri"/>
          <w:i/>
        </w:rPr>
        <w:t>2017-2021 ACS language tables: Nation</w:t>
      </w:r>
      <w:r>
        <w:t xml:space="preserve"> [Data set]. </w:t>
      </w:r>
      <w:hyperlink r:id="rId220">
        <w:r>
          <w:rPr>
            <w:rFonts w:ascii="Calibri" w:hAnsi="Calibri" w:eastAsia="Calibri" w:cs="Calibri"/>
            <w:color w:val="2E74B5"/>
            <w:u w:val="single"/>
          </w:rPr>
          <w:t xml:space="preserve">https://www2.census.gov/programs-surveys/demo/tables/language-use/2017/2017-2021-acs-lang-tables-nation.xlsx</w:t>
        </w:r>
      </w:hyperlink>
    </w:p>
    <w:p>
      <w:pPr>
        <w:widowControl/>
      </w:pPr>
      <w:r>
        <w:t xml:space="preserve">U.S. Census Bureau. (2022c). </w:t>
      </w:r>
      <w:r>
        <w:rPr>
          <w:rFonts w:ascii="Calibri" w:hAnsi="Calibri" w:eastAsia="Calibri" w:cs="Calibri"/>
          <w:i/>
        </w:rPr>
        <w:t>2017-2021 ACS language tables: States</w:t>
      </w:r>
      <w:r>
        <w:t xml:space="preserve"> [Data set]. </w:t>
      </w:r>
      <w:hyperlink r:id="rId221">
        <w:r>
          <w:rPr>
            <w:rFonts w:ascii="Calibri" w:hAnsi="Calibri" w:eastAsia="Calibri" w:cs="Calibri"/>
            <w:color w:val="2E74B5"/>
            <w:u w:val="single"/>
          </w:rPr>
          <w:t xml:space="preserve">https://www2.census.gov/programs-surveys/demo/tables/language-use/2017/2017-2021-acs-lang-tables-state.xlsx</w:t>
        </w:r>
      </w:hyperlink>
    </w:p>
    <w:p>
      <w:pPr>
        <w:widowControl/>
      </w:pPr>
      <w:r>
        <w:t xml:space="preserve">U.S. Census Bureau. (2023a). </w:t>
      </w:r>
      <w:r>
        <w:rPr>
          <w:rFonts w:ascii="Calibri" w:hAnsi="Calibri" w:eastAsia="Calibri" w:cs="Calibri"/>
          <w:i/>
        </w:rPr>
        <w:t>2020 Island Areas Censuses detailed cross-tabulations: Technical documentation</w:t>
      </w:r>
      <w:r>
        <w:t xml:space="preserve">. </w:t>
      </w:r>
      <w:hyperlink r:id="rId222">
        <w:r>
          <w:rPr>
            <w:rFonts w:ascii="Calibri" w:hAnsi="Calibri" w:eastAsia="Calibri" w:cs="Calibri"/>
            <w:color w:val="2E74B5"/>
            <w:u w:val="single"/>
          </w:rPr>
          <w:t xml:space="preserve">https://www2.census.gov/programs-surveys/decennial/2020/technical-documentation/island-areas-tech-docs/detailed-cross-tabulations/2020-iac-dct-technical-documentation.pdf</w:t>
        </w:r>
      </w:hyperlink>
    </w:p>
    <w:p>
      <w:pPr>
        <w:widowControl/>
      </w:pPr>
      <w:r>
        <w:t xml:space="preserve">U.S. Census Bureau. (2023b). </w:t>
      </w:r>
      <w:r>
        <w:rPr>
          <w:rFonts w:ascii="Calibri" w:hAnsi="Calibri" w:eastAsia="Calibri" w:cs="Calibri"/>
          <w:i/>
        </w:rPr>
        <w:t>2020 Island Areas Censuses detailed cross-tabulations: Guidance</w:t>
      </w:r>
      <w:r>
        <w:t xml:space="preserve">. </w:t>
      </w:r>
      <w:hyperlink r:id="rId223">
        <w:r>
          <w:rPr>
            <w:rFonts w:ascii="Calibri" w:hAnsi="Calibri" w:eastAsia="Calibri" w:cs="Calibri"/>
            <w:color w:val="2E74B5"/>
            <w:u w:val="single"/>
          </w:rPr>
          <w:t xml:space="preserve">https://www2.census.gov/programs-surveys/decennial/2020/technical-documentation/island-areas-tech-docs/detailed-cross-tabulations/2020-iac-dct-guidance.pdf</w:t>
        </w:r>
      </w:hyperlink>
    </w:p>
    <w:p>
      <w:pPr>
        <w:widowControl/>
      </w:pPr>
      <w:r>
        <w:t xml:space="preserve">U.S. Department of Education. (2025). </w:t>
      </w:r>
      <w:r>
        <w:rPr>
          <w:rFonts w:ascii="Calibri" w:hAnsi="Calibri" w:eastAsia="Calibri" w:cs="Calibri"/>
          <w:i/>
        </w:rPr>
        <w:t>47th annual report to Congress on the implementation of the Individuals with Disabilities Education Act</w:t>
      </w:r>
      <w:r>
        <w:t xml:space="preserve">. </w:t>
      </w:r>
      <w:hyperlink r:id="rId224">
        <w:r>
          <w:rPr>
            <w:rFonts w:ascii="Calibri" w:hAnsi="Calibri" w:eastAsia="Calibri" w:cs="Calibri"/>
            <w:color w:val="2E74B5"/>
            <w:u w:val="single"/>
          </w:rPr>
          <w:t xml:space="preserve">https://sites.ed.gov/idea/files/47th-ARC-for-IDEA.pdf</w:t>
        </w:r>
      </w:hyperlink>
    </w:p>
    <w:p>
      <w:pPr>
        <w:widowControl/>
      </w:pPr>
      <w:r>
        <w:t xml:space="preserve">World Bank. (2026). </w:t>
      </w:r>
      <w:r>
        <w:rPr>
          <w:rFonts w:ascii="Calibri" w:hAnsi="Calibri" w:eastAsia="Calibri" w:cs="Calibri"/>
          <w:i/>
        </w:rPr>
        <w:t>World Development Indicators: United States population, individuals using the Internet, and access to electricity</w:t>
      </w:r>
      <w:r>
        <w:t xml:space="preserve"> [Data set]. </w:t>
      </w:r>
      <w:hyperlink r:id="rId225">
        <w:r>
          <w:rPr>
            <w:rFonts w:ascii="Calibri" w:hAnsi="Calibri" w:eastAsia="Calibri" w:cs="Calibri"/>
            <w:color w:val="2E74B5"/>
            <w:u w:val="single"/>
          </w:rPr>
          <w:t xml:space="preserve">https://api.worldbank.org/v2/country/USA?format=json</w:t>
        </w:r>
      </w:hyperlink>
    </w:p>
    <w:p>
      <w:pPr>
        <w:pStyle w:val="Heading1"/>
        <w:widowControl/>
      </w:pPr>
      <w:r>
        <w:rPr>
          <w:color w:val="000000"/>
        </w:rPr>
        <w:t>8 Worldwide reach and common package allocation checkpoint</w:t>
      </w:r>
    </w:p>
    <w:p>
      <w:pPr>
        <w:widowControl/>
      </w:pPr>
      <w:r>
        <w:rPr>
          <w:rFonts w:ascii="Calibri" w:hAnsi="Calibri" w:eastAsia="Calibri" w:cs="Calibri"/>
          <w:b/>
        </w:rPr>
        <w:t>Status:</w:t>
      </w:r>
      <w:r>
        <w:t xml:space="preserve"> ongoing research checkpoint. This restores the quantitative allocation chain; it is not the final package-specific allocation result.</w:t>
      </w:r>
    </w:p>
    <w:p>
      <w:pPr>
        <w:pStyle w:val="Heading2"/>
        <w:widowControl/>
      </w:pPr>
      <w:r>
        <w:rPr>
          <w:color w:val="000000"/>
        </w:rPr>
        <w:t>What is being answered</w:t>
      </w:r>
    </w:p>
    <w:p>
      <w:pPr>
        <w:widowControl/>
      </w:pPr>
      <w:r>
        <w:t>The research question remains: how should AI compute be distributed so that educational-material availability produces the greatest additional functional understanding for as many people as possible?</w:t>
      </w:r>
    </w:p>
    <w:p>
      <w:pPr>
        <w:widowControl/>
      </w:pPr>
      <w:r>
        <w:t>The answer needs more than one list. The first table estimates potential reach. The second asks how that reach changes when every target receives exactly the same one 100,000-source-token, text-only educational package translated and checked to the independent-context-plus-deterministic-qa-v2 target. Later target-specific tables must replace the held-equal assumptions with evidence about the actual stage, subject, baseline supply, learning effect, delivery conditions, accessibility work, reusable setup, and overlapping beneficiaries.</w:t>
      </w:r>
    </w:p>
    <w:p>
      <w:pPr>
        <w:widowControl/>
      </w:pPr>
      <w:r>
        <w:t xml:space="preserve">Profile IDs are never ranks. Ordinal positions appear only in columns explicitly named </w:t>
      </w:r>
      <w:r>
        <w:rPr>
          <w:rFonts w:ascii="Calibri" w:hAnsi="Calibri" w:eastAsia="Calibri" w:cs="Calibri"/>
          <w:b/>
        </w:rPr>
        <w:t>Reach position</w:t>
      </w:r>
      <w:r>
        <w:t xml:space="preserve"> or </w:t>
      </w:r>
      <w:r>
        <w:rPr>
          <w:rFonts w:ascii="Calibri" w:hAnsi="Calibri" w:eastAsia="Calibri" w:cs="Calibri"/>
          <w:b/>
        </w:rPr>
        <w:t>Common-package proxy position</w:t>
      </w:r>
      <w:r>
        <w:t>.</w:t>
      </w:r>
    </w:p>
    <w:p>
      <w:pPr>
        <w:widowControl/>
        <w:sectPr>
          <w:headerReference w:type="default" r:id="rId19"/>
          <w:footerReference w:type="default" r:id="rId20"/>
          <w:pgSz w:w="12240" w:h="15840"/>
          <w:pgMar w:top="1440" w:right="1440" w:bottom="1440" w:left="1440" w:header="708" w:footer="708" w:gutter="0"/>
          <w:cols w:space="720"/>
          <w:docGrid w:linePitch="360"/>
        </w:sectPr>
      </w:pPr>
    </w:p>
    <w:p>
      <w:pPr>
        <w:pStyle w:val="Heading2"/>
        <w:widowControl/>
        <w:ind w:right="1800" w:left="1800"/>
      </w:pPr>
      <w:r>
        <w:rPr>
          <w:color w:val="000000"/>
        </w:rPr>
        <w:t>Result 1 potential reach under one common missing data scenario</w:t>
      </w:r>
    </w:p>
    <w:p>
      <w:pPr>
        <w:widowControl/>
        <w:ind w:right="1800" w:left="1800"/>
      </w:pPr>
      <w:r>
        <w:t>The point multiplier is 89.57%; the displayed sensitivity range is 70%-99%. Missing comparable academic-register evidence keeps the common scenario instead of deleting or lowering a target. Chinese in the Simplified-script profile is position 1. Indonesian is position 9 after retaining the direct 2022 BPS communicative-ability population as its point population. Russian is position 10; Ukrainian is position 62 in the pinned CLDR reach layer. Those are potential-reach positions, not judgments about people or final funding positions.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15"/>
        <w:gridCol w:w="2566"/>
        <w:gridCol w:w="1696"/>
        <w:gridCol w:w="1912"/>
        <w:gridCol w:w="2070"/>
        <w:gridCol w:w="3101"/>
      </w:tblGrid>
      <w:tr>
        <w:trPr>
          <w:tblHeader w:val="true"/>
          <w:cantSplit w:val="true"/>
        </w:trPr>
        <w:tc>
          <w:tcPr>
            <w:tcW w:type="dxa" w:w="161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Reach position</w:t>
            </w:r>
          </w:p>
        </w:tc>
        <w:tc>
          <w:tcPr>
            <w:tcW w:type="dxa" w:w="25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edition profile</w:t>
            </w:r>
          </w:p>
        </w:tc>
        <w:tc>
          <w:tcPr>
            <w:tcW w:type="dxa" w:w="169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point</w:t>
            </w:r>
          </w:p>
        </w:tc>
        <w:tc>
          <w:tcPr>
            <w:tcW w:type="dxa" w:w="19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Plausibly helped point</w:t>
            </w:r>
          </w:p>
        </w:tc>
        <w:tc>
          <w:tcPr>
            <w:tcW w:type="dxa" w:w="20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Sensitivity range</w:t>
            </w:r>
          </w:p>
        </w:tc>
        <w:tc>
          <w:tcPr>
            <w:tcW w:type="dxa" w:w="31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basis</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Simplified Standard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1.286 billion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1.152 billion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900.2 million-1.273 billion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Hindi,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519.8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406.2 million-574.5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Spanish,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454.7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355.3 million-502.5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378.8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265.2 million-375.0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French,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233.1 million-329.6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Urdu,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313.1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219.2 million-310.0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279.9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195.9 million-277.1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Portuguese,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249.5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223.5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174.6 million-247.0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248.5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222.6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126.4 million-246.0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DIRECT_BPS_2022_INDONESIAN_COMMUNICATIVE_ABILITY_POINT_WITH_CLDR_CONTEXT</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Russian,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140.8 million-199.1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Swahili,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135.9 million-192.2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Shahmukhi/Perso-Arabic-script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176.7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123.7 million-174.9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99.3 million-140.5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Japanese, Japanese-script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105.3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82.3 million-116.4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Telugu, Telugu-script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71.0 million-100.4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Western Panjabi,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70.7 million-100.0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Marathi,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88.4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69.0 million-97.7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Javanese,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96.1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67.3 million-95.2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Vietnamese,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64.7 million-91.4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Tamil, Tamil-script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81.2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63.4 million-89.7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Persian,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62.4 million-88.3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Wu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59.5 million-84.1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Turkish,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57.7 million-81.6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Korean, Korean-script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55.5 million-78.5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Cantonese,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66.0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51.5 million-72.9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Filipino,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51.2 million-72.5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Egyptian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49.8 million-70.5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Italian,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70.5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49.3 million-69.8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Gujarati, Gujarati-script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45.9 million-65.0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Pashto,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 million-57.5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39.2 million-55.4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Kannada, Kannada-script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36.5 million-51.6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Pidgin,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49.7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44.5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34.8 million-49.2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Malayalam, Malayalam-script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32.1 million-45.5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Odia, Odia-script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31.6 million-44.6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Levantine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43.7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30.6 million-43.2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Gurmukhi-script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30.1 million-42.5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Hausa,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29.3 million-41.5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Polish,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29.1 million-41.1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Xiang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28.7 million-40.7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Amharic,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Traditional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Algerian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27.3 million-38.6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Oromo,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26.8 million-37.9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Sindhi,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 million-37.5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Burmese, Myanmar-script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26.0 million-36.8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25.8 million-36.4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Bhojpuri,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24.2 million-34.3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Sundanese,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23.7 million-33.4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Dutch,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23.0 million-32.5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Hakka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Moroccan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Yoruba,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22.2 million-31.4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Uzbek,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22.1 million-31.2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Sudanese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Igbo,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Saraiki,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21.2 million-30.0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Cebuano,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19.9 million-28.1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Awadhi,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19.2 million-27.2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18.8 million-26.6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Malagasy,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23.7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18.6 million-26.2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Ukrainian,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Bavarian,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16.0 million-22.6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Azerbaijani,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15.8 million-22.3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Nepali,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15.2 million-21.5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Maithili,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14.2 million-20.1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Romanian,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 million-19.8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Nyanja,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13.2 million-18.7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Somali,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13.0 million-18.4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Assamese,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12.8 million-18.1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Madurese,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12.4 million-17.6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Rangpuri,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11.9 million-16.9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Haryanvi,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Magahi,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Marwari,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Northeastern 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11.7 million-16.6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Fulfulde,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11.1 million-15.7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Chhattisgarhi,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10.9 million-15.3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Khmer, Khmer-script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10.6 million-15.0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Zulu,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Sinhala, Sinhala-script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Deccan,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9.8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Shona,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9.7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Akan,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Traditional-script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Swedish,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Czech,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Wolof,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9.2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Kazakh,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9.1 million-12.8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Hungarian,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Greek, Greek-script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Low 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Kinyarwanda,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Quechua,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Iloko,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7.9 million-11.2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Luba-Lulua,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7.8 million-11.0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Tigrinya,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7.7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Xhosa,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Tunisian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bl>
    <w:p>
      <w:pPr>
        <w:widowControl/>
        <w:spacing w:before="0" w:after="40"/>
      </w:pPr>
    </w:p>
    <w:p>
      <w:pPr>
        <w:widowControl/>
        <w:sectPr>
          <w:headerReference w:type="default" r:id="rId226"/>
          <w:footerReference w:type="default" r:id="rId227"/>
          <w:pgSz w:w="15840" w:h="12240" w:orient="landscape"/>
          <w:pgMar w:top="1440" w:right="1440" w:bottom="1440" w:left="1440" w:header="708" w:footer="708" w:gutter="0"/>
          <w:cols w:space="720"/>
          <w:docGrid w:linePitch="360"/>
        </w:sectPr>
      </w:pPr>
    </w:p>
    <w:p>
      <w:pPr>
        <w:pStyle w:val="Heading2"/>
        <w:widowControl/>
      </w:pPr>
      <w:r>
        <w:rPr>
          <w:color w:val="000000"/>
        </w:rPr>
        <w:t>Result 2 the same package divided by standardized token event workload</w:t>
      </w:r>
    </w:p>
    <w:p>
      <w:pPr>
        <w:widowControl/>
      </w:pPr>
      <w:r>
        <w:t>This is the first quantitative compute-allocation bridge. It holds the package and nominal QA target fixed, uses a measured language/script workload where a defensible binding exists, and otherwise uses the identical language-blind envelope. Missing tokenization evidence therefore cannot remove a row. The displayed unit is potential readers per one million fresh-equivalent token events.</w:t>
      </w:r>
    </w:p>
    <w:p>
      <w:pPr>
        <w:widowControl/>
      </w:pPr>
      <w:r>
        <w:t>It is a conditional proxy, not the final efficiency result: it assumes equal incremental educational effect and equal delivery. Fresh-equivalent token events are not physical compute, time, energy, money, or quality.</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57"/>
        <w:gridCol w:w="2000"/>
        <w:gridCol w:w="1257"/>
        <w:gridCol w:w="1563"/>
        <w:gridCol w:w="1563"/>
        <w:gridCol w:w="1320"/>
      </w:tblGrid>
      <w:tr>
        <w:trPr>
          <w:tblHeader w:val="true"/>
          <w:cantSplit w:val="true"/>
        </w:trPr>
        <w:tc>
          <w:tcPr>
            <w:tcW w:type="dxa" w:w="16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Common-package proxy position</w:t>
            </w:r>
          </w:p>
        </w:tc>
        <w:tc>
          <w:tcPr>
            <w:tcW w:type="dxa" w:w="200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2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Point readers per 1m FECU</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Sensitivity range</w:t>
            </w:r>
          </w:p>
        </w:tc>
        <w:tc>
          <w:tcPr>
            <w:tcW w:type="dxa" w:w="13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Workload profile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858,078,700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285,579,704-1,815,176,552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zho_Hans</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347,929,450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121,588,218-714,941,435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330,708,224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112,523,621-685,505,384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spa_Latn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215,448,628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65,561,796-486,510,536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213,167,471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72,947,385-445,370,541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fra_Latn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183,122,705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64,241,656-377,096,747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167,824,727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56,781,781-352,028,512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165,773,561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40,669,148-346,830,957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160,790,872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56,660,233-327,339,326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ben_Beng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126,609,405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43,088,824-262,644,274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Swahili,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110,400,876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33,595,385-249,299,286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Shahmukhi/Perso-Arabic-script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100,477,258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30,575,593-226,890,489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92,656,399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31,610,086-191,930,951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deu_Latn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Japanese, Japanese-script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68,675,694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23,998,228-140,625,240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jpn_Jpan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Javanese,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61,541,346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21,007,940-128,074,730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Western Panjabi,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57,435,613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17,477,865-129,696,954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Vietnamese,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56,859,648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19,670,421-116,635,627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Marathi,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54,856,862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19,524,561-110,944,071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mar_Deva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Telugu, Telugu-script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54,715,793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19,426,504-110,731,661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tel_Telu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Turkish,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51,706,068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17,708,902-107,688,320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tur_Latn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50,739,748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15,440,289-114,576,836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Wu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48,324,693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14,705,379-109,123,332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Tamil, Tamil-script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48,188,313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17,300,503-97,178,539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tam_Taml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Korean, Korean-script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45,091,943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13,721,641-101,823,369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Egyptian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45,042,843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15,378,427-93,722,097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arz_Arab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Italian,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43,669,442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15,129,536-89,714,453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ita_Latn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Cantonese,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41,881,400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12,744,662-94,573,554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Filipino,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41,633,549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12,669,239-94,013,874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Gujarati, Gujarati-script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36,827,395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13,036,851-75,249,249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guj_Gujr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Pashto,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33,024,855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10,049,583-74,574,342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29,876,777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10,801,084-61,115,876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tha_Thai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Pidgin,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28,277,832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8,605,046-63,854,958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Levantine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28,193,586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9,626,392-58,924,982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apc_Arab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Kannada, Kannada-script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27,796,911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9,998,822-55,339,835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kan_Knda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Odia, Odia-script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25,647,402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7,804,597-57,915,110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25,283,771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8,743,942-52,009,619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Traditional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24,624,002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8,388,300-51,327,781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zho_Hant</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Malayalam, Malayalam-script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24,579,283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8,785,283-49,969,023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mal_Mlym</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Polish,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24,379,279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8,531,559-49,624,459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Xiang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23,356,935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7,107,600-52,742,943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Algerian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22,198,628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6,755,123-50,127,339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Dutch,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21,933,157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7,398,669-46,278,700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nld_Latn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Oromo,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21,763,944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6,622,847-49,145,766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Sindhi,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21,759,491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7,691,771-44,210,075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Sundanese,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21,521,599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7,400,475-44,167,883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20,929,961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6,369,063-47,262,527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Moroccan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20,063,920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6,931,069-41,979,056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ary_Arab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Bhojpuri,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19,552,816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6,875,905-39,921,220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bho_Deva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Gurmukhi-script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19,393,058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7,214,028-38,398,074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pan_Guru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Hakka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18,524,465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5,637,062-41,830,611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Uzbek,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17,951,469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5,462,697-40,536,711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Igbo,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17,945,322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6,267,833-37,339,167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ibo_Latn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Sudanese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17,509,842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5,328,308-39,539,461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Saraiki,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17,224,673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5,241,530-38,895,512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Cebuano,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16,489,398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5,792,931-33,947,185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ceb_Latn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Yoruba,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16,223,657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5,868,853-32,896,594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yor_Latn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Awadhi,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15,804,968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5,490,259-32,657,733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awa_Deva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15,302,819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4,656,703-34,555,721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Malagasy,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15,076,827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4,587,933-34,045,403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Burmese, Myanmar-script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14,876,938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5,746,932-28,802,470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mya_Mymr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13,691,997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4,166,524-30,918,277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13,681,980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4,837,925-27,946,199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Bavarian,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12,979,402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3,949,679-29,309,150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Azerbaijani,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12,807,237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3,897,289-28,920,378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Nepali,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12,362,580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3,761,978-27,916,285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Romanian,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11,796,814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4,138,069-23,954,389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ron_Latn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Maithili,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11,522,314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4,061,376-23,809,199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mai_Deva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Nyanja,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11,166,916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3,896,672-23,170,985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nya_Latn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10,667,282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3,767,168-21,845,790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som_Latn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Ethiopic-script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10,139,854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4,192,238-18,900,993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amh_Ethi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Madurese,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10,089,205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3,070,181-22,782,713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Magahi,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9,701,929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3,419,911-19,663,746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mag_Deva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Assamese,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9,698,578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3,498,573-19,312,565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asm_Beng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Rangpuri,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9,683,187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2,946,629-21,865,874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Haryanvi,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Marwari,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Northeastern 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9,544,676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2,904,479-21,553,099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Fulfulde,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9,427,287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3,267,255-19,652,445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fuv_Latn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Chhattisgarhi,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8,859,563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3,131,912-18,126,548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hne_Deva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Swedish,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8,595,279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2,935,387-17,821,088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swe_Latn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Zulu,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8,577,486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3,042,718-17,364,401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zul_Latn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Shona,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8,007,978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2,807,045-16,325,172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Deccan,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7,934,665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2,414,547-17,917,487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Czech,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7,876,222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2,754,709-16,143,409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ces_Latn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Kazakh,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7,743,142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2,709,332-16,243,517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kaz_Cyrl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Traditional-script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7,663,232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2,331,949-17,304,556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Wolof,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7,539,675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2,663,154-15,263,071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wol_Latn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Akan,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6,968,724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2,450,267-14,448,773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aka_Latn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Hungarian,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6,904,214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2,447,869-14,000,203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6,871,180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2,422,456-14,031,008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Low 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6,853,344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2,085,497-15,475,727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Tunisian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6,825,498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2,309,719-14,301,733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aeb_Arab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Quechua,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6,792,664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2,067,032-15,338,703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Sinhala, Sinhala-script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6,631,827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2,501,608-12,873,484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sin_Sinh</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Xhosa,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6,406,871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2,245,955-13,115,068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xho_Latn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Luba-Lulua,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6,389,488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2,206,449-13,217,364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lua_Latn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Iloko,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6,276,195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2,239,045-12,720,226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ilo_Latn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Afrikaans,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6,259,618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2,160,727-13,013,521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afr_Latn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Greek, Greek-script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6,236,033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2,268,502-12,345,370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ell_Grek</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Umbundu,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6,058,396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2,139,308-12,437,394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umb_Latn</w:t>
            </w:r>
          </w:p>
        </w:tc>
      </w:tr>
    </w:tbl>
    <w:p>
      <w:pPr>
        <w:widowControl/>
        <w:spacing w:before="0" w:after="40"/>
      </w:pPr>
    </w:p>
    <w:p>
      <w:pPr>
        <w:pStyle w:val="Heading2"/>
        <w:widowControl/>
      </w:pPr>
      <w:r>
        <w:rPr>
          <w:color w:val="000000"/>
        </w:rPr>
        <w:t>Why the two orders can differ</w:t>
      </w:r>
    </w:p>
    <w:p>
      <w:pPr>
        <w:widowControl/>
      </w:pPr>
      <w:r>
        <w:t>Potential reach is the numerator. The common-package proxy divides it by an estimated end-to-end token-event workload for the same package. Script and tokenizer representation can change the workload estimate, but no claim is made that token counts capture all production difficulty. In the final model, a target with smaller potential reach can lead when a specific package produces a larger additional functional effect, costs less to produce and deliver, or uniquely reaches people not served by another edition.</w:t>
      </w:r>
    </w:p>
    <w:p>
      <w:pPr>
        <w:pStyle w:val="Heading2"/>
        <w:widowControl/>
      </w:pPr>
      <w:r>
        <w:rPr>
          <w:color w:val="000000"/>
        </w:rPr>
        <w:t>What remains before a final allocation claim</w:t>
      </w:r>
    </w:p>
    <w:p>
      <w:pPr>
        <w:widowControl/>
      </w:pPr>
      <w:r>
        <w:t>For each intervention the model still needs a named educational endpoint, an independently usable baseline, a defensible incremental effect, exposure and delivery pathways, accessibility costs, measured physical compute, reusable-work accounting, and beneficiary overlap. The correct final object is portfolio-marginal additional functional access per standardized physical compute, with uncertainty and reversal thresholds, not the nonordinal profile catalogue or this common-package proxy alone.</w:t>
      </w:r>
    </w:p>
    <w:p>
      <w:pPr>
        <w:widowControl/>
      </w:pPr>
      <w:r>
        <w:t>English academic-to-non-academic register translation remains a coequal but analytically separate intervention because its production process and audience nonoverlap cannot be inferred from ordinary English fluency. Signed-language, accessibility-format, displaced-community, and evidence-supported interlanguage interventions likewise remain possible outrankers outside this spoken/written CLDR table.</w:t>
      </w:r>
    </w:p>
    <w:p>
      <w:pPr>
        <w:pStyle w:val="Heading2"/>
        <w:widowControl/>
      </w:pPr>
      <w:r>
        <w:rPr>
          <w:color w:val="000000"/>
        </w:rPr>
        <w:t>Source and nonadditivity cautions</w:t>
      </w:r>
    </w:p>
    <w:p>
      <w:pPr>
        <w:widowControl/>
      </w:pPr>
      <w:r>
        <w:t>CLDR 48 is an open locale-planning source. Its language-population estimates represent people fluent enough to use a computer or smartphone interface and include L1 and L2 users. Resolving likely scripts improves edition specificity but does not prove literacy in that script. Multilingual people, macrolanguages and constituent languages, and alternative scripts can overlap; these rows cannot be summed into a world total. The direct Indonesian population context measures communicative ability, not independent academic reading. All such distinctions are preserved in the machine-readable evidence.</w:t>
      </w:r>
    </w:p>
    <w:sectPr w:rsidR="00FC693F" w:rsidRPr="0006063C" w:rsidSect="00034616">
      <w:headerReference w:type="default" r:id="rId228"/>
      <w:footerReference w:type="default" r:id="rId2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6"/>
      </w:rPr>
      <w:t>OPEN EDUCATIONAL ACCESS RESEARCH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MARGINAL EDUCATIONAL ACCESS</w:t>
    </w:r>
    <w:r>
      <w:rPr>
        <w:rFonts w:ascii="Calibri" w:hAnsi="Calibri" w:eastAsia="Calibri" w:cs="Calibri"/>
        <w:color w:val="66717E"/>
        <w:sz w:val="17"/>
      </w:rPr>
      <w:tab/>
      <w:t>RESEARCH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abstractNum w:abstractNumId="10">
    <w:multiLevelType w:val="singleLevel"/>
    <w:lvl w:ilvl="0">
      <w:start w:val="1"/>
      <w:numFmt w:val="decimal"/>
      <w:lvlText w:val="%1."/>
      <w:suff w:val="tab"/>
      <w:pPr>
        <w:tabs>
          <w:tab w:val="num" w:pos="540"/>
        </w:tabs>
        <w:ind w:left="540" w:hanging="279"/>
      </w:pPr>
      <w:rPr>
        <w:rFonts w:ascii="Calibri" w:hAnsi="Calibri"/>
      </w:rPr>
    </w:lvl>
  </w:abstractNum>
  <w:num w:numId="1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Calibri" w:cs="Calibri"/>
      <w:b/>
      <w:bCs/>
      <w:color w:val="000000"/>
      <w:sz w:val="32"/>
      <w:szCs w:val="28"/>
      <w:lang w:val="en-US"/>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eastAsia="Calibri" w:cs="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outlineLvl w:val="2"/>
    </w:pPr>
    <w:rPr>
      <w:rFonts w:asciiTheme="majorHAnsi" w:eastAsiaTheme="majorEastAsia" w:hAnsiTheme="majorHAnsi" w:cstheme="majorBidi" w:ascii="Calibri" w:hAnsi="Calibri" w:eastAsia="Calibri" w:cs="Calibri"/>
      <w:b/>
      <w:bCs/>
      <w:color w:val="000000"/>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jc w:val="center"/>
    </w:pPr>
    <w:rPr>
      <w:rFonts w:asciiTheme="majorHAnsi" w:eastAsiaTheme="majorEastAsia" w:hAnsiTheme="majorHAnsi" w:cstheme="majorBidi" w:ascii="Calibri" w:hAnsi="Calibri" w:eastAsia="Calibri" w:cs="Calibri"/>
      <w:b/>
      <w:color w:val="000000"/>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20"/>
      <w:jc w:val="center"/>
    </w:pPr>
    <w:rPr>
      <w:rFonts w:asciiTheme="majorHAnsi" w:eastAsiaTheme="majorEastAsia" w:hAnsiTheme="majorHAnsi" w:cstheme="majorBidi" w:ascii="Calibri" w:hAnsi="Calibri" w:eastAsia="Calibri" w:cs="Calibri"/>
      <w:i w:val="0"/>
      <w:iCs/>
      <w:color w:val="000000"/>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40"/>
    </w:pPr>
    <w:rPr>
      <w:rFonts w:ascii="Calibri" w:hAnsi="Calibri" w:eastAsia="Calibri" w:cs="Calibri"/>
      <w:b/>
      <w:bCs/>
      <w:i/>
      <w:color w:val="66717E"/>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widowControl/>
      <w:spacing w:before="0" w:after="80" w:line="290" w:lineRule="auto"/>
    </w:pPr>
    <w:rPr>
      <w:rFonts w:ascii="Calibri" w:hAnsi="Calibri" w:eastAsia="Calibri" w:cs="Calibri"/>
      <w:color w:val="000000"/>
      <w:sz w:val="22"/>
      <w:lang w:val="en-US"/>
    </w:rPr>
  </w:style>
  <w:style w:type="paragraph" w:customStyle="1" w:styleId="ReferenceEntry">
    <w:name w:val="Reference Entry"/>
    <w:pPr>
      <w:widowControl/>
      <w:spacing w:before="0" w:after="120" w:line="264" w:lineRule="auto"/>
      <w:ind w:left="360" w:hanging="360"/>
      <w:jc w:val="left"/>
    </w:pPr>
    <w:rPr>
      <w:rFonts w:ascii="Calibri" w:hAnsi="Calibri" w:eastAsia="Calibri" w:cs="Calibri"/>
      <w:color w:val="000000"/>
      <w:sz w:val="19"/>
      <w:lang w:val="en-US"/>
    </w:rPr>
  </w:style>
  <w:style w:type="paragraph" w:customStyle="1" w:styleId="Equation">
    <w:name w:val="Equation"/>
    <w:pPr>
      <w:keepLines/>
      <w:spacing w:before="140" w:after="180"/>
      <w:jc w:val="center"/>
    </w:pPr>
    <w:rPr>
      <w:rFonts w:ascii="Cambria Math" w:hAnsi="Cambria Math" w:eastAsia="Cambria Math" w:cs="Cambria Math"/>
      <w:color w:val="000000"/>
      <w:sz w:val="21"/>
      <w:lang w:val="en-US"/>
    </w:rPr>
  </w:style>
  <w:style w:type="paragraph" w:customStyle="1" w:styleId="TableSourceNote">
    <w:name w:val="Table Source Note"/>
    <w:pPr>
      <w:spacing w:before="80" w:after="80" w:line="240" w:lineRule="auto"/>
    </w:pPr>
    <w:rPr>
      <w:rFonts w:ascii="Calibri" w:hAnsi="Calibri" w:eastAsia="Calibri" w:cs="Calibri"/>
      <w:color w:val="66717E"/>
      <w:sz w:val="18"/>
      <w:lang w:val="en-US"/>
    </w:rPr>
  </w:style>
  <w:style w:type="paragraph" w:customStyle="1" w:styleId="ResearchQuote">
    <w:name w:val="Research Quote"/>
    <w:pPr>
      <w:widowControl/>
      <w:spacing w:before="100" w:after="180" w:line="288" w:lineRule="auto"/>
      <w:ind w:left="504" w:right="288"/>
    </w:pPr>
    <w:rPr>
      <w:rFonts w:ascii="Calibri" w:hAnsi="Calibri" w:eastAsia="Calibri" w:cs="Calibri"/>
      <w:color w:val="000000"/>
      <w:sz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yperlink" Target="https://doi.org/10.1515/applirev-2022-0093" TargetMode="External"/><Relationship Id="rId22" Type="http://schemas.openxmlformats.org/officeDocument/2006/relationships/hyperlink" Target="https://doi.org/10.1177/2332858419872212" TargetMode="External"/><Relationship Id="rId23" Type="http://schemas.openxmlformats.org/officeDocument/2006/relationships/hyperlink" Target="https://doi.org/10.1001/jama.287.21.2851" TargetMode="External"/><Relationship Id="rId24" Type="http://schemas.openxmlformats.org/officeDocument/2006/relationships/hyperlink" Target="https://doi.org/10.5281/zenodo.15525265" TargetMode="External"/><Relationship Id="rId25" Type="http://schemas.openxmlformats.org/officeDocument/2006/relationships/hyperlink" Target="https://doi.org/10.2196/jmir.2569" TargetMode="External"/><Relationship Id="rId26" Type="http://schemas.openxmlformats.org/officeDocument/2006/relationships/hyperlink" Target="https://doi.org/10.1016/j.cognition.2022.105070" TargetMode="External"/><Relationship Id="rId27" Type="http://schemas.openxmlformats.org/officeDocument/2006/relationships/hyperlink" Target="https://doi.org/10.1073/pnas.2302672120" TargetMode="External"/><Relationship Id="rId28" Type="http://schemas.openxmlformats.org/officeDocument/2006/relationships/hyperlink" Target="https://doi.org/10.1016/j.jclinepi.2023.11.009" TargetMode="External"/><Relationship Id="rId29" Type="http://schemas.openxmlformats.org/officeDocument/2006/relationships/hyperlink" Target="https://www.cdpf.org.cn/zwgk/ghjh/af85c8a4edd744159b1a60f659a36d9b.htm" TargetMode="External"/><Relationship Id="rId30" Type="http://schemas.openxmlformats.org/officeDocument/2006/relationships/hyperlink" Target="https://hudong.moe.gov.cn/jyb_sjzl/wenzi/202108/t20210827_554992.html" TargetMode="External"/><Relationship Id="rId31" Type="http://schemas.openxmlformats.org/officeDocument/2006/relationships/hyperlink" Target="https://www.moe.gov.cn/fbh/live/2025/77791/mtbd/202512/t20251231_1425330.html" TargetMode="External"/><Relationship Id="rId32" Type="http://schemas.openxmlformats.org/officeDocument/2006/relationships/hyperlink" Target="https://www.moe.gov.cn/jyb_sjzl/sjzl_fztjgb/202607/t20260706_1442870.html" TargetMode="External"/><Relationship Id="rId33" Type="http://schemas.openxmlformats.org/officeDocument/2006/relationships/hyperlink" Target="https://www.stats.gov.cn/english/PressRelease/202605/t20260522_1963789.html" TargetMode="External"/><Relationship Id="rId34" Type="http://schemas.openxmlformats.org/officeDocument/2006/relationships/hyperlink" Target="https://www.stats.gov.cn/sj/zxfb/202604/t20260430_1963472.html" TargetMode="External"/><Relationship Id="rId35" Type="http://schemas.openxmlformats.org/officeDocument/2006/relationships/hyperlink" Target="https://www.stats.gov.cn/zs/tjwh/tjkw/tjzl/202304/P020230419425666818737.pdf" TargetMode="External"/><Relationship Id="rId36" Type="http://schemas.openxmlformats.org/officeDocument/2006/relationships/hyperlink" Target="https://www.nppa.gov.cn/xxfb/ywdt/202607/t20260709_998348.html" TargetMode="External"/><Relationship Id="rId37" Type="http://schemas.openxmlformats.org/officeDocument/2006/relationships/hyperlink" Target="https://doi.org/10.1371/journal.pone.0324760" TargetMode="External"/><Relationship Id="rId38" Type="http://schemas.openxmlformats.org/officeDocument/2006/relationships/hyperlink" Target="https://anads.ansd.sn/index.php/catalog/311/download/3095" TargetMode="External"/><Relationship Id="rId39" Type="http://schemas.openxmlformats.org/officeDocument/2006/relationships/hyperlink" Target="https://fmino.gov.ng/fg-reaffirms-english-as-medium-of-instruction-launches-inclusive-language-policy-to-promote-national-unity-2/" TargetMode="External"/><Relationship Id="rId40" Type="http://schemas.openxmlformats.org/officeDocument/2006/relationships/hyperlink" Target="https://census2021.statsghana.gov.gh/" TargetMode="External"/><Relationship Id="rId41" Type="http://schemas.openxmlformats.org/officeDocument/2006/relationships/hyperlink" Target="https://www.instat-mali.org/laravel-filemanager/files/shares/rgph/rapport-scolarisation-instruction-alphabetisation-rgph5_rgph.pdf" TargetMode="External"/><Relationship Id="rId42" Type="http://schemas.openxmlformats.org/officeDocument/2006/relationships/hyperlink" Target="https://www.nigerianstat.gov.ng/pdfuploads/2021%20MICS%20Statistical%20Snapshots%20Report.pdf" TargetMode="External"/><Relationship Id="rId43" Type="http://schemas.openxmlformats.org/officeDocument/2006/relationships/hyperlink" Target="https://www.unicode.org/L2/L2018/18094-arabic-hausa.pdf" TargetMode="External"/><Relationship Id="rId44" Type="http://schemas.openxmlformats.org/officeDocument/2006/relationships/hyperlink" Target="https://ifra-nigeria.org/research/former-projects/89-guide-to-standard-naija-orthography-an-nla-harmonized-writing-system-for-common-naija-publications" TargetMode="External"/><Relationship Id="rId45" Type="http://schemas.openxmlformats.org/officeDocument/2006/relationships/hyperlink" Target="https://www.nbte.gov.ng/nbte/digest%20of%20statistics" TargetMode="External"/><Relationship Id="rId46" Type="http://schemas.openxmlformats.org/officeDocument/2006/relationships/hyperlink" Target="https://www.nerdc.gov.ng/content_manager/ldc_achievements.html" TargetMode="External"/><Relationship Id="rId47" Type="http://schemas.openxmlformats.org/officeDocument/2006/relationships/hyperlink" Target="https://www.nerdc.gov.ng/content_manager/cd.html" TargetMode="External"/><Relationship Id="rId48" Type="http://schemas.openxmlformats.org/officeDocument/2006/relationships/hyperlink" Target="https://teras.tetfund.gov.ng/services" TargetMode="External"/><Relationship Id="rId49" Type="http://schemas.openxmlformats.org/officeDocument/2006/relationships/hyperlink" Target="https://www.unicef.org/nigeria/media/9211/file/Nigeria%20Education%20Fact%20Sheets.pdf" TargetMode="External"/><Relationship Id="rId50" Type="http://schemas.openxmlformats.org/officeDocument/2006/relationships/hyperlink" Target="https://www.unicef.org/nigeria/reports/national-assessment-learning-achievement-basic-education" TargetMode="External"/><Relationship Id="rId51" Type="http://schemas.openxmlformats.org/officeDocument/2006/relationships/hyperlink" Target="https://data.worldbank.org/country/nigeria" TargetMode="External"/><Relationship Id="rId52" Type="http://schemas.openxmlformats.org/officeDocument/2006/relationships/hyperlink" Target="https://www.worldbank.org/en/topic/education/publication/loud-and-clear-effective-language-of-instruction-policies-for-learning" TargetMode="External"/><Relationship Id="rId53" Type="http://schemas.openxmlformats.org/officeDocument/2006/relationships/hyperlink" Target="https://unesdoc.unesco.org/in/documentViewer.xhtml?ark=%2Fark%3A%2F48223%2Fpf0000212270%2FPDF%2F212270eng.pdf" TargetMode="External"/><Relationship Id="rId54" Type="http://schemas.openxmlformats.org/officeDocument/2006/relationships/hyperlink" Target="https://data.worldbank.org/country/pakistan" TargetMode="External"/><Relationship Id="rId55" Type="http://schemas.openxmlformats.org/officeDocument/2006/relationships/hyperlink" Target="https://data.worldbank.org/country/ukraine" TargetMode="External"/><Relationship Id="rId56" Type="http://schemas.openxmlformats.org/officeDocument/2006/relationships/hyperlink" Target="https://data.worldbank.org/country/russian-federation" TargetMode="External"/><Relationship Id="rId57" Type="http://schemas.openxmlformats.org/officeDocument/2006/relationships/hyperlink" Target="https://github.com/openstax/osbooks-prealgebra-bundle/tree/38cae454e644abf9f0a623e876994553881597c9" TargetMode="External"/><Relationship Id="rId58" Type="http://schemas.openxmlformats.org/officeDocument/2006/relationships/hyperlink" Target="https://github.com/openstax/osbooks-introductory-statistics-bundle/tree/1f6a35825395bb4aa2834cf1eca37512655f920c" TargetMode="External"/><Relationship Id="rId59" Type="http://schemas.openxmlformats.org/officeDocument/2006/relationships/hyperlink" Target="https://github.com/openstax/osbooks-biology-bundle/tree/63f8b6f8d129dd1582989bb755011e9a6d523471" TargetMode="External"/><Relationship Id="rId60" Type="http://schemas.openxmlformats.org/officeDocument/2006/relationships/hyperlink" Target="https://github.com/openstax/osbooks-chemistry-bundle/tree/3be4b60ff501f29a445f0cacf003e5f5cc16244d" TargetMode="External"/><Relationship Id="rId61" Type="http://schemas.openxmlformats.org/officeDocument/2006/relationships/hyperlink" Target="https://github.com/openstax/osbooks-college-physics-bundle/tree/fd1b25dfd5d8c6580c6e2b2b34a19e29cc69ada9" TargetMode="External"/><Relationship Id="rId62" Type="http://schemas.openxmlformats.org/officeDocument/2006/relationships/hyperlink" Target="https://github.com/openstax/osbooks-principles-of-management-bundle/tree/f2b749648a176dbe114dbc4e35ec20c030be4713" TargetMode="External"/><Relationship Id="rId63" Type="http://schemas.openxmlformats.org/officeDocument/2006/relationships/hyperlink" Target="https://github.com/openstax/osbooks-principles-finance/tree/e3e5135ae36e21282d7afb4cccd5ce09f421d830" TargetMode="External"/><Relationship Id="rId64" Type="http://schemas.openxmlformats.org/officeDocument/2006/relationships/hyperlink" Target="https://github.com/openstax/osbooks-anatomy-physiology/tree/716383a4c6c16037b14d75a156c65145e75e895e" TargetMode="External"/><Relationship Id="rId65" Type="http://schemas.openxmlformats.org/officeDocument/2006/relationships/hyperlink" Target="https://github.com/openstax/osbooks-introduction-python-programming/tree/d215dd3b99c33db855c49315152ebd5fbadc8534" TargetMode="External"/><Relationship Id="rId66" Type="http://schemas.openxmlformats.org/officeDocument/2006/relationships/hyperlink" Target="https://www.houstonisd.org/fs/resource-manager/view/a76fe050-7086-4b96-9bdc-540738502595" TargetMode="External"/><Relationship Id="rId67" Type="http://schemas.openxmlformats.org/officeDocument/2006/relationships/hyperlink" Target="https://www.houstonisd.org/schools-academics/academics/multilingual/multilingual-program-models" TargetMode="External"/><Relationship Id="rId68" Type="http://schemas.openxmlformats.org/officeDocument/2006/relationships/hyperlink" Target="https://www.houstonisd.org/schools-academics/academics/multilingual/testing-identification" TargetMode="External"/><Relationship Id="rId69" Type="http://schemas.openxmlformats.org/officeDocument/2006/relationships/hyperlink" Target="https://tea.texas.gov/curriculum-and-instruction/instructional-materials/bluebonnet-learning/bluebonnet-learning-k-5-math-and-secondary-mathematics" TargetMode="External"/><Relationship Id="rId70" Type="http://schemas.openxmlformats.org/officeDocument/2006/relationships/hyperlink" Target="https://tea.texas.gov/laws-and-rules/state-board-education/teks/texas-essential-knowledge-and-skills-spanish" TargetMode="External"/><Relationship Id="rId71" Type="http://schemas.openxmlformats.org/officeDocument/2006/relationships/hyperlink" Target="https://wharton.houstonisd.org/academics-programs/academic-offerings" TargetMode="External"/><Relationship Id="rId72" Type="http://schemas.openxmlformats.org/officeDocument/2006/relationships/hyperlink" Target="https://www.worldbank.org/en/country/thailand/publication/fostering-foundational-skills-in-thailand" TargetMode="External"/><Relationship Id="rId73" Type="http://schemas.openxmlformats.org/officeDocument/2006/relationships/hyperlink" Target="https://www.unicef.org/myanmar/learning" TargetMode="External"/><Relationship Id="rId74" Type="http://schemas.openxmlformats.org/officeDocument/2006/relationships/hyperlink" Target="https://mooc.unam.mx/" TargetMode="External"/><Relationship Id="rId75" Type="http://schemas.openxmlformats.org/officeDocument/2006/relationships/hyperlink" Target="https://sensus.bps.go.id/topik/tabular/sp2022/196/1/0" TargetMode="External"/><Relationship Id="rId76" Type="http://schemas.openxmlformats.org/officeDocument/2006/relationships/hyperlink" Target="https://sensus.bps.go.id/topik/tabular/sp2022/197/0/0" TargetMode="External"/><Relationship Id="rId77" Type="http://schemas.openxmlformats.org/officeDocument/2006/relationships/hyperlink" Target="https://peraturan.bpk.go.id/Download/32160/UU%20Nomor%2020%20Tahun%202003.pdf" TargetMode="External"/><Relationship Id="rId78" Type="http://schemas.openxmlformats.org/officeDocument/2006/relationships/hyperlink" Target="https://www.bps.go.id/id/publication/2025/08/29/beaa2be400eda6ce6c636ef8/telecommunication-statistics-in-indonesia-2024.html" TargetMode="External"/><Relationship Id="rId79" Type="http://schemas.openxmlformats.org/officeDocument/2006/relationships/hyperlink" Target="https://buku.kemendikdasmen.go.id/katalog" TargetMode="External"/><Relationship Id="rId80" Type="http://schemas.openxmlformats.org/officeDocument/2006/relationships/hyperlink" Target="https://pskp.kemendikdasmen.go.id/assets_front/images/produk/1-gtk/kebijakan/Policy_Brief-Optimising_the_Use_of_Local_Languages_in_Early_Grades_FIN_%281%29.pdf" TargetMode="External"/><Relationship Id="rId81" Type="http://schemas.openxmlformats.org/officeDocument/2006/relationships/hyperlink" Target="https://www.ebookbou.edu.bd/wp/OS/osbba3_1.php" TargetMode="External"/><Relationship Id="rId82" Type="http://schemas.openxmlformats.org/officeDocument/2006/relationships/hyperlink" Target="https://banbeis.gov.bd/pages/static-pages/6a338d7fcb6cb358ff185b6c" TargetMode="External"/><Relationship Id="rId83" Type="http://schemas.openxmlformats.org/officeDocument/2006/relationships/hyperlink" Target="https://bbs.gov.bd/pages/files/6a609418b859b8767ff841e0" TargetMode="External"/><Relationship Id="rId84" Type="http://schemas.openxmlformats.org/officeDocument/2006/relationships/hyperlink" Target="https://doi.org/10.24815/siele.v12i1.38407" TargetMode="External"/><Relationship Id="rId85" Type="http://schemas.openxmlformats.org/officeDocument/2006/relationships/hyperlink" Target="https://doi.org/10.1080/15348458.2020.1871353" TargetMode="External"/><Relationship Id="rId86" Type="http://schemas.openxmlformats.org/officeDocument/2006/relationships/hyperlink" Target="https://doi.org/10.1016/j.ijedudev.2023.102951" TargetMode="External"/><Relationship Id="rId87" Type="http://schemas.openxmlformats.org/officeDocument/2006/relationships/hyperlink" Target="https://doi.org/10.1787/53f23881-en" TargetMode="External"/><Relationship Id="rId88" Type="http://schemas.openxmlformats.org/officeDocument/2006/relationships/hyperlink" Target="https://stat.link/hpg9nd" TargetMode="External"/><Relationship Id="rId89" Type="http://schemas.openxmlformats.org/officeDocument/2006/relationships/hyperlink" Target="https://stat.link/znxau8" TargetMode="External"/><Relationship Id="rId90" Type="http://schemas.openxmlformats.org/officeDocument/2006/relationships/hyperlink" Target="https://www.oecd.org/content/dam/oecd/en/publications/reports/2023/11/pisa-2022-results-volume-i-and-ii-country-notes_2fca04b9/ukrainian-regions-18-of-27_de3ad3b1/78043794-en.pdf" TargetMode="External"/><Relationship Id="rId91" Type="http://schemas.openxmlformats.org/officeDocument/2006/relationships/hyperlink" Target="https://ec.europa.eu/eurostat/web/products-eurostat-news/w/ddn-20260811-1" TargetMode="External"/><Relationship Id="rId92" Type="http://schemas.openxmlformats.org/officeDocument/2006/relationships/hyperlink" Target="https://www.hse.ru/en/primarydata/oc2025" TargetMode="External"/><Relationship Id="rId93" Type="http://schemas.openxmlformats.org/officeDocument/2006/relationships/hyperlink" Target="https://www.kiis.com.ua/?cat=reports&amp;id=1619&amp;lang=eng&amp;page=1" TargetMode="External"/><Relationship Id="rId94" Type="http://schemas.openxmlformats.org/officeDocument/2006/relationships/hyperlink" Target="https://www.riigikontroll.ee/en/audits/estonian-language-training-russian-language-basic-school" TargetMode="External"/><Relationship Id="rId95" Type="http://schemas.openxmlformats.org/officeDocument/2006/relationships/hyperlink" Target="https://2001.ukrcensus.gov.ua/d/mono_eng.pdf" TargetMode="External"/><Relationship Id="rId96" Type="http://schemas.openxmlformats.org/officeDocument/2006/relationships/hyperlink" Target="https://ukraine.un.org/en/262987-analysis-war-damage-ukrainian-science-sector-and-its-consequences" TargetMode="External"/><Relationship Id="rId97" Type="http://schemas.openxmlformats.org/officeDocument/2006/relationships/hyperlink" Target="https://www.pbs.gov.pk/wp-content/uploads/2020/07/PSLM_Report_2024-25-janurary-26-Social-Reportupdated.pdf" TargetMode="External"/><Relationship Id="rId98" Type="http://schemas.openxmlformats.org/officeDocument/2006/relationships/hyperlink" Target="https://www.unicef.org/bangladesh/en/data-situation-children-bangladesh" TargetMode="External"/><Relationship Id="rId99" Type="http://schemas.openxmlformats.org/officeDocument/2006/relationships/hyperlink" Target="https://ocw.vu.edu.pk/Courses.aspx?cat=Mathematics" TargetMode="External"/><Relationship Id="rId100" Type="http://schemas.openxmlformats.org/officeDocument/2006/relationships/hyperlink" Target="https://utokyo-ipp.github.io/" TargetMode="External"/><Relationship Id="rId101" Type="http://schemas.openxmlformats.org/officeDocument/2006/relationships/hyperlink" Target="https://www.tup.tsinghua.edu.cn/booksCenter/book_09529801.html" TargetMode="External"/><Relationship Id="rId102" Type="http://schemas.openxmlformats.org/officeDocument/2006/relationships/hyperlink" Target="https://doi.org/10.1007/s11185-015-9150-9" TargetMode="External"/><Relationship Id="rId103" Type="http://schemas.openxmlformats.org/officeDocument/2006/relationships/hyperlink" Target="https://www.diva-portal.org/smash/get/diva2:22664/FULLTEXT01.pdf" TargetMode="External"/><Relationship Id="rId104" Type="http://schemas.openxmlformats.org/officeDocument/2006/relationships/hyperlink" Target="https://doi.org/10.1257/app.20150385" TargetMode="External"/><Relationship Id="rId105" Type="http://schemas.openxmlformats.org/officeDocument/2006/relationships/hyperlink" Target="https://doi.org/10.1257/app.1.1.112" TargetMode="External"/><Relationship Id="rId106" Type="http://schemas.openxmlformats.org/officeDocument/2006/relationships/hyperlink" Target="https://doi.org/10.1257/aer.20171112" TargetMode="External"/><Relationship Id="rId107" Type="http://schemas.openxmlformats.org/officeDocument/2006/relationships/hyperlink" Target="https://www.unicef.org/bangladesh/en/reports/bangladesh-multiple-indicator-cluster-survey-2025-0" TargetMode="External"/><Relationship Id="rId108" Type="http://schemas.openxmlformats.org/officeDocument/2006/relationships/hyperlink" Target="https://data.unicef.org/sdgs/country/bgd/" TargetMode="External"/><Relationship Id="rId109" Type="http://schemas.openxmlformats.org/officeDocument/2006/relationships/hyperlink" Target="https://mospi.gov.in/sites/default/files/publication_reports/Report_585_75th_round_Education_final_1507_0.pdf" TargetMode="External"/><Relationship Id="rId110" Type="http://schemas.openxmlformats.org/officeDocument/2006/relationships/hyperlink" Target="https://asercentre.org/wp-content/uploads/2022/12/ASER-2024-National-findings.pdf" TargetMode="External"/><Relationship Id="rId111" Type="http://schemas.openxmlformats.org/officeDocument/2006/relationships/hyperlink" Target="https://cdnbbsr.s3waas.gov.in/s392049debbe566ca5782a3045cf300a3c/uploads/2026/07/202607131602421770.pdf" TargetMode="External"/><Relationship Id="rId112" Type="http://schemas.openxmlformats.org/officeDocument/2006/relationships/hyperlink" Target="https://www.dsel-education.gov.in/statistics" TargetMode="External"/><Relationship Id="rId113" Type="http://schemas.openxmlformats.org/officeDocument/2006/relationships/hyperlink" Target="https://diksha.gov.in/help/faqs/user/features.html" TargetMode="External"/><Relationship Id="rId114" Type="http://schemas.openxmlformats.org/officeDocument/2006/relationships/hyperlink" Target="https://islrtc.nic.in/faq/" TargetMode="External"/><Relationship Id="rId115" Type="http://schemas.openxmlformats.org/officeDocument/2006/relationships/hyperlink" Target="https://ncert.nic.in/primers.php" TargetMode="External"/><Relationship Id="rId116" Type="http://schemas.openxmlformats.org/officeDocument/2006/relationships/hyperlink" Target="https://mospi.gov.in/sites/default/files/publication_reports/CMST_report_m.pdf" TargetMode="External"/><Relationship Id="rId117" Type="http://schemas.openxmlformats.org/officeDocument/2006/relationships/hyperlink" Target="https://nptel.ac.in/translation" TargetMode="External"/><Relationship Id="rId118" Type="http://schemas.openxmlformats.org/officeDocument/2006/relationships/hyperlink" Target="https://www.bunka.go.jp/seisaku/kokugo_nihongo/kokugo_shisaku/kikigengo/" TargetMode="External"/><Relationship Id="rId119" Type="http://schemas.openxmlformats.org/officeDocument/2006/relationships/hyperlink" Target="https://www8.cao.go.jp/shougai/suishin/jsl.html" TargetMode="External"/><Relationship Id="rId120" Type="http://schemas.openxmlformats.org/officeDocument/2006/relationships/hyperlink" Target="https://www.jstage.jst.go.jp/static/pages/JstageOverview/-char/en" TargetMode="External"/><Relationship Id="rId121" Type="http://schemas.openxmlformats.org/officeDocument/2006/relationships/hyperlink" Target="https://www.mext.go.jp/b_menu/toukei/002/002b/1417059_00009.htm" TargetMode="External"/><Relationship Id="rId122" Type="http://schemas.openxmlformats.org/officeDocument/2006/relationships/hyperlink" Target="https://www.mext.go.jp/content/20240808-mxt_kyokoku-000037366_4.pdf" TargetMode="External"/><Relationship Id="rId123" Type="http://schemas.openxmlformats.org/officeDocument/2006/relationships/hyperlink" Target="https://www.mext.go.jp/content/20240524-mxt_chousa02-100002205_2.pdf" TargetMode="External"/><Relationship Id="rId124" Type="http://schemas.openxmlformats.org/officeDocument/2006/relationships/hyperlink" Target="https://www.mext.go.jp/content/20240228-soseisk02-100000597_09.pdf" TargetMode="External"/><Relationship Id="rId125" Type="http://schemas.openxmlformats.org/officeDocument/2006/relationships/hyperlink" Target="https://www.nistep.go.jp/wp/wp-content/uploads/NISTEP-RM254-PressJ.pdf" TargetMode="External"/><Relationship Id="rId126" Type="http://schemas.openxmlformats.org/officeDocument/2006/relationships/hyperlink" Target="https://data.worldbank.org/country/japan" TargetMode="External"/><Relationship Id="rId127" Type="http://schemas.openxmlformats.org/officeDocument/2006/relationships/hyperlink" Target="https://censusindia.gov.in/nada/index.php/catalog/10191" TargetMode="External"/><Relationship Id="rId128" Type="http://schemas.openxmlformats.org/officeDocument/2006/relationships/hyperlink" Target="https://censusindia.gov.in/nada/index.php/catalog/10262" TargetMode="External"/><Relationship Id="rId129" Type="http://schemas.openxmlformats.org/officeDocument/2006/relationships/hyperlink" Target="https://www.deped.gov.ph/als-learning-materials/" TargetMode="External"/><Relationship Id="rId130" Type="http://schemas.openxmlformats.org/officeDocument/2006/relationships/hyperlink" Target="https://lrmds.deped.gov.ph/k_to_12" TargetMode="External"/><Relationship Id="rId131" Type="http://schemas.openxmlformats.org/officeDocument/2006/relationships/hyperlink" Target="https://www.deped.gov.ph/wp-content/uploads/DO_s2025_020r_8.pdf" TargetMode="External"/><Relationship Id="rId132" Type="http://schemas.openxmlformats.org/officeDocument/2006/relationships/hyperlink" Target="https://psa.gov.ph/content/tagalog-most-widely-spoken-language-home-2020-census-population-and-housing" TargetMode="External"/><Relationship Id="rId133" Type="http://schemas.openxmlformats.org/officeDocument/2006/relationships/hyperlink" Target="https://psa.gov.ph/content/more-50-million-have-access-internet-2020-census-population-and-housing" TargetMode="External"/><Relationship Id="rId134" Type="http://schemas.openxmlformats.org/officeDocument/2006/relationships/hyperlink" Target="https://psa.gov.ph/content/every-10-filipinos-9-have-basic-literacy-while-7-have-functional-literacy" TargetMode="External"/><Relationship Id="rId135" Type="http://schemas.openxmlformats.org/officeDocument/2006/relationships/hyperlink" Target="https://psa.gov.ph/content/percentage-households-internet-connection-increased-488-percent-2024-two-every-three" TargetMode="External"/><Relationship Id="rId136" Type="http://schemas.openxmlformats.org/officeDocument/2006/relationships/hyperlink" Target="https://stat.gov.kz/en/national/2021/" TargetMode="External"/><Relationship Id="rId137" Type="http://schemas.openxmlformats.org/officeDocument/2006/relationships/hyperlink" Target="https://media.unesco.org/sites/default/files/webform/r2e002/mongolian-state-report-on-the-implementation-of-the-1960-convention-and-recommendation-against-discrimination-in-education-15-nov-2020.pdf" TargetMode="External"/><Relationship Id="rId138" Type="http://schemas.openxmlformats.org/officeDocument/2006/relationships/hyperlink" Target="https://stat.gov.kg/kg/opendata/category/4263/" TargetMode="External"/><Relationship Id="rId139" Type="http://schemas.openxmlformats.org/officeDocument/2006/relationships/hyperlink" Target="https://stat.uz/images/umumtalim-eng-30_03_2022.pdf" TargetMode="External"/><Relationship Id="rId140" Type="http://schemas.openxmlformats.org/officeDocument/2006/relationships/hyperlink" Target="https://www.worldbank.org/en/topic/education/brief/learning-poverty" TargetMode="External"/><Relationship Id="rId141" Type="http://schemas.openxmlformats.org/officeDocument/2006/relationships/hyperlink" Target="https://tjj.xinjiang.gov.cn/tjj/tjgn/202106/e3605637963f4f7280654a6f07af0b0e.shtml" TargetMode="External"/><Relationship Id="rId142" Type="http://schemas.openxmlformats.org/officeDocument/2006/relationships/hyperlink" Target="https://www.pbs.gov.pk/wp-content/uploads/census_tables/tables/Table_4_national.pdf" TargetMode="External"/><Relationship Id="rId143" Type="http://schemas.openxmlformats.org/officeDocument/2006/relationships/hyperlink" Target="https://www.pbs.gov.pk/wp-content/uploads/census_tables/tables/table_11_national.pdf" TargetMode="External"/><Relationship Id="rId144" Type="http://schemas.openxmlformats.org/officeDocument/2006/relationships/hyperlink" Target="https://www.pbs.gov.pk/wp-content/uploads/census_tables/tables/table_12_national.pdf" TargetMode="External"/><Relationship Id="rId145" Type="http://schemas.openxmlformats.org/officeDocument/2006/relationships/hyperlink" Target="https://www.hec.gov.pk/english/services/students/DL/Pages/FAQs.aspx" TargetMode="External"/><Relationship Id="rId146" Type="http://schemas.openxmlformats.org/officeDocument/2006/relationships/hyperlink" Target="https://www.hec.gov.pk/english/news/AnnualReports/Annual-Report-2023-24.pdf" TargetMode="External"/><Relationship Id="rId147" Type="http://schemas.openxmlformats.org/officeDocument/2006/relationships/hyperlink" Target="https://mohr.gov.pk/SiteImage/Misc/files/Final%20Draft%20Year%20Book%202022-23%20ver%202nd%20April,%202024.pdf" TargetMode="External"/><Relationship Id="rId148" Type="http://schemas.openxmlformats.org/officeDocument/2006/relationships/hyperlink" Target="https://ncc.gov.pk/SiteImage/Misc/files/Inclusive%20Scheme%20of%20Studies%20Version%20I%281%29.pdf" TargetMode="External"/><Relationship Id="rId149" Type="http://schemas.openxmlformats.org/officeDocument/2006/relationships/hyperlink" Target="https://pie.gov.pk/SiteImage/Publication/NFE.pdf" TargetMode="External"/><Relationship Id="rId150" Type="http://schemas.openxmlformats.org/officeDocument/2006/relationships/hyperlink" Target="https://pie.gov.pk/SiteImage/Downloads/NAT%202023%20Findings%20Report%2006.03.2024%20-Final-%20v6.pdf" TargetMode="External"/><Relationship Id="rId151" Type="http://schemas.openxmlformats.org/officeDocument/2006/relationships/hyperlink" Target="https://twaweza.org/wp-content/uploads/2021/01/Tanzania-Report-FINAL3-2019-13-12-2019-Print-Readyzm.pdf" TargetMode="External"/><Relationship Id="rId152" Type="http://schemas.openxmlformats.org/officeDocument/2006/relationships/hyperlink" Target="https://drive.egovcloud.gov.bd/index.php/s/VeBQB1ZuzSZPRBJ" TargetMode="External"/><Relationship Id="rId153" Type="http://schemas.openxmlformats.org/officeDocument/2006/relationships/hyperlink" Target="https://interslavic-language.org/doc/ijeg-2019-interslavic.pdf" TargetMode="External"/><Relationship Id="rId154" Type="http://schemas.openxmlformats.org/officeDocument/2006/relationships/hyperlink" Target="https://bn.khanacademy.org/math/early-math/cc-early-math-counting-topic" TargetMode="External"/><Relationship Id="rId155" Type="http://schemas.openxmlformats.org/officeDocument/2006/relationships/hyperlink" Target="https://statistics.gov.rw/sites/default/files/documents/2025-02/Education.pdf" TargetMode="External"/><Relationship Id="rId156" Type="http://schemas.openxmlformats.org/officeDocument/2006/relationships/hyperlink" Target="https://www.reb.gov.rw/news-detail/translated-books-are-now-available-for-students-and-teachers" TargetMode="External"/><Relationship Id="rId157" Type="http://schemas.openxmlformats.org/officeDocument/2006/relationships/hyperlink" Target="https://www.pacificweb.org/library/preview.php?file=fsm/states/2023FSMMunicipality.xlsx" TargetMode="External"/><Relationship Id="rId158" Type="http://schemas.openxmlformats.org/officeDocument/2006/relationships/hyperlink" Target="https://open.alberta.ca/dataset/ac9f2505-2b2d-4e4f-919e-41769c41d6ca/resource/4c805ee1-02bf-4721-a62e-c78ba6875038/download/cree-12y-guide-to-implementation-7-9-draft.pdf" TargetMode="External"/><Relationship Id="rId159" Type="http://schemas.openxmlformats.org/officeDocument/2006/relationships/hyperlink" Target="https://www.assembly.nu.ca/sites/default/files/2024-11/EDU%20Annual%20Report%202022-23%20EN.pdf" TargetMode="External"/><Relationship Id="rId160" Type="http://schemas.openxmlformats.org/officeDocument/2006/relationships/hyperlink" Target="https://www.assembly.nu.ca/sites/default/files/2025-09/TD-463-6(2)-EN-Education%20Annual%20Report%202023-24.pdf" TargetMode="External"/><Relationship Id="rId161" Type="http://schemas.openxmlformats.org/officeDocument/2006/relationships/hyperlink" Target="https://censo2018.ine.gob.gt/archivos/Principales_resultados_Censo2018.pdf" TargetMode="External"/><Relationship Id="rId162" Type="http://schemas.openxmlformats.org/officeDocument/2006/relationships/hyperlink" Target="https://edu.mineduc.gob.gt/documents/memoriaLabores/Memoria_de_Labores_2022.pdf" TargetMode="External"/><Relationship Id="rId163" Type="http://schemas.openxmlformats.org/officeDocument/2006/relationships/hyperlink" Target="https://www.ihsi.gouv.ht/statistiques/statistiques_demographiques_et_sociales/projections_et_estimations_de_la_population" TargetMode="External"/><Relationship Id="rId164" Type="http://schemas.openxmlformats.org/officeDocument/2006/relationships/hyperlink" Target="https://prdrse4all.spc.int/sites/default/files/marshall_islands_census_report_2021.pdf" TargetMode="External"/><Relationship Id="rId165" Type="http://schemas.openxmlformats.org/officeDocument/2006/relationships/hyperlink" Target="https://www.ine.gov.py/ende/contenido.php?c=1484&amp;title=21_de_febrero,_D%C3%ADa_Internacional_de_la_Lengua_Materna" TargetMode="External"/><Relationship Id="rId166" Type="http://schemas.openxmlformats.org/officeDocument/2006/relationships/hyperlink" Target="https://siteal.iiep.unesco.org/sites/default/files/sit_accion_files/plan_nacional_de_transformacion_educativa_paraguay_2040.pdf" TargetMode="External"/><Relationship Id="rId167" Type="http://schemas.openxmlformats.org/officeDocument/2006/relationships/hyperlink" Target="https://repositorio.minedu.gob.pe/bitstream/handle/20.500.12799/6562/Resultados%202018%20Evaluaci%C3%B3n%20Censal%20de%20Estudiantes%20y%20Evaluaci%C3%B3n%20Muestral%20de%20Estudiantes%20evaluaciones%20de%20logros%20de%20aprendizaje.pdf?isAllowed=y&amp;sequence=1" TargetMode="External"/><Relationship Id="rId168" Type="http://schemas.openxmlformats.org/officeDocument/2006/relationships/hyperlink" Target="https://statistics.gov.sb/english-is-solomon-islands-most-predominant-language-in-communication/" TargetMode="External"/><Relationship Id="rId169" Type="http://schemas.openxmlformats.org/officeDocument/2006/relationships/hyperlink" Target="https://files.hawaii.gov/dbedt/economic/databook/db2018/section01.pdf" TargetMode="External"/><Relationship Id="rId170" Type="http://schemas.openxmlformats.org/officeDocument/2006/relationships/hyperlink" Target="https://www150.statcan.gc.ca/n1/pub/41-20-0002/412000022025002-eng.htm" TargetMode="External"/><Relationship Id="rId171" Type="http://schemas.openxmlformats.org/officeDocument/2006/relationships/hyperlink" Target="https://www150.statcan.gc.ca/n1/pub/41-20-0002/412000022025004-eng.htm" TargetMode="External"/><Relationship Id="rId172" Type="http://schemas.openxmlformats.org/officeDocument/2006/relationships/hyperlink" Target="https://stat.gl/publ/da/BE/202601/oversigt/Befolkningsstatus.htm" TargetMode="External"/><Relationship Id="rId173" Type="http://schemas.openxmlformats.org/officeDocument/2006/relationships/hyperlink" Target="https://tools.summaries.stats.govt.nz/ethnic-group/maori" TargetMode="External"/><Relationship Id="rId174" Type="http://schemas.openxmlformats.org/officeDocument/2006/relationships/hyperlink" Target="https://www.unicef.org/child-alert/haitis-children-confront-polycrisis" TargetMode="External"/><Relationship Id="rId175" Type="http://schemas.openxmlformats.org/officeDocument/2006/relationships/hyperlink" Target="https://files.eric.ed.gov/fulltext/ED573569.pdf" TargetMode="External"/><Relationship Id="rId176" Type="http://schemas.openxmlformats.org/officeDocument/2006/relationships/hyperlink" Target="https://documents1.worldbank.org/curated/en/178621563252790030/pdf/Solomon-Islands-Early-Grade-Reading-Assessment-Results-Report.pdf" TargetMode="External"/><Relationship Id="rId177" Type="http://schemas.openxmlformats.org/officeDocument/2006/relationships/hyperlink" Target="https://dadosabertos.capes.gov.br/dataset/c6bd4dca-a0fb-499a-9f7f-df0740563333/resource/70633e5c-5294-4cd4-abea-79341c63e406/download/metadados_discentes_pos_graduacao_2021_2024.pdf" TargetMode="External"/><Relationship Id="rId178" Type="http://schemas.openxmlformats.org/officeDocument/2006/relationships/hyperlink" Target="https://legis.senado.gov.br/norma/34639654" TargetMode="External"/><Relationship Id="rId179" Type="http://schemas.openxmlformats.org/officeDocument/2006/relationships/hyperlink" Target="https://ftp.ibge.gov.br/Censos/Censo_Demografico_2022/Etnias_e_Linguas_Indigenas_principais_caracteristicas_sociodemograficas_Resultados_do_universo/Tabelas_complementares/xlsx/Tabela_complementar_21.xlsx" TargetMode="External"/><Relationship Id="rId180" Type="http://schemas.openxmlformats.org/officeDocument/2006/relationships/hyperlink" Target="https://ftp.ibge.gov.br/Censos/Censo_Demografico_2022/Etnias_e_Linguas_Indigenas_principais_caracteristicas_sociodemograficas_Resultados_do_universo/Tabelas_selecionadas/xlsx/" TargetMode="External"/><Relationship Id="rId181" Type="http://schemas.openxmlformats.org/officeDocument/2006/relationships/hyperlink" Target="https://biblioteca.ibge.gov.br/visualizacao/periodicos/3111/cd_2022_indigenas_alfabetizacao.pdf" TargetMode="External"/><Relationship Id="rId182" Type="http://schemas.openxmlformats.org/officeDocument/2006/relationships/hyperlink" Target="https://download.inep.gov.br/publicacoes/institucionais/estatisticas_e_indicadores/resumo_tecnico_censo_escolar_2024.pdf" TargetMode="External"/><Relationship Id="rId183" Type="http://schemas.openxmlformats.org/officeDocument/2006/relationships/hyperlink" Target="https://download.inep.gov.br/publicacoes/institucionais/estatisticas_e_indicadores/notas_estatisticas_censo_escolar_da_educacao_superior_2024.pdf" TargetMode="External"/><Relationship Id="rId184" Type="http://schemas.openxmlformats.org/officeDocument/2006/relationships/hyperlink" Target="https://www.gov.br/planejamento/pt-br/assuntos/orcamento/agendas-transversais-e-multisetoriais/arquivos/2026/2026_05_05_atpovosindigenas.pdf/@@display-file/file" TargetMode="External"/><Relationship Id="rId185" Type="http://schemas.openxmlformats.org/officeDocument/2006/relationships/hyperlink" Target="https://www.oecd.org/content/dam/oecd/en/publications/reports/2023/11/pisa-2022-results-volume-i-and-ii-country-notes_2fca04b9/brazil_764ee0aa/61690648-en.pdf" TargetMode="External"/><Relationship Id="rId186" Type="http://schemas.openxmlformats.org/officeDocument/2006/relationships/hyperlink" Target="https://www.anuies.mx/informacion-y-servicios/informacion-estadistica-de-educacion-superior/anuario-estadistico-de-educacion-superior" TargetMode="External"/><Relationship Id="rId187" Type="http://schemas.openxmlformats.org/officeDocument/2006/relationships/hyperlink" Target="https://www.diputados.gob.mx/LeyesBiblio/pdf/LGIPD.pdf" TargetMode="External"/><Relationship Id="rId188" Type="http://schemas.openxmlformats.org/officeDocument/2006/relationships/hyperlink" Target="https://www.diputados.gob.mx/LeyesBiblio/pdf/LGE.pdf" TargetMode="External"/><Relationship Id="rId189" Type="http://schemas.openxmlformats.org/officeDocument/2006/relationships/hyperlink" Target="https://www.conaliteg.sep.gob.mx/" TargetMode="External"/><Relationship Id="rId190" Type="http://schemas.openxmlformats.org/officeDocument/2006/relationships/hyperlink" Target="https://www.inegi.org.mx/programas/ccpv/2020/" TargetMode="External"/><Relationship Id="rId191" Type="http://schemas.openxmlformats.org/officeDocument/2006/relationships/hyperlink" Target="https://www.inali.gob.mx/clin-inali/" TargetMode="External"/><Relationship Id="rId192" Type="http://schemas.openxmlformats.org/officeDocument/2006/relationships/hyperlink" Target="https://www.oecd.org/content/dam/oecd/en/publications/reports/2023/11/pisa-2022-results-volume-i-and-ii-country-notes_2fca04b9/mexico_51978f68/2d35d9e0-en.pdf" TargetMode="External"/><Relationship Id="rId193" Type="http://schemas.openxmlformats.org/officeDocument/2006/relationships/hyperlink" Target="https://www.scielo.org.mx/scielo.php?script=sci_alphabetic&amp;lng=es&amp;nrm=iso" TargetMode="External"/><Relationship Id="rId194" Type="http://schemas.openxmlformats.org/officeDocument/2006/relationships/hyperlink" Target="https://www.planeacion.sep.gob.mx/Doc/estadistica_e_indicadores/principales_cifras/principales_cifras_2024_2025_bolsillo.pdf" TargetMode="External"/><Relationship Id="rId195" Type="http://schemas.openxmlformats.org/officeDocument/2006/relationships/hyperlink" Target="https://dev.mexicox.gob.mx/" TargetMode="External"/><Relationship Id="rId196" Type="http://schemas.openxmlformats.org/officeDocument/2006/relationships/hyperlink" Target="https://moe.gov.et/storage/Books/Ethiopian%20Education%20Sector%20Development%20Program%206%20%28ESDP%20VI%29.pdf" TargetMode="External"/><Relationship Id="rId197" Type="http://schemas.openxmlformats.org/officeDocument/2006/relationships/hyperlink" Target="https://moe.gov.et/storage/Books/ESAA%202022-23%20Final.pdf" TargetMode="External"/><Relationship Id="rId198" Type="http://schemas.openxmlformats.org/officeDocument/2006/relationships/hyperlink" Target="https://www.dpgethiopia.org/wp-content/uploads/2024/03/Digital-Education-Strategy-and-Implementation-Plan-for-Ethiopia-.pdf" TargetMode="External"/><Relationship Id="rId199" Type="http://schemas.openxmlformats.org/officeDocument/2006/relationships/hyperlink" Target="https://www.moe.gov.et/storage/Books/Special%20Needs%20Inclusive%20Education%20Strategy.pdf" TargetMode="External"/><Relationship Id="rId200" Type="http://schemas.openxmlformats.org/officeDocument/2006/relationships/hyperlink" Target="https://www.moe.gov.et/storage/Books/Strategic%20Policy%20for%20National%20Science%20Technology%20and%20Mathematics%20Education_Full.pdf" TargetMode="External"/><Relationship Id="rId201" Type="http://schemas.openxmlformats.org/officeDocument/2006/relationships/hyperlink" Target="https://mols.gov.et/wp-content/uploads/2025/12/TVT-Strategy-English-Version-12-Nov-2025_Print.pdf" TargetMode="External"/><Relationship Id="rId202" Type="http://schemas.openxmlformats.org/officeDocument/2006/relationships/hyperlink" Target="https://ess.gov.et/wp-content/uploads/2007/09/Population-and-Housing-Census-2007-National_Statistical.pdf" TargetMode="External"/><Relationship Id="rId203" Type="http://schemas.openxmlformats.org/officeDocument/2006/relationships/hyperlink" Target="https://justice.gov.et/wp-content/uploads/2025/04/1368.pdf" TargetMode="External"/><Relationship Id="rId204" Type="http://schemas.openxmlformats.org/officeDocument/2006/relationships/hyperlink" Target="https://api.worldbank.org/v2/country/ETH?format=json" TargetMode="External"/><Relationship Id="rId205" Type="http://schemas.openxmlformats.org/officeDocument/2006/relationships/hyperlink" Target="https://wfp.tind.io/record/127524" TargetMode="External"/><Relationship Id="rId206" Type="http://schemas.openxmlformats.org/officeDocument/2006/relationships/hyperlink" Target="https://www.bie.edu/sites/default/files/documents/bie_strategic_direction_2024-2030.pdf" TargetMode="External"/><Relationship Id="rId207" Type="http://schemas.openxmlformats.org/officeDocument/2006/relationships/hyperlink" Target="https://www.bie.edu/sites/default/files/documents/sy_2023-2024_bie_sea_report_card.pdf" TargetMode="External"/><Relationship Id="rId208" Type="http://schemas.openxmlformats.org/officeDocument/2006/relationships/hyperlink" Target="https://www.bie.edu/sites/default/files/documents/bie_performance_report.pdf" TargetMode="External"/><Relationship Id="rId209" Type="http://schemas.openxmlformats.org/officeDocument/2006/relationships/hyperlink" Target="https://gupress.gallaudet.edu/Books/T/The-Hidden-Treasure-of-Black-ASL" TargetMode="External"/><Relationship Id="rId210" Type="http://schemas.openxmlformats.org/officeDocument/2006/relationships/hyperlink" Target="https://www.ed.gov/sites/ed/files/2023/08/NACIE-AnnualReport2023-508_completed.pdf" TargetMode="External"/><Relationship Id="rId211" Type="http://schemas.openxmlformats.org/officeDocument/2006/relationships/hyperlink" Target="https://nces.ed.gov/programs/coe/pdf/2023/cgf_508.pdf" TargetMode="External"/><Relationship Id="rId212" Type="http://schemas.openxmlformats.org/officeDocument/2006/relationships/hyperlink" Target="https://nces.ed.gov/programs/digest/d23/tables/xls/tabn203.10.xlsx" TargetMode="External"/><Relationship Id="rId213" Type="http://schemas.openxmlformats.org/officeDocument/2006/relationships/hyperlink" Target="https://nces.ed.gov/programs/digest/d24/tables/xls/tabn202.20.xlsx" TargetMode="External"/><Relationship Id="rId214" Type="http://schemas.openxmlformats.org/officeDocument/2006/relationships/hyperlink" Target="https://nces.ed.gov/programs/coe/pdf/2024/tob_508c.pdf" TargetMode="External"/><Relationship Id="rId215" Type="http://schemas.openxmlformats.org/officeDocument/2006/relationships/hyperlink" Target="https://nces.ed.gov/programs/digest/d25/tables/xls/tabn306.10.xlsx" TargetMode="External"/><Relationship Id="rId216" Type="http://schemas.openxmlformats.org/officeDocument/2006/relationships/hyperlink" Target="https://ncses.nsf.gov/pubs/nsf25300/assets/nsf25300.pdf" TargetMode="External"/><Relationship Id="rId217" Type="http://schemas.openxmlformats.org/officeDocument/2006/relationships/hyperlink" Target="https://nationaldeafcenter.org/wp-content/uploads/2022/11/Undergraduate20Enrollment2020of20Deaf20Students20in20the20United20States.pdf" TargetMode="External"/><Relationship Id="rId218" Type="http://schemas.openxmlformats.org/officeDocument/2006/relationships/hyperlink" Target="https://nationaldeafcenter.org/resources/research-data/deaf-college-student-data/access-belonging-and-affirmation/" TargetMode="External"/><Relationship Id="rId219" Type="http://schemas.openxmlformats.org/officeDocument/2006/relationships/hyperlink" Target="https://www.census.gov/content/dam/Census/library/publications/2022/acs/acs-50.pdf" TargetMode="External"/><Relationship Id="rId220" Type="http://schemas.openxmlformats.org/officeDocument/2006/relationships/hyperlink" Target="https://www2.census.gov/programs-surveys/demo/tables/language-use/2017/2017-2021-acs-lang-tables-nation.xlsx" TargetMode="External"/><Relationship Id="rId221" Type="http://schemas.openxmlformats.org/officeDocument/2006/relationships/hyperlink" Target="https://www2.census.gov/programs-surveys/demo/tables/language-use/2017/2017-2021-acs-lang-tables-state.xlsx" TargetMode="External"/><Relationship Id="rId222" Type="http://schemas.openxmlformats.org/officeDocument/2006/relationships/hyperlink" Target="https://www2.census.gov/programs-surveys/decennial/2020/technical-documentation/island-areas-tech-docs/detailed-cross-tabulations/2020-iac-dct-technical-documentation.pdf" TargetMode="External"/><Relationship Id="rId223" Type="http://schemas.openxmlformats.org/officeDocument/2006/relationships/hyperlink" Target="https://www2.census.gov/programs-surveys/decennial/2020/technical-documentation/island-areas-tech-docs/detailed-cross-tabulations/2020-iac-dct-guidance.pdf" TargetMode="External"/><Relationship Id="rId224" Type="http://schemas.openxmlformats.org/officeDocument/2006/relationships/hyperlink" Target="https://sites.ed.gov/idea/files/47th-ARC-for-IDEA.pdf" TargetMode="External"/><Relationship Id="rId225" Type="http://schemas.openxmlformats.org/officeDocument/2006/relationships/hyperlink" Target="https://api.worldbank.org/v2/country/USA?format=json" TargetMode="External"/><Relationship Id="rId226" Type="http://schemas.openxmlformats.org/officeDocument/2006/relationships/header" Target="header7.xml"/><Relationship Id="rId227" Type="http://schemas.openxmlformats.org/officeDocument/2006/relationships/footer" Target="footer7.xml"/><Relationship Id="rId228" Type="http://schemas.openxmlformats.org/officeDocument/2006/relationships/header" Target="header8.xml"/><Relationship Id="rId22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Allocating AI assisted educational publishing for greater access</dc:title>
  <dc:subject>Living working paper on global educational access</dc:subject>
  <dc:creator>OpenAI Codex gpt-5.6-sol, Ultra</dc:creator>
  <cp:keywords>educational access; language; open educational resources; AI compute</cp:keywords>
  <dc:description>Built from PAPER.md using the narrative_proposal design preset.</dc:description>
  <cp:lastModifiedBy>OpenAI Codex gpt-5.6-sol, Ultra</cp:lastModifiedBy>
  <cp:revision>1</cp:revision>
  <dcterms:created xsi:type="dcterms:W3CDTF">2026-09-01T00:00:00Z</dcterms:created>
  <dcterms:modified xsi:type="dcterms:W3CDTF">2026-09-01T00:00:00Z</dcterms:modified>
  <cp:category>Research report</cp:category>
  <cp:version>from_scratch_20260901</cp:version>
  <cp:contentStatus>Ongoing non exhaustive working paper</cp:contentStatus>
</cp:coreProperties>
</file>