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360"/>
        <w:jc w:val="center"/>
      </w:pPr>
      <w:r>
        <w:rPr>
          <w:rFonts w:ascii="Calibri" w:hAnsi="Calibri" w:eastAsia="Calibri" w:cs="Calibri"/>
          <w:b/>
          <w:color w:val="8A6A12"/>
          <w:sz w:val="21"/>
        </w:rPr>
        <w:t>RESEARCH REPORT</w:t>
      </w:r>
    </w:p>
    <w:p>
      <w:pPr>
        <w:pStyle w:val="Title"/>
        <w:widowControl/>
      </w:pPr>
      <w:r>
        <w:rPr>
          <w:color w:val="000000"/>
        </w:rPr>
        <w:t>Allocating AI assisted educational publishing for greater access</w:t>
      </w:r>
    </w:p>
    <w:p>
      <w:pPr>
        <w:pStyle w:val="Subtitle"/>
        <w:widowControl/>
      </w:pPr>
      <w:r>
        <w:rPr>
          <w:color w:val="000000"/>
        </w:rPr>
        <w:t>Evidence bound methods for language stage subject and accessibility allocation</w:t>
      </w:r>
    </w:p>
    <w:p>
      <w:pPr>
        <w:widowControl/>
        <w:spacing w:before="200" w:after="1440"/>
        <w:jc w:val="center"/>
      </w:pPr>
      <w:r>
        <w:rPr>
          <w:rFonts w:ascii="Calibri" w:hAnsi="Calibri" w:eastAsia="Calibri" w:cs="Calibri"/>
          <w:i/>
          <w:color w:val="8A6A12"/>
          <w:sz w:val="21"/>
        </w:rPr>
        <w:t>A global portfolio model for language, shared-core, accessibility, and open-curriculum decisions</w:t>
      </w:r>
    </w:p>
    <w:p>
      <w:pPr>
        <w:widowControl/>
        <w:jc w:val="center"/>
      </w:pPr>
      <w:r>
        <w:t>Working snapshot 0.5.0 - 6 September 2026</w:t>
      </w:r>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rPr>
          <w:color w:val="000000"/>
        </w:rPr>
        <w:t>Abstract</w:t>
      </w:r>
    </w:p>
    <w:p>
      <w:pPr>
        <w:widowControl/>
        <w:jc w:val="left"/>
      </w:pPr>
      <w:r>
        <w:t>AI-assisted translation can expand educational access when it moves complete material into a language, register and format that people can actually use. This working paper asks how many people could plausibly gain such access; it does not rank the worth of languages or communities. The current comparison keeps target-comparable research wherever it exists and applies the same disclosed baseline where an equivalent academic-language measurement is missing. Under that common missing-data assumption, the largest displayed non-English opportunities begin with Simplified Standard Written Chinese, Hindi, Spanish, Arabic, French, Urdu, Bangla, Portuguese, Indonesian and Russian. Simplified Standard Written Chinese is the first proposed writing profile for the Mandarin row, not a claim that all Sinitic communities use one edition. English is also an access target: ordinary English use does not establish comfortable independent use of academic English, so adult register-to-register translations remain a separate, currently unmeasured global opportunity.</w:t>
      </w:r>
    </w:p>
    <w:p>
      <w:pPr>
        <w:widowControl/>
        <w:jc w:val="left"/>
      </w:pPr>
      <w:r>
        <w:t>The paper compares language, subject, educational stage and delivery format from early learning through research. It retains every language when evidence is missing, separates population plausibly helped from learning effect and production cost, and gives no automatic coverage credit to a colonial, national, prestige or geopolitically coercive language. Initial source comparisons identify substantial foundational and secondary opportunities, research-stage language burdens, accessibility needs, and distinct routes for signed, displaced, local-language and independent learners. The new register-translation method preserves every proposition, definition, quantifier, proof dependency, number, citation and uncertainty marker while changing how the content is expressed for a specified adult audience. The worldwide synthesis is ongoing and non-exhaustive; missing evidence is a research obligation, never evidence of low need.</w:t>
      </w:r>
    </w:p>
    <w:p>
      <w:pPr>
        <w:pStyle w:val="Heading1"/>
        <w:widowControl/>
      </w:pPr>
      <w:r>
        <w:rPr>
          <w:color w:val="000000"/>
        </w:rPr>
        <w:t>Current checkpoint worldwide reach and a fixed package compute proxy</w:t>
      </w:r>
    </w:p>
    <w:p>
      <w:pPr>
        <w:widowControl/>
      </w:pPr>
      <w:r>
        <w:t>The public comparison now contains 775 non-English language-and-script edition profiles rather than a short convenience sample. The first table below shows the first ten of a real 100-row potential-reach table. A separate 100-row table then divides the same reach numerator by the estimated token-event workload for one identical 100,000-source-token text package and one nominal quality target. Stable profile identifiers are never positions.</w:t>
      </w:r>
    </w:p>
    <w:p>
      <w:pPr>
        <w:widowControl/>
      </w:pPr>
      <w:r>
        <w:t>The point seed remains 89.57%, the population-weighted share who did not report English across 17 India Census 2011 C-17 mother-tongue rows: 1,044,314,726 of 1,165,872,176 people. The sensitivity range is 70% to 99%. This is a transparent preservation assumption, not an observed worldwide rate of academic-English access. It keeps an under-researched community visible. Comparable target research replaces it only when audience, educational task, register threshold, stage and material endpoint match.</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885"/>
        <w:gridCol w:w="2913"/>
        <w:gridCol w:w="1979"/>
        <w:gridCol w:w="2583"/>
      </w:tblGrid>
      <w:tr>
        <w:trPr>
          <w:tblHeader w:val="true"/>
          <w:cantSplit w:val="true"/>
        </w:trPr>
        <w:tc>
          <w:tcPr>
            <w:tcW w:type="dxa" w:w="188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Reach position</w:t>
            </w:r>
          </w:p>
        </w:tc>
        <w:tc>
          <w:tcPr>
            <w:tcW w:type="dxa" w:w="291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Exact edition profile</w:t>
            </w:r>
          </w:p>
        </w:tc>
        <w:tc>
          <w:tcPr>
            <w:tcW w:type="dxa" w:w="19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Population point</w:t>
            </w:r>
          </w:p>
        </w:tc>
        <w:tc>
          <w:tcPr>
            <w:tcW w:type="dxa" w:w="258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Plausibly helped at common point</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1.286 billion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1.152 billion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Devanagari-script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580.3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519.8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Spanish,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507.6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454.7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Arabic, Arabic-script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378.8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339.3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French,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333.0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298.2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Urdu, Arabic-script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313.1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280.4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Bangla-script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279.9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250.7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Portuguese,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249.5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223.5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248.5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222.6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Cyrillic-script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201.2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180.2 million</w:t>
            </w:r>
          </w:p>
        </w:tc>
      </w:tr>
    </w:tbl>
    <w:p>
      <w:pPr>
        <w:widowControl/>
        <w:spacing w:before="0" w:after="40"/>
      </w:pPr>
    </w:p>
    <w:p>
      <w:pPr>
        <w:widowControl/>
      </w:pPr>
      <w:r>
        <w:t>The Indonesian point retains the direct 2022 BPS estimate of people aged five and older able to understand and produce comprehensible Indonesian; it does not equate oral ability with academic reading or package effect. The other rows use CLDR 48 interface-fluent L1/L2 estimates resolved to likely scripts. CLDR is a locale-planning source, not a complete census of independently usable academic editions. Multilingual, macrolanguage/member and multiscript rows overlap and cannot be summed into a world total.</w:t>
      </w:r>
    </w:p>
    <w:p>
      <w:pPr>
        <w:widowControl/>
      </w:pPr>
      <w:r>
        <w:t>Under the fixed-package workload proxy, the first ten are Simplified Standard Written Chinese, Hindi, Spanish, Arabic, French, Urdu, Portuguese, Indonesian, Bangla and Russian. Indonesian moves from reach position 9 to proxy position 8; Chinese remains first. These positions do not yet measure learning effect, delivery, physical compute, price, shared terminology, accessibility work or overlapping beneficiaries. Fresh-equivalent token events are workload scenarios, not hardware operations, energy, time, money or quality.</w:t>
      </w:r>
    </w:p>
    <w:p>
      <w:pPr>
        <w:widowControl/>
      </w:pPr>
      <w:r>
        <w:t>Ukrainian is present at reach position 62 and fixed-package proxy position 62 under the pinned CLDR layer: 24.1 million interface-fluent users and 21.6 million at the common point. That source omits part of the displaced diaspora, so this is not a final addressable-audience estimate. Russian knowledge receives no automatic coverage credit. Any overlap deduction requires the same material to be technically sufficient, linguistically usable, socially and politically acceptable, accessible, safe and actually available. The same rule applies worldwide to colonial, state, prestige and regional lingua-franca routes.</w:t>
      </w:r>
    </w:p>
    <w:p>
      <w:pPr>
        <w:widowControl/>
      </w:pPr>
      <w:r>
        <w:t xml:space="preserve">The complete two 100-row tables, all 775 rows, exact source and workload bindings, formulas and limitations appear in the appendix </w:t>
      </w:r>
      <w:r>
        <w:rPr>
          <w:rFonts w:ascii="Calibri" w:hAnsi="Calibri" w:eastAsia="Calibri" w:cs="Calibri"/>
          <w:b/>
        </w:rPr>
        <w:t>Worldwide reach and common-package allocation checkpoint</w:t>
      </w:r>
      <w:r>
        <w:t xml:space="preserve"> and in the accompanying CSV and JSON files. They restore the quantitative allocation chain; they do not replace the target-specific educational-effect and physical-compute research still needed.</w:t>
      </w:r>
    </w:p>
    <w:p>
      <w:pPr>
        <w:pStyle w:val="Heading1"/>
        <w:widowControl/>
      </w:pPr>
      <w:r>
        <w:rPr>
          <w:color w:val="000000"/>
        </w:rPr>
        <w:t>Current checkpoint academic English is also a translation target</w:t>
      </w:r>
    </w:p>
    <w:p>
      <w:pPr>
        <w:widowControl/>
      </w:pPr>
      <w:r>
        <w:t xml:space="preserve">The English source population is 1.5 billion in the same rounded source, but the share unable to use academic English for a specified task is not measured globally. The honest expression is therefore </w:t>
      </w:r>
      <w:r>
        <w:rPr>
          <w:rFonts w:ascii="Calibri" w:hAnsi="Calibri" w:eastAsia="Calibri" w:cs="Calibri"/>
          <w:b/>
        </w:rPr>
        <w:t>1.5 billion multiplied by q for the relevant academic-register mismatch</w:t>
      </w:r>
      <w:r>
        <w:t>. English-first-language identity, conversational English, years of schooling, or conformity to British or American prestige norms cannot set that mismatch to zero.</w:t>
      </w:r>
    </w:p>
    <w:p>
      <w:pPr>
        <w:widowControl/>
      </w:pPr>
      <w:r>
        <w:t>The governing premise is a sufficiently plausible access thesis, not a go/no-go hypothesis: inherited command of academic register is one institutionally distributed advantage, and any credible nonzero educational benefit makes a source-faithful adult register edition eligible. Research determines how the translation should be designed, checked, measured and revised. It may not turn correlations among schooling, family education, income, test performance, language exposure or attainment into claims of innate capability or reasons to withhold translation.</w:t>
      </w:r>
    </w:p>
    <w:p>
      <w:pPr>
        <w:widowControl/>
      </w:pPr>
      <w:r>
        <w:t xml:space="preserve">The method is </w:t>
      </w:r>
      <w:r>
        <w:rPr>
          <w:rFonts w:ascii="Calibri" w:hAnsi="Calibri" w:eastAsia="Calibri" w:cs="Calibri"/>
          <w:b/>
        </w:rPr>
        <w:t>full-content diaphasic intralingual translation</w:t>
      </w:r>
      <w:r>
        <w:t>: translation between registers within English for a declared adult audience. It is not abridgment, remediation, child-directed explanation, or replacement of the original. The target may be longer. It may unpack dense grammar, define terms, split overloaded sentences, make logical relations explicit, resolve references, reorder with tracked dependencies, and add clearly labeled examples or background. It may not omit, generalize, silently strengthen or weaken, or substitute intuition for a proof.</w:t>
      </w:r>
    </w:p>
    <w:p>
      <w:pPr>
        <w:widowControl/>
      </w:pPr>
      <w:r>
        <w:t>There is no single universal Plain English. The current design distinguishes at least international/ELF-friendly adult English, educated non-specialist English, profession-adjacent novice English, localized adult Englishes, an academic-convention companion, and separately commissioned accessibility editions. Every version preserves the same protected content while making different lexical, grammatical, pragmatic and navigation choices.</w:t>
      </w:r>
    </w:p>
    <w:p>
      <w:pPr>
        <w:widowControl/>
      </w:pPr>
      <w:r>
        <w:t>The evidence is supportive but appropriately bounded. Parent education and socioeconomic position are associated with unequal educational trajectories; qualitative work documents tacit institutional discourse and hidden rules; academic-language knowledge predicts reading comprehension in several school samples; experiments show that jargon and document design can change processing or understanding; and one randomized university intervention found that making background-linked challenges and navigation strategies explicit improved first-generation outcomes. No identified study tests the complete chain from parent education through full-content register translation to long-run attainment. That gap defines what to measure; it does not veto the intervention.</w:t>
      </w:r>
    </w:p>
    <w:p>
      <w:pPr>
        <w:widowControl/>
      </w:pPr>
      <w:r>
        <w:t>Ordinary text simplification is not an adequate production objective. One document-level dataset reports deletion as 44% of sampled operations, and factuality studies show omissions and unsupported additions that common metrics miss. This project therefore requires bidirectional source-target claim alignment and zero critical errors for definitions, propositions, quantifiers, conditions, numbers, formulas, proof dependencies, cross-references, attribution and epistemic status. Readability and similarity scores are alarms, not proof of fidelity.</w:t>
      </w:r>
    </w:p>
    <w:p>
      <w:pPr>
        <w:widowControl/>
      </w:pPr>
      <w:r>
        <w:t xml:space="preserve">The full evidence synthesis, 42-source register, six target profiles, 13 protected content classes and 20-step production workflow are published in </w:t>
      </w:r>
      <w:r>
        <w:rPr>
          <w:rFonts w:ascii="Calibri" w:hAnsi="Calibri" w:eastAsia="Calibri" w:cs="Calibri"/>
          <w:color w:val="2E74B5"/>
          <w:u w:val="single"/>
        </w:rPr>
        <w:t>ACADEMIC_REGISTER_TRANSLATION_RESEARCH_v1.md</w:t>
      </w:r>
      <w:r>
        <w:t xml:space="preserve">. The anti-hegemony model and deterministic counterfactual tests are published in </w:t>
      </w:r>
      <w:r>
        <w:rPr>
          <w:rFonts w:ascii="Calibri" w:hAnsi="Calibri" w:eastAsia="Calibri" w:cs="Calibri"/>
          <w:color w:val="2E74B5"/>
          <w:u w:val="single"/>
        </w:rPr>
        <w:t>HEGEMONY_BIAS_AUDIT_v1.md</w:t>
      </w:r>
      <w:r>
        <w:t>.</w:t>
      </w:r>
    </w:p>
    <w:p>
      <w:pPr>
        <w:pStyle w:val="Heading1"/>
        <w:widowControl/>
      </w:pPr>
      <w:r>
        <w:rPr>
          <w:color w:val="000000"/>
        </w:rPr>
        <w:t>1 Research question</w:t>
      </w:r>
    </w:p>
    <w:p>
      <w:pPr>
        <w:widowControl/>
      </w:pPr>
      <w:r>
        <w:t>Which educational publications could create the greatest additional usable access per standardized unit of AI production effort? The relevant decision is not simply which language has the most speakers. It is which material, in which language or shared register, would help which learners do something educationally valuable that their existing options do not adequately support.</w:t>
      </w:r>
    </w:p>
    <w:p>
      <w:pPr>
        <w:widowControl/>
      </w:pPr>
      <w:r>
        <w:t>Education includes preschool and school learning, vocational development, university study and research. A mathematical research text can be an important educational resource even when few school learners need it. Equally, a technically advanced translation does not address missing early arithmetic. The analysis therefore keeps stages and learning tasks explicit instead of assigning each language one universal need score.</w:t>
      </w:r>
    </w:p>
    <w:p>
      <w:pPr>
        <w:widowControl/>
      </w:pPr>
      <w:r>
        <w:t xml:space="preserve">Throughout the paper, the stage codes are </w:t>
      </w:r>
      <w:r>
        <w:rPr>
          <w:rFonts w:ascii="Calibri" w:hAnsi="Calibri" w:eastAsia="Calibri" w:cs="Calibri"/>
          <w:b/>
        </w:rPr>
        <w:t>P</w:t>
      </w:r>
      <w:r>
        <w:t xml:space="preserve"> for preschool/early childhood, </w:t>
      </w:r>
      <w:r>
        <w:rPr>
          <w:rFonts w:ascii="Calibri" w:hAnsi="Calibri" w:eastAsia="Calibri" w:cs="Calibri"/>
          <w:b/>
        </w:rPr>
        <w:t>F</w:t>
      </w:r>
      <w:r>
        <w:t xml:space="preserve"> for foundational/primary, </w:t>
      </w:r>
      <w:r>
        <w:rPr>
          <w:rFonts w:ascii="Calibri" w:hAnsi="Calibri" w:eastAsia="Calibri" w:cs="Calibri"/>
          <w:b/>
        </w:rPr>
        <w:t>S</w:t>
      </w:r>
      <w:r>
        <w:t xml:space="preserve"> for secondary, </w:t>
      </w:r>
      <w:r>
        <w:rPr>
          <w:rFonts w:ascii="Calibri" w:hAnsi="Calibri" w:eastAsia="Calibri" w:cs="Calibri"/>
          <w:b/>
        </w:rPr>
        <w:t>V</w:t>
      </w:r>
      <w:r>
        <w:t xml:space="preserve"> for vocational/practical, </w:t>
      </w:r>
      <w:r>
        <w:rPr>
          <w:rFonts w:ascii="Calibri" w:hAnsi="Calibri" w:eastAsia="Calibri" w:cs="Calibri"/>
          <w:b/>
        </w:rPr>
        <w:t>U</w:t>
      </w:r>
      <w:r>
        <w:t xml:space="preserve"> for university or taught tertiary, and </w:t>
      </w:r>
      <w:r>
        <w:rPr>
          <w:rFonts w:ascii="Calibri" w:hAnsi="Calibri" w:eastAsia="Calibri" w:cs="Calibri"/>
          <w:b/>
        </w:rPr>
        <w:t>R</w:t>
      </w:r>
      <w:r>
        <w:t xml:space="preserve"> for postgraduate/research. They identify different educational uses; they are not grades, scores or a priority order.</w:t>
      </w:r>
    </w:p>
    <w:p>
      <w:pPr>
        <w:widowControl/>
      </w:pPr>
      <w:r>
        <w:t>Autonomous learners are a central audience. The availability of teachers, uninterrupted internet, expensive software or institutional subscriptions is not assumed. Downloadable, phone-readable material with prerequisites, exercises, answers and usable navigation can offer a different route from classroom instruction. Classroom use, independent study and research/reference use are analyzed as distinct, potentially overlapping endpoints.</w:t>
      </w:r>
    </w:p>
    <w:p>
      <w:pPr>
        <w:widowControl/>
      </w:pPr>
      <w:r>
        <w:t>The unit is an intervention: a specified population and language/variety/script profile, a defined educational package, a format and a time horizon. A multilingual learner may have several viable routes. Those alternatives are compared without counting the learner repeatedly in a combined portfolio.</w:t>
      </w:r>
    </w:p>
    <w:p>
      <w:pPr>
        <w:pStyle w:val="Heading1"/>
        <w:widowControl/>
      </w:pPr>
      <w:r>
        <w:rPr>
          <w:color w:val="000000"/>
        </w:rPr>
        <w:t>2 What counts as additional access</w:t>
      </w:r>
    </w:p>
    <w:p>
      <w:pPr>
        <w:widowControl/>
      </w:pPr>
      <w:r>
        <w:t>For a specified educational task, additional access is the difference between what learners can use with the intervention and what they could use otherwise. A file's existence is not proof that everyone has access to it. Conversely, failure to find a title on one website is not proof that an entire language lacks educational resources.</w:t>
      </w:r>
    </w:p>
    <w:p>
      <w:pPr>
        <w:widowControl/>
      </w:pPr>
      <w:r>
        <w:t>Open licensing is important because it enables lawful translation, adaptation and redistribution without charging each learner or institution. Price, independent-download access, device compatibility and permission to adapt are separate attributes. A free-to-view video, a reusable textbook and a complete offline course are different resources. Existing paid or institutionally restricted material may serve some people while leaving substantial unmet need among others.</w:t>
      </w:r>
    </w:p>
    <w:p>
      <w:pPr>
        <w:widowControl/>
      </w:pPr>
      <w:r>
        <w:t>The programme used as a case study does not change the estimated educational needs of a language community. Its local files, completed translations, recent publication counts or sunk production effort are not inputs to global need, eligibility or priority. The research concerns the world's educational opportunities, not a schedule of what one project should do next.</w:t>
      </w:r>
    </w:p>
    <w:p>
      <w:pPr>
        <w:pStyle w:val="Heading1"/>
        <w:widowControl/>
      </w:pPr>
      <w:r>
        <w:rPr>
          <w:color w:val="000000"/>
        </w:rPr>
        <w:t>3 Evidence and comparison method</w:t>
      </w:r>
    </w:p>
    <w:p>
      <w:pPr>
        <w:pStyle w:val="Heading2"/>
        <w:widowControl/>
      </w:pPr>
      <w:r>
        <w:rPr>
          <w:color w:val="000000"/>
        </w:rPr>
        <w:t>3 1 Population and inclusion</w:t>
      </w:r>
    </w:p>
    <w:p>
      <w:pPr>
        <w:widowControl/>
      </w:pPr>
      <w:r>
        <w:t>The candidate universe starts with the frozen Glottolog language-level register and overlays exact varieties, scripts, signing communities, displaced populations, accessibility modes and possible interlanguages. Historical and unresolved entries remain traceable with their appropriate interpretation. Registry membership is not itself proof of a current speaker population, and a macro-language is not automatically an intelligible edition for each constituent community.</w:t>
      </w:r>
    </w:p>
    <w:p>
      <w:pPr>
        <w:widowControl/>
      </w:pPr>
      <w:r>
        <w:t>Population evidence preserves the construct a source actually measures: mother tongue, home language, additional-language use, literacy or technical reading. These cannot be substituted without explanation. Historical counts retain their dates; cross-year projections or cross-source combinations are explicit inferences. National totals may constrain a resident subset when the relationship is defensible, but do not bound an entire worldwide diaspora.</w:t>
      </w:r>
    </w:p>
    <w:p>
      <w:pPr>
        <w:widowControl/>
      </w:pPr>
      <w:r>
        <w:t>Missing evidence does not remove a community or assign it zero need. A related educational system can motivate a hypothesis and, where its mechanism is supported, a bounded inference. It does not automatically supply the same population, need rate or rank. The analysis records both expected candidates and unexpected possible contenders.</w:t>
      </w:r>
    </w:p>
    <w:p>
      <w:pPr>
        <w:pStyle w:val="Heading2"/>
        <w:widowControl/>
      </w:pPr>
      <w:r>
        <w:rPr>
          <w:color w:val="000000"/>
        </w:rPr>
        <w:t>3 2 Need benefit and cost</w:t>
      </w:r>
    </w:p>
    <w:p>
      <w:pPr>
        <w:widowControl/>
      </w:pPr>
      <w:r>
        <w:t>Let B describe a specified population with a stated educational need. Let q describe its average net change in usable access, relative to independent existing options, for a specified task and time horizon. With access normalized between zero and one, q lies between −1 and 1. The simplest common-endpoint net benefit is Bq. Both components may vary across subgroups; the general analysis sums over mutually exclusive learner strata.</w:t>
      </w:r>
    </w:p>
    <w:p>
      <w:pPr>
        <w:widowControl/>
      </w:pPr>
      <w:r>
        <w:t>Net change is not the same as the gross number newly gaining access. For binary access, q equals the share gaining access minus the share losing it. A nonnegative scenario explicitly assumes no access losses; their absence is not established by missing evidence. An optional additional resource can motivate that assumption for availability when existing routes remain intact, but it does not establish a nonnegative effect on learning. Being below a proficiency benchmark also does not mean a learner had no usable resources beforehand.</w:t>
      </w:r>
    </w:p>
    <w:p>
      <w:pPr>
        <w:widowControl/>
      </w:pPr>
      <w:r>
        <w:t>Benefit per standardized production cost is Bq/C. A large B can coexist with modest benefit per person. A smaller population can justify a high-value intervention because its unmet need, language fit or practical delivery is different. The analysis reports these components separately.</w:t>
      </w:r>
    </w:p>
    <w:p>
      <w:pPr>
        <w:widowControl/>
      </w:pPr>
      <w:r>
        <w:t>When q is not measured, useful conditional comparisons remain possible. For positive population and cost terms and q_B&gt;0, intervention A exceeds B on a matched endpoint when q_A/q_B exceeds (B_B/B_A)(C_A/C_B). Otherwise the analysis compares B_A q_A C_B with B_B q_B C_A directly, preserving signed and zero effects. This identifies what would have to be true for one option to be more efficient. It does not disguise an assumed common yield as an empirical estimate.</w:t>
      </w:r>
    </w:p>
    <w:p>
      <w:pPr>
        <w:widowControl/>
      </w:pPr>
      <w:r>
        <w:t>Observed data, evidence-based transport and illustrative scenarios are labelled separately. Common priors cannot produce a high-confidence rank. Uncertain comparisons remain visible alongside the information that could change them. The final Top 10 and Top 100 are intended as transparent portfolios with possible alternatives, not an eligibility boundary for everyone outside them.</w:t>
      </w:r>
    </w:p>
    <w:p>
      <w:pPr>
        <w:pStyle w:val="Heading2"/>
        <w:widowControl/>
      </w:pPr>
      <w:r>
        <w:rPr>
          <w:color w:val="000000"/>
        </w:rPr>
        <w:t>3 3 Hypotheses and anomaly investigation</w:t>
      </w:r>
    </w:p>
    <w:p>
      <w:pPr>
        <w:widowControl/>
      </w:pPr>
      <w:r>
        <w:t>Before the next ordering, we record twelve hypotheses and one hundred expected candidate profiles. They predict large additional-language opportunities, school-to-academic-language transitions, stage-specific shortages, useful interlanguage designs, independent-learning routes and displacement-related needs. Initial stage annotations never exclude other stages.</w:t>
      </w:r>
    </w:p>
    <w:p>
      <w:pPr>
        <w:widowControl/>
      </w:pPr>
      <w:r>
        <w:t xml:space="preserve">The initial high-reach expectation includes Indonesian, Hindi, Bangla, Simplified Written Chinese and Urdu, with Telugu, Tamil, Marathi, Hausa and Kiswahili as further strong investigations. This is not a predicted exact order or a guaranteed final ten. The complete </w:t>
      </w:r>
      <w:r>
        <w:rPr>
          <w:rFonts w:ascii="Calibri" w:hAnsi="Calibri" w:eastAsia="Calibri" w:cs="Calibri"/>
          <w:color w:val="2E74B5"/>
          <w:u w:val="single"/>
        </w:rPr>
        <w:t>100-profile forecast</w:t>
      </w:r>
      <w:r>
        <w:t xml:space="preserve"> includes regional, research, signed-language and shared-register candidates; its sections are not priority bands. Profiles outside that forecast remain eligible. The forecast was recorded after earlier analyses, so it is prospective only for the next analysis, not an original preregistration.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088"/>
        <w:gridCol w:w="3088"/>
        <w:gridCol w:w="3184"/>
      </w:tblGrid>
      <w:tr>
        <w:trPr>
          <w:tblHeader w:val="true"/>
          <w:cantSplit w:val="true"/>
        </w:trPr>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Expected pattern</w:t>
            </w:r>
          </w:p>
        </w:tc>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A result that would require investigation</w:t>
            </w:r>
          </w:p>
        </w:tc>
        <w:tc>
          <w:tcPr>
            <w:tcW w:type="dxa" w:w="318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What could legitimately change the expectation?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additional-language audiences make Indonesian and other common educational languages important contenders.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model counts only mother-tongue speakers, or removes a language because a local project translated material.</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Source-specific literacy, educational-stage need and independently usable provision can change a package's expected benefit.</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need found in one Slavic community suggests checking comparable needs elsewhere, including Ukrainian.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is compared while Ukrainian or other relevant communities disappear.</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Different population sizes, interruption of schooling, publication markets or usable alternatives can produce different results. They must be investigated, not assumed.</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School-to-academic-language transitions create opportunities beyond early schooling.</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Regional-language learners vanish because their country has an official academic lingua franca.</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Evidence of comfortable subject access or an equally usable existing package can weaken the proposed intervention.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Established scientific languages can still have specific educational gaps.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 provision removes Japanese, Chinese, English or another language from every stage.</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accessible equivalent can weaken a specific proposed package; it does not answer every other subject and stage.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Formula-rich interlanguages may retain enough benefit to justify their lower shared-production cost.</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design is assigned either zero comprehension or the entire language-family population.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Findings on exact mathematical tasks, scripts, reader preparation and design cost can support or weaken the advantage.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Written-language comparisons miss some signing, displacement and access-format needs.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entire modality or displaced community is absent without an investigated reason.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Actual language routes and task-specific provision can distinguish useful from ineffective packages.</w:t>
            </w:r>
          </w:p>
        </w:tc>
      </w:tr>
    </w:tbl>
    <w:p>
      <w:pPr>
        <w:widowControl/>
        <w:spacing w:before="0" w:after="40"/>
      </w:pPr>
    </w:p>
    <w:p>
      <w:pPr>
        <w:widowControl/>
      </w:pPr>
      <w:r>
        <w:t>An unexpected absence prompts a trace through identity, population, educational need, provision, overlap, cost and implementation. If a rule caused the absence, it is checked across the entire retained candidate-stage universe. For example, a population-data join that excludes one language must be tested against every initially unmeasured language, not patched only for the noticed case. Evidence can justify unequal outcomes; it cannot justify equating missing measurement with no need.</w:t>
      </w:r>
    </w:p>
    <w:p>
      <w:pPr>
        <w:widowControl/>
      </w:pPr>
      <w:r>
        <w:t xml:space="preserve">The </w:t>
      </w:r>
      <w:r>
        <w:rPr>
          <w:rFonts w:ascii="Calibri" w:hAnsi="Calibri" w:eastAsia="Calibri" w:cs="Calibri"/>
          <w:color w:val="2E74B5"/>
          <w:u w:val="single"/>
        </w:rPr>
        <w:t>expectation-versus-investigation table</w:t>
      </w:r>
      <w:r>
        <w:t xml:space="preserve"> exposes the work still missing. In this bounded calculation, 63 of the 100 expected profiles have at least one proposed route and 37 do not; separate shared-register analyses are not counted in those figures. These are investigation counts, not rankings or proportions of educational need covered. All 100 retain preschool, foundation, secondary, vocational, university and research stages. Preschool is an explicit column, not an invisible part of foundation. Source references, proposed designs, identity qualifications and unresolved population estimates are represented separately; none supplies an implicit low rank.</w:t>
      </w:r>
    </w:p>
    <w:p>
      <w:pPr>
        <w:pStyle w:val="Heading2"/>
        <w:widowControl/>
      </w:pPr>
      <w:r>
        <w:rPr>
          <w:color w:val="000000"/>
        </w:rPr>
        <w:t>3 4 Standardized production scenarios</w:t>
      </w:r>
    </w:p>
    <w:p>
      <w:pPr>
        <w:widowControl/>
      </w:pPr>
      <w:r>
        <w:t xml:space="preserve">The currently reusable production model measures token traffic, not physical computing operations, electricity, subscription consumption or money. It combines a declared workflow with recorded tokenization measurements from 1,012 aligned general-domain sentences. Target counts use </w:t>
      </w:r>
      <w:r>
        <w:rPr>
          <w:rFonts w:ascii="Consolas" w:hAnsi="Consolas" w:eastAsia="Consolas" w:cs="Consolas"/>
          <w:color w:val="31465A"/>
          <w:sz w:val="21"/>
        </w:rPr>
        <w:t>o200k_base</w:t>
      </w:r>
      <w:r>
        <w:t xml:space="preserve">; the fixed source reference uses </w:t>
      </w:r>
      <w:r>
        <w:rPr>
          <w:rFonts w:ascii="Consolas" w:hAnsi="Consolas" w:eastAsia="Consolas" w:cs="Consolas"/>
          <w:color w:val="31465A"/>
          <w:sz w:val="21"/>
        </w:rPr>
        <w:t>cl100k_base</w:t>
      </w:r>
      <w:r>
        <w:t>. That mixed reference is explicit and is not a measurement of a contemporary model's actual mathematical-translation workflow.</w:t>
      </w:r>
    </w:p>
    <w:p>
      <w:pPr>
        <w:widowControl/>
      </w:pPr>
      <w:r>
        <w:t xml:space="preserve">For the base text scenario, traffic is approximately </w:t>
      </w:r>
      <w:r>
        <w:rPr>
          <w:rFonts w:ascii="Consolas" w:hAnsi="Consolas" w:eastAsia="Consolas" w:cs="Consolas"/>
          <w:color w:val="31465A"/>
          <w:sz w:val="21"/>
        </w:rPr>
        <w:t>T = S(7.585897 + 4.73R)</w:t>
      </w:r>
      <w:r>
        <w:t>, where S is the source-reference token count and R is the target working-token count divided by the source-reference count. The coefficients describe stipulated production and checking work, not observed learning benefit. Extra model work remains an explicit additional term; rendering, speech and signed-video production require separate resources.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530"/>
        <w:gridCol w:w="5830"/>
      </w:tblGrid>
      <w:tr>
        <w:trPr>
          <w:tblHeader w:val="true"/>
          <w:cantSplit w:val="true"/>
        </w:trPr>
        <w:tc>
          <w:tcPr>
            <w:tcW w:type="dxa" w:w="35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Edition benchmark</w:t>
            </w:r>
          </w:p>
        </w:tc>
        <w:tc>
          <w:tcPr>
            <w:tcW w:type="dxa" w:w="58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Base-scenario token traffic for 100,000 source-reference tokens</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Indonesian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Bangla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1.559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Urdu</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1.531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1.494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Chinese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1.342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Japanese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Ukrainian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1.577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1.423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Hausa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1.484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Kiswahili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1.453 million</w:t>
            </w:r>
          </w:p>
        </w:tc>
      </w:tr>
    </w:tbl>
    <w:p>
      <w:pPr>
        <w:widowControl/>
        <w:spacing w:before="0" w:after="40"/>
      </w:pPr>
    </w:p>
    <w:p>
      <w:pPr>
        <w:widowControl/>
      </w:pPr>
      <w:r>
        <w:t xml:space="preserve">These scenario costs can inform conditional benefit thresholds; they cannot determine a language's need. An unmeasured language retains a symbolic cost or an explicitly labelled predictive scenario, not a penalty or exclusion. General-domain tokenization is also an imperfect transport to mathematics, where shared formulas may change relative expansion. The exact source bindings, coefficients and reconstruction checks are retained in </w:t>
      </w:r>
      <w:r>
        <w:rPr>
          <w:rFonts w:ascii="Consolas" w:hAnsi="Consolas" w:eastAsia="Consolas" w:cs="Consolas"/>
          <w:color w:val="31465A"/>
          <w:sz w:val="21"/>
        </w:rPr>
        <w:t>structured/STANDARDIZED_COMPUTE_REUSE_20260904.json</w:t>
      </w:r>
      <w:r>
        <w:t>; no local programme completion or sunk-compute adjustment enters this model.</w:t>
      </w:r>
    </w:p>
    <w:p>
      <w:pPr>
        <w:pStyle w:val="Heading2"/>
        <w:widowControl/>
      </w:pPr>
      <w:r>
        <w:rPr>
          <w:color w:val="000000"/>
        </w:rPr>
        <w:t>3 5 Complete courses and smaller additions must be compared on the same outcome</w:t>
      </w:r>
    </w:p>
    <w:p>
      <w:pPr>
        <w:widowControl/>
      </w:pPr>
      <w:r>
        <w:t xml:space="preserve">A short companion is not automatically more efficient than a complete course. For the same community and educational outcome, let a smaller package have net additional access </w:t>
      </w:r>
      <w:r>
        <w:rPr>
          <w:rFonts w:ascii="Consolas" w:hAnsi="Consolas" w:eastAsia="Consolas" w:cs="Consolas"/>
          <w:color w:val="31465A"/>
          <w:sz w:val="21"/>
        </w:rPr>
        <w:t>G_s</w:t>
      </w:r>
      <w:r>
        <w:t xml:space="preserve"> and positive cost </w:t>
      </w:r>
      <w:r>
        <w:rPr>
          <w:rFonts w:ascii="Consolas" w:hAnsi="Consolas" w:eastAsia="Consolas" w:cs="Consolas"/>
          <w:color w:val="31465A"/>
          <w:sz w:val="21"/>
        </w:rPr>
        <w:t>C_s</w:t>
      </w:r>
      <w:r>
        <w:t xml:space="preserve">, and a fuller sequence have </w:t>
      </w:r>
      <w:r>
        <w:rPr>
          <w:rFonts w:ascii="Consolas" w:hAnsi="Consolas" w:eastAsia="Consolas" w:cs="Consolas"/>
          <w:color w:val="31465A"/>
          <w:sz w:val="21"/>
        </w:rPr>
        <w:t>G_f</w:t>
      </w:r>
      <w:r>
        <w:t xml:space="preserve"> and positive cost </w:t>
      </w:r>
      <w:r>
        <w:rPr>
          <w:rFonts w:ascii="Consolas" w:hAnsi="Consolas" w:eastAsia="Consolas" w:cs="Consolas"/>
          <w:color w:val="31465A"/>
          <w:sz w:val="21"/>
        </w:rPr>
        <w:t>C_f</w:t>
      </w:r>
      <w:r>
        <w:t xml:space="preserve">. The smaller package has more access per cost only when </w:t>
      </w:r>
      <w:r>
        <w:rPr>
          <w:rFonts w:ascii="Consolas" w:hAnsi="Consolas" w:eastAsia="Consolas" w:cs="Consolas"/>
          <w:color w:val="31465A"/>
          <w:sz w:val="21"/>
        </w:rPr>
        <w:t>G_s × C_f &gt; G_f × C_s</w:t>
      </w:r>
      <w:r>
        <w:t xml:space="preserve">. If both packages address the same potential population and have positive yields, this becomes </w:t>
      </w:r>
      <w:r>
        <w:rPr>
          <w:rFonts w:ascii="Consolas" w:hAnsi="Consolas" w:eastAsia="Consolas" w:cs="Consolas"/>
          <w:color w:val="31465A"/>
          <w:sz w:val="21"/>
        </w:rPr>
        <w:t>q_s/q_f &gt; C_s/C_f</w:t>
      </w:r>
      <w:r>
        <w:t>. Negative or zero effects require the cross-product form rather than that ratio.</w:t>
      </w:r>
    </w:p>
    <w:p>
      <w:pPr>
        <w:widowControl/>
      </w:pPr>
      <w:r>
        <w:t xml:space="preserve">The source scale is no longer represented solely by an arbitrary 100,000-token canon. A bounded measurement of the exact OpenStax </w:t>
      </w:r>
      <w:r>
        <w:rPr>
          <w:rFonts w:ascii="Calibri" w:hAnsi="Calibri" w:eastAsia="Calibri" w:cs="Calibri"/>
          <w:i/>
        </w:rPr>
        <w:t>Prealgebra 2e</w:t>
      </w:r>
      <w:r>
        <w:t xml:space="preserve"> source at commit </w:t>
      </w:r>
      <w:r>
        <w:rPr>
          <w:rFonts w:ascii="Consolas" w:hAnsi="Consolas" w:eastAsia="Consolas" w:cs="Consolas"/>
          <w:color w:val="31465A"/>
          <w:sz w:val="21"/>
        </w:rPr>
        <w:t>38cae454e644abf9f0a623e876994553881597c9</w:t>
      </w:r>
      <w:r>
        <w:t xml:space="preserve"> finds 75 unique CNXML modules across 11 chapters. NFC-normalized text extracted from the learning-content elements contains </w:t>
      </w:r>
      <w:r>
        <w:rPr>
          <w:rFonts w:ascii="Calibri" w:hAnsi="Calibri" w:eastAsia="Calibri" w:cs="Calibri"/>
          <w:b/>
        </w:rPr>
        <w:t>364,270 `cl100k_base` tokens</w:t>
      </w:r>
      <w:r>
        <w:t xml:space="preserve">. A declared six-chapter quantitative sequence-whole numbers, integers, fractions, percents, linear equations and graphs-contains 173,958 tokens, or </w:t>
      </w:r>
      <w:r>
        <w:rPr>
          <w:rFonts w:ascii="Calibri" w:hAnsi="Calibri" w:eastAsia="Calibri" w:cs="Calibri"/>
          <w:b/>
        </w:rPr>
        <w:t>47.8%</w:t>
      </w:r>
      <w:r>
        <w:t xml:space="preserve"> of that measured full source. The fractions chapter contains 41,336 tokens, or </w:t>
      </w:r>
      <w:r>
        <w:rPr>
          <w:rFonts w:ascii="Calibri" w:hAnsi="Calibri" w:eastAsia="Calibri" w:cs="Calibri"/>
          <w:b/>
        </w:rPr>
        <w:t>11.3%</w:t>
      </w:r>
      <w:r>
        <w:t>. These are source representations, not teaching-time, difficulty or learning-effect measurements. The archive excludes media, and text extraction omits mathematical and document structure; tokenizing the complete XML instead gives 2,811,119 tokens because markup and metadata are included (OpenStax, 2026a).</w:t>
      </w:r>
    </w:p>
    <w:p>
      <w:pPr>
        <w:widowControl/>
      </w:pPr>
      <w:r>
        <w:t xml:space="preserve">Under the declared text-workflow coefficient and the general-domain Indonesian expansion measurement, the corresponding traffic scenarios before unmeasured extra work are approximately </w:t>
      </w:r>
      <w:r>
        <w:rPr>
          <w:rFonts w:ascii="Calibri" w:hAnsi="Calibri" w:eastAsia="Calibri" w:cs="Calibri"/>
          <w:b/>
        </w:rPr>
        <w:t>4.89 million</w:t>
      </w:r>
      <w:r>
        <w:t xml:space="preserve">, </w:t>
      </w:r>
      <w:r>
        <w:rPr>
          <w:rFonts w:ascii="Calibri" w:hAnsi="Calibri" w:eastAsia="Calibri" w:cs="Calibri"/>
          <w:b/>
        </w:rPr>
        <w:t>2.34 million</w:t>
      </w:r>
      <w:r>
        <w:t xml:space="preserve"> and </w:t>
      </w:r>
      <w:r>
        <w:rPr>
          <w:rFonts w:ascii="Calibri" w:hAnsi="Calibri" w:eastAsia="Calibri" w:cs="Calibri"/>
          <w:b/>
        </w:rPr>
        <w:t>0.56 million</w:t>
      </w:r>
      <w:r>
        <w:t xml:space="preserve"> token events. They are neither actual model usage nor money or physical compute. The same measured English source scale is carried through all ten currently measured language profiles rather than charging each a different source canon.</w:t>
      </w:r>
    </w:p>
    <w:p>
      <w:pPr>
        <w:widowControl/>
      </w:pPr>
      <w:r>
        <w:t>At zero common setup cost and equal per-source-token workflow, the six-chapter package needs more than 47.8% of the full course's net benefit on their common endpoint to be more efficient. If shared setup costs both alternatives an additional 10% of the full course's variable cost, the threshold is 52.5%; if setup equals the full variable cost, it is 73.9%. The corresponding fractions-only thresholds are 11.3%, 19.4% and 55.7%. These figures demonstrate why a small-content shortcut can lose its apparent advantage once terminology, formats and validation infrastructure are substantial. They do not estimate either package's educational effect.</w:t>
      </w:r>
    </w:p>
    <w:p>
      <w:pPr>
        <w:widowControl/>
      </w:pPr>
      <w:r>
        <w:t xml:space="preserve">The comparison must also preserve outcomes that exist only in the full course. A fractions unit and a complete prealgebra sequence can be compared on fractions access, while the latter's additional algebra, decimal, geometry and graph outcomes are reported separately or assigned explicit weights. Counting every stage as a new person would double-count overlapping learners. Conversely, once common infrastructure has been produced, the next decision compares the </w:t>
      </w:r>
      <w:r>
        <w:rPr>
          <w:rFonts w:ascii="Calibri" w:hAnsi="Calibri" w:eastAsia="Calibri" w:cs="Calibri"/>
          <w:i/>
        </w:rPr>
        <w:t>marginal</w:t>
      </w:r>
      <w:r>
        <w:t xml:space="preserve"> benefit and cost of the next unit; sunk production never reduces a community's educational need.</w:t>
      </w:r>
    </w:p>
    <w:p>
      <w:pPr>
        <w:pStyle w:val="Heading1"/>
        <w:widowControl/>
      </w:pPr>
      <w:r>
        <w:rPr>
          <w:color w:val="000000"/>
        </w:rPr>
        <w:t>4 Initial findings</w:t>
      </w:r>
    </w:p>
    <w:p>
      <w:pPr>
        <w:pStyle w:val="Heading2"/>
        <w:widowControl/>
      </w:pPr>
      <w:r>
        <w:rPr>
          <w:color w:val="000000"/>
        </w:rPr>
        <w:t>4 1 Indonesian access includes a large additional language audience</w:t>
      </w:r>
    </w:p>
    <w:p>
      <w:pPr>
        <w:widowControl/>
      </w:pPr>
      <w:r>
        <w:t>BPS's 2022 tables report 248,501,794 Indonesian-capable residents aged five or above, compared with 71,971,184 whose first-acquired language was Indonesian. These are different constructs. With the reported national marginals treated as fixed, approximately 176.53-181.71 million residents can use Indonesian without having acquired it first. This is a conditional joint-event bound, not a measure of advanced reading. It nevertheless demonstrates why an L1-only audience would omit a substantial potential route (BPS, 2022a, 2022b).</w:t>
      </w:r>
    </w:p>
    <w:p>
      <w:pPr>
        <w:widowControl/>
      </w:pPr>
      <w:r>
        <w:t>Regional-language needs do not disappear because Indonesian is widely used. Javanese, Sundanese and other routes may offer distinct benefits for particular ages, tasks or readers. They must be compared as overlapping interventions rather than assigned either complete national-language coverage or complete separation.</w:t>
      </w:r>
    </w:p>
    <w:p>
      <w:pPr>
        <w:pStyle w:val="Heading2"/>
        <w:widowControl/>
      </w:pPr>
      <w:r>
        <w:rPr>
          <w:color w:val="000000"/>
        </w:rPr>
        <w:t>4 2 Secondary mathematics reading and science give matched need measures</w:t>
      </w:r>
    </w:p>
    <w:p>
      <w:pPr>
        <w:widowControl/>
      </w:pPr>
      <w:r>
        <w:t>The complete PISA 2022 comparison covers 81 jurisdictions and uses the same represented-student population frame for mathematics, reading and science. Among Indonesia's represented cohort, approximately 3.10 million students are below Level 2 in mathematics, 2.83 million in reading and 2.50 million in science. The corresponding shares are 81.7%, 74.5% and 65.8%. The Philippines has similarly large observed shares-84.0%, 76.3% and 77.2%-while Japan's are 12.0%, 13.8% and 8.0%. These are educational-system observations, not language-specific translation-benefit counts (OECD, 2023a, 2023b).</w:t>
      </w:r>
    </w:p>
    <w:p>
      <w:pPr>
        <w:widowControl/>
      </w:pPr>
      <w:r>
        <w:t>The three counts overlap within students and cannot be added. Because the published marginal tables do not identify each student's joint status, the derivative publishes sharp bounds rather than assuming independence. For Indonesia, between approximately 0.84 million and 2.50 million represented students could be below Level 2 in all three subjects; between 3.10 million and the full 3.79-million represented cohort could be below Level 2 in at least one. These bounds describe assessment status, not the audience or effect of a translated package.</w:t>
      </w:r>
    </w:p>
    <w:p>
      <w:pPr>
        <w:widowControl/>
      </w:pPr>
      <w:r>
        <w:t>The matched comparison supports substantial Indonesian secondary-foundation investigation and shows why the package cannot be chosen from a mathematics score alone. Reading prerequisites may affect whether a learner can use mathematics, science, finance or computing material. It does not show that every assessed learner needs a translation, that Japanese education has no gaps, or that university, research, minority-language and accessibility needs are unimportant. Independent provision, exact language fit, delivery and the package's actual contribution remain consequential.</w:t>
      </w:r>
    </w:p>
    <w:p>
      <w:pPr>
        <w:widowControl/>
      </w:pPr>
      <w:r>
        <w:t>A bounded inspection of current official Indonesian supply changes the content hypothesis without lowering the measured need. The SIBI interface displayed 642 Kurikulum Merdeka PDF books overall and 115 at SMP/MTS level. Its subject filters displayed five mathematics, six science, six Indonesian-language and six informatics books at that level. The acquired Grade VII sample contains a student book and a separate teacher guide for mathematics, science and Indonesian language. All six PDFs are readable and visually substantive; the three teacher guides contain answer-key markers, while the corresponding student books do not contain that phrase in extractable text. This is evidence of existing public supply and teacher-facing feedback-not evidence of adoption, learner possession, independent usability, open adaptation rights or educational effect (Kementerian Pendidikan Dasar dan Menengah, n.d.).</w:t>
      </w:r>
    </w:p>
    <w:p>
      <w:pPr>
        <w:widowControl/>
      </w:pPr>
      <w:r>
        <w:t>The resulting first secondary hypothesis is not another undifferentiated textbook. It is three separable but interoperable learner companions-mathematics, reading and scientific language, and science-sharing a prerequisite diagnostic, route map, worked explanations, learner-facing answers and error feedback, remediation, cumulative review and download-once navigation. Science additionally needs low-equipment activities, safety guidance and offline substitutes for linked resources. That bounded companion must be compared with a complete independently usable lower-secondary foundation sequence at the same outcome. Neither alternative has a measured effect, complete production cost or rank; source length alone cannot choose between them.</w:t>
      </w:r>
    </w:p>
    <w:p>
      <w:pPr>
        <w:widowControl/>
      </w:pPr>
      <w:r>
        <w:t>Early-grade language support is a different intervention. Indonesian law establishes Indonesian as the national educational medium while allowing regional languages at the initial stage when needed. A ministry policy brief describes 718 local languages, reports that approximately 73% of people aged five or above use a local language at home, and presents several readiness-based pathways into Indonesian. Those national statements are not exact-language learner denominators. A defensible portfolio therefore specifies each local language, variety, script or orthography, location and stage rather than treating “regional languages” as one production target (Badan Pemeriksa Keuangan, 2003; Pusat Standar dan Kebijakan Pendidikan, 2023).</w:t>
      </w:r>
    </w:p>
    <w:p>
      <w:pPr>
        <w:widowControl/>
      </w:pPr>
      <w:r>
        <w:t>Delivery remains part of the intervention. BPS reports national 2024 marginals of 72.78% having accessed the internet, 68.65% owning a mobile phone and 18.52% of households owning a computer. These figures support phone-readable semantic HTML or EPUB, tagged PDF, printable units, local sharing and resumable offline progress. They do not imply universal phone ownership or continuous affordable access, and they are not student-by-language cross-tabs that can be multiplied into a beneficiary estimate (Badan Pusat Statistik, 2025).</w:t>
      </w:r>
    </w:p>
    <w:p>
      <w:pPr>
        <w:widowControl/>
      </w:pPr>
      <w:r>
        <w:t>Coverage can change the comparison materially. Under an explicit subset assumption and treating source population estimates as fixed, allowing all unrepresented learners' proficiency to remain unknown gives a Cambodia age-15 need range of approximately 111,000-333,000, compared with 122,000-210,000 in Japan. The represented point estimates alone therefore cannot settle that comparison. The complete calculation retains sampling cautions and source inconsistencies rather than repairing them silently.</w:t>
      </w:r>
    </w:p>
    <w:p>
      <w:pPr>
        <w:widowControl/>
      </w:pPr>
      <w:r>
        <w:t>The Ukrainian data require particular care. The same sample represents 165,591.78 students in both an 18-region and a national population frame. The observed regional estimates below Level 2 are approximately 70,228 in mathematics, 67,803 in reading and 56,326 in science. The corresponding conditional national envelopes are about 70,000-303,000, 68,000-301,000 and 56,000-289,000. They do not extend participating-region percentages to all Ukraine or add the national frame as a second population. These are 2022 observations, not a current wartime educational census.</w:t>
      </w:r>
    </w:p>
    <w:p>
      <w:pPr>
        <w:pStyle w:val="Heading2"/>
        <w:widowControl/>
      </w:pPr>
      <w:r>
        <w:rPr>
          <w:color w:val="000000"/>
        </w:rPr>
        <w:t>4 3 Different regional needs suggest different packages</w:t>
      </w:r>
    </w:p>
    <w:p>
      <w:pPr>
        <w:widowControl/>
      </w:pPr>
      <w:r>
        <w:t>Bangladesh's MICS 2025 indicators report foundational reading for 50.2% and numeracy for 39.2% of children aged 7-14. Pakistan's HIES 2024-25 reports 28% of children aged 5-16 out of school. These findings support investigating foundational catch-up, school re-entry and secondary progression, while preserving the different survey populations and constructs (UNICEF Bangladesh, 2026; Pakistan Bureau of Statistics, 2026).</w:t>
      </w:r>
    </w:p>
    <w:p>
      <w:pPr>
        <w:widowControl/>
      </w:pPr>
      <w:r>
        <w:t>For Bangladesh, combining the age-specific numeracy rate with projected age groups and explicit within-group age assumptions gives approximately 15.3-15.7 million children aged 7-14 not meeting the numeracy criterion. This is a range across three cross-source scenarios, not a confidence interval or direct census count. Without a within-age-bin composition assumption, the fixed-source sensitivity range is much wider, about 10.0-19.5 million. The calculation does not multiply a child learning rate by an all-age language population. It motivates a concrete package of number concepts, comparison, addition, patterns and worked practice, while existing national textbooks remain part of the provision baseline (UNICEF Data, n.d.; BBS &amp; UNICEF Bangladesh, 2026).</w:t>
      </w:r>
    </w:p>
    <w:p>
      <w:pPr>
        <w:widowControl/>
      </w:pPr>
      <w:r>
        <w:t>Actual content inspection narrows that proposal. The sampled 2026 NCTB Grade 2 book already covers all four numerical domains with visual explanations, worked answers and practice; selected Bangla Khan Academy lessons also provide explanations and exercises. For this task set, a portable diagnostic/feedback companion is a stronger provisional addition than an undifferentiated replacement book. It would link to existing examples and supply entry checks, prerequisite routing, self-check keys and short explanations of wrong answers. The sample does not establish complete national supply or universal autonomous usability, and it does not lower the population need estimate. Other stages and subject packages remain separate questions (National Curriculum and Textbook Board, 2026; Khan Academy, n.d.).</w:t>
      </w:r>
    </w:p>
    <w:p>
      <w:pPr>
        <w:widowControl/>
      </w:pPr>
      <w:r>
        <w:t>The language choices differ. Bangladesh has a large broad Bangla-language route, with exact-variety questions still important. Pakistan's census records several substantial mother-tongue communities: Urdu cannot stand for all Pakistanis. Urdu editions and Punjabi, Sindhi, Pashto, Saraiki and other editions require explicit capability and overlap comparisons.</w:t>
      </w:r>
    </w:p>
    <w:p>
      <w:pPr>
        <w:widowControl/>
      </w:pPr>
      <w:r>
        <w:t>Pakistan's 2023 census provides a matched historical count: 25,373,350 out-of-school children among 71,270,068 children aged 5-16 in its detailed-characteristics population. These are published school-status counts and summed single-year age counts, respectively. The newer HIES rate of 28% would imply 19.96 million only if that older cohort size and relevant frames were held constant; this is a scenario, not a measured decline between the two sources. Headcount-only populations missing detailed characteristics, AJK, Gilgit-Baltistan and diaspora communities remain outside this particular estimate, not outside the research (Pakistan Bureau of Statistics, 2023a, 2023c, 2026).</w:t>
      </w:r>
    </w:p>
    <w:p>
      <w:pPr>
        <w:widowControl/>
      </w:pPr>
      <w:r>
        <w:t>The same census makes a stronger language-specific inference possible. Rural Sindh has 25,623,864 residents, 23,605,495 with Sindhi as mother tongue, and 5,117,164 out-of-school children aged 5-16. Even if every non-Sindhi resident were in that last group, at least 3,098,795 out-of-school children must be Sindhi-mother-tongue children. Combining ten disjoint geographic cells gives a national detailed-frame interval of 3,098,795-8,757,513 for that intersection. This is a logical bound on the recorded margins, not an estimate of comfortable readers or beneficiaries. It supports investigating a distinct Sindhi foundational-learning route without assuming that a province is a language or that Urdu serves everyone (Pakistan Bureau of Statistics, 2023b, 2023c).</w:t>
      </w:r>
    </w:p>
    <w:p>
      <w:pPr>
        <w:widowControl/>
      </w:pPr>
      <w:r>
        <w:t>Considering several editions requires joint population accounting. Urdu, Punjabi, Sindhi, Pashto and Saraiki mother-tongue categories together contain between 9,929,282 and 25,373,350 of the recorded out-of-school children, conditional on the ten geographic cells' margins. Adding their separately maximized upper bounds would instead yield an impossible 54,141,695. The integrated calculation retains the shared constraints and feasible endpoint allocations. It also adds a Western/Pakistani Punjabi written-profile challenger outside the original forecast, while preserving uncertainty about how the census category maps to an exact edition. None of these membership bounds is a measured package-benefit count.</w:t>
      </w:r>
    </w:p>
    <w:p>
      <w:pPr>
        <w:widowControl/>
      </w:pPr>
      <w:r>
        <w:t>Existing distance education is a material countercheck. Bangladesh Open University already lists Bangla financial-management and business-statistics content; Pakistan's Virtual University lists extensive mathematics and related subjects. The useful additional package may therefore be a prerequisite companion, complete worked practice, accessible offline material or a specific missing topic-not another generic introductory volume. Catalogue presence alone does not establish which learners can use the material or what adaptation rights apply.</w:t>
      </w:r>
    </w:p>
    <w:p>
      <w:pPr>
        <w:widowControl/>
      </w:pPr>
      <w:r>
        <w:t>The Bangladesh comparison has now been extended across all six stages. The 2024 official report records 9,063,422 students in classes 6-10, 1,619,349 technical and vocational enrolments, and 1,069,579 university students. These are stage-scale context counts, not Bangla-only populations, unmet-need totals or expected beneficiaries. The accompanying source freeze contains 299 NCTB secondary, Dakhil, technical and higher-secondary catalog rows, of which 297 expose at least one link. It also contains 394 Bangladesh Open University course cells-326 unique program-title keys-including 65 cells in explicitly Bangla-medium BBA and MBA programs. Two sampled BOU mathematics units visibly contain Bangla explanations, but their legacy font encoding defeats ordinary Unicode extraction; a sampled computing unit is in English. The finding is therefore substantial but heterogeneous supply, not either universal adequacy or universal absence (Bangladesh Bureau of Educational Information and Statistics [BANBEIS], 2026; Bangladesh Open University, n.d.; National Curriculum and Textbook Board, 2026).</w:t>
      </w:r>
    </w:p>
    <w:p>
      <w:pPr>
        <w:widowControl/>
      </w:pPr>
      <w:r>
        <w:t>Delivery evidence changes the endpoint. The national 2024-25 ICT survey reports household computer access of 9.0%, home internet access of 55.1%, individual internet use of 53.4%, mobile-phone use of 88.4% and mobile-phone ownership of 65.5%. Rural individual internet use is 43.5%, compared with 84.2% in city-corporation areas. Among people who do not use the internet, 49.4% report not knowing how to use it and 18.6% report that service cost is too high. These are differently conditioned, sometimes multiple-response indicators, not additive barriers. They support phone-readable, low-bandwidth, downloadable, resumable and printable editions with simple onboarding; they rule out treating continuous connectivity or personal smartphone ownership as universal (Bangladesh Bureau of Statistics, 2026).</w:t>
      </w:r>
    </w:p>
    <w:p>
      <w:pPr>
        <w:widowControl/>
      </w:pPr>
      <w:r>
        <w:t>Institutional access is also stage-dependent. Among the 20,631 secondary institutions in the BANBEIS table, 98.94% report electricity, 87.90% a computer facility, 80.98% internet and 69.52% multimedia. Junior-secondary institutions report only 49.12% internet and 24.15% multimedia, compared with 84.70% and 74.75% for secondary schools. Institution-level presence does not prove reliable personal learner access, but it makes a single delivery assumption indefensible. An offline learner edition, a printable unit and a classroom projection asset can be complementary outputs rather than rivals (BANBEIS, 2026, Tables 3.5.1-3.5.3).</w:t>
      </w:r>
    </w:p>
    <w:p>
      <w:pPr>
        <w:widowControl/>
      </w:pPr>
      <w:r>
        <w:t>The package implications differ by stage. At preschool level, the present evidence is still missing and the route remains visible rather than being assigned zero need. At foundational level, a twelve-item diagnostic/feedback companion can be tested against a complete accessible sequence on the same numerical tasks. At secondary level, a coherent mathematics, reading/academic-language and science pathway should be compared with curriculum-linked feedback and transition companions. Vocational work must be tied to a named curriculum, occupation or qualification; the official total spans 9,310 institutions and changed scope in 2024. At university level, full Bangla open textbooks should be compared with bilingual Bangla-English terminology, prerequisite and worked-practice bridges. At research level, full advanced translations and smaller bilingual navigation or terminology companions remain separate candidates. Readiness for a bounded test is not an educational-need or funding rank.</w:t>
      </w:r>
    </w:p>
    <w:p>
      <w:pPr>
        <w:widowControl/>
      </w:pPr>
      <w:r>
        <w:t>The university bridge is more than a generic analogy. A qualitative study of seven senior university teachers reports a preference for Bangla and recommends a bilingual curriculum. A second qualitative study interviewed eight teachers in four Dhaka universities and identifies English-medium learning and mother-tongue textbook mechanisms. A 2025 open-access study surveyed 301 first-year engineering students and conducted focus groups with ten students; it reports moderate difficulties with English-medium lectures, assignments, examinations and communicating subject knowledge. The last article is internally inconsistent about whether participants came from one or two universities, and none of the three estimates national prevalence or the effect of a translated package. Together they justify a bounded Bangla-English engineering-transition test, not a national effect claim (Karim et al., 2023; Sultana &amp; Fang, 2024; Islam et al., 2025).</w:t>
      </w:r>
    </w:p>
    <w:p>
      <w:pPr>
        <w:widowControl/>
      </w:pPr>
      <w:r>
        <w:t>Finally, the national Bangla route is not the whole country. The universal register contains 50 Glottolog language-level nodes linked to Bangladesh. Bengali (</w:t>
      </w:r>
      <w:r>
        <w:rPr>
          <w:rFonts w:ascii="Consolas" w:hAnsi="Consolas" w:eastAsia="Consolas" w:cs="Consolas"/>
          <w:color w:val="31465A"/>
          <w:sz w:val="21"/>
        </w:rPr>
        <w:t>ben</w:t>
      </w:r>
      <w:r>
        <w:t xml:space="preserve">, </w:t>
      </w:r>
      <w:r>
        <w:rPr>
          <w:rFonts w:ascii="Consolas" w:hAnsi="Consolas" w:eastAsia="Consolas" w:cs="Consolas"/>
          <w:color w:val="31465A"/>
          <w:sz w:val="21"/>
        </w:rPr>
        <w:t>beng1280</w:t>
      </w:r>
      <w:r>
        <w:t>) is the national written route considered here, but it cannot be counted as automatic coverage for Sylheti (</w:t>
      </w:r>
      <w:r>
        <w:rPr>
          <w:rFonts w:ascii="Consolas" w:hAnsi="Consolas" w:eastAsia="Consolas" w:cs="Consolas"/>
          <w:color w:val="31465A"/>
          <w:sz w:val="21"/>
        </w:rPr>
        <w:t>syl</w:t>
      </w:r>
      <w:r>
        <w:t>), Chittagonian (</w:t>
      </w:r>
      <w:r>
        <w:rPr>
          <w:rFonts w:ascii="Consolas" w:hAnsi="Consolas" w:eastAsia="Consolas" w:cs="Consolas"/>
          <w:color w:val="31465A"/>
          <w:sz w:val="21"/>
        </w:rPr>
        <w:t>ctg</w:t>
      </w:r>
      <w:r>
        <w:t>), Rohingya (</w:t>
      </w:r>
      <w:r>
        <w:rPr>
          <w:rFonts w:ascii="Consolas" w:hAnsi="Consolas" w:eastAsia="Consolas" w:cs="Consolas"/>
          <w:color w:val="31465A"/>
          <w:sz w:val="21"/>
        </w:rPr>
        <w:t>rhg</w:t>
      </w:r>
      <w:r>
        <w:t>), signing communities or the other country-linked nodes. Glottolog currently links Indian Sign Language (</w:t>
      </w:r>
      <w:r>
        <w:rPr>
          <w:rFonts w:ascii="Consolas" w:hAnsi="Consolas" w:eastAsia="Consolas" w:cs="Consolas"/>
          <w:color w:val="31465A"/>
          <w:sz w:val="21"/>
        </w:rPr>
        <w:t>ins</w:t>
      </w:r>
      <w:r>
        <w:t xml:space="preserve">, </w:t>
      </w:r>
      <w:r>
        <w:rPr>
          <w:rFonts w:ascii="Consolas" w:hAnsi="Consolas" w:eastAsia="Consolas" w:cs="Consolas"/>
          <w:color w:val="31465A"/>
          <w:sz w:val="21"/>
        </w:rPr>
        <w:t>indi1237</w:t>
      </w:r>
      <w:r>
        <w:t>) to Bangladesh, India and Pakistan; that catalog identity does not establish that one standardized signed route serves every Bangladeshi signing community. Each remains a separate evidence obligation.</w:t>
      </w:r>
    </w:p>
    <w:p>
      <w:pPr>
        <w:widowControl/>
      </w:pPr>
      <w:r>
        <w:t>Regional investigations also identify distinct transition mechanisms: regional-language schooling to English technical education in India; Kiswahili-supported entry to English-medium secondary subjects in Tanzania; and Hausa-French learning routes in Niger. Their population magnitudes, independent provision and package effects must be estimated separately. A familiar mechanism is a research lead, not permission to copy one country's rate into another.</w:t>
      </w:r>
    </w:p>
    <w:p>
      <w:pPr>
        <w:widowControl/>
      </w:pPr>
      <w:r>
        <w:t>India illustrates how a hypothesis should change when confronted with evidence. Among higher-secondary students in the 2017-18 NSS survey's home-language categories, the English-medium shares were 19.5% for Hindi, 37.4% for Tamil, 74.5% for Telugu and 28.2% for Marathi. Thus a universal story of switching to English only upon entering university is particularly weak for the Telugu group. These historical cross-sections are neither English-proficiency measurements nor the same learners followed into university (Ministry of Statistics and Programme Implementation, 2020, Statement 4.17).</w:t>
      </w:r>
    </w:p>
    <w:p>
      <w:pPr>
        <w:widowControl/>
      </w:pPr>
      <w:r>
        <w:t>A more precise candidate is an optional bilingual prerequisite companion. Inspection of actual Hindi and Telugu NPTEL pages finds substantial existing explanations, worked examples, answers and glossaries. Both inspected mathematics books open with Rolle's theorem. A provisional eight-page entry insert can supply prerequisite orientation, six transfer tasks with explanatory answers, two compact foundation bridges and precise navigation to the existing lectures. This is a design scenario, not a demonstrated optimum or proof that similar support is unavailable elsewhere. Tamil and Marathi content remains uninspected in this comparison. English-medium learners remain eligible for local-language support; regional-language learners are not presumed incapable of English (NPTEL, n.d.).</w:t>
      </w:r>
    </w:p>
    <w:p>
      <w:pPr>
        <w:widowControl/>
      </w:pPr>
      <w:r>
        <w:t>Tanzania offers a different, source-bound transition example. Uwezo's 2017 Standard 7 reading margins imply that 39%-53% of the assessed cohort could pass the basic Kiswahili task but not the English task. Adding its subtraction-test margin gives a 19%-53% interval for pupils passing both Kiswahili and subtraction while not passing English, without assuming independence. This supports investigating paired subject explanations and English task practice, with separate foundational support. The tests concern basic competencies among assessed ages 6-16, not current technical-reading ability or a guaranteed translation effect (Uwezo Tanzania, 2019). A separately labeled transport scenario scales these bounds to historical administrative grade enrollment; it does not turn them into a current population estimate.</w:t>
      </w:r>
    </w:p>
    <w:p>
      <w:pPr>
        <w:widowControl/>
        <w:sectPr>
          <w:headerReference w:type="default" r:id="rId11"/>
          <w:footerReference w:type="default" r:id="rId12"/>
          <w:pgSz w:w="12240" w:h="15840"/>
          <w:pgMar w:top="1440" w:right="1440" w:bottom="1440" w:left="1440" w:header="708" w:footer="708" w:gutter="0"/>
          <w:cols w:space="720"/>
          <w:docGrid w:linePitch="360"/>
          <w:pgNumType w:start="1"/>
        </w:sectPr>
      </w:pPr>
    </w:p>
    <w:p>
      <w:pPr>
        <w:pStyle w:val="Heading2"/>
        <w:widowControl/>
        <w:ind w:right="1800" w:left="1800"/>
      </w:pPr>
      <w:r>
        <w:rPr>
          <w:color w:val="000000"/>
        </w:rPr>
        <w:t>4 4 A high consequence omission gate changes missing evidence into a research obligation</w:t>
      </w:r>
    </w:p>
    <w:p>
      <w:pPr>
        <w:widowControl/>
        <w:ind w:right="1800" w:left="1800"/>
      </w:pPr>
      <w:r>
        <w:t>A source-bound omission audit now tests the prospective portfolio against all 22 scheduled-language groups in the Census of India 2011 C-16/C-17 frame. The frame contains one group above 100 million, seven at or above 50 million and thirteen at or above 10 million. These are historical census-group populations, not exact modern varieties, current learner counts or benefit estimates. The audit retains every group and gives every missing route an explicit possible-outranker state (Office of the Registrar General &amp; Census Commissioner, India, 2011a, 2011b).</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511"/>
        <w:gridCol w:w="1903"/>
        <w:gridCol w:w="2479"/>
        <w:gridCol w:w="3201"/>
        <w:gridCol w:w="2866"/>
      </w:tblGrid>
      <w:tr>
        <w:trPr>
          <w:tblHeader w:val="true"/>
          <w:cantSplit w:val="true"/>
        </w:trPr>
        <w:tc>
          <w:tcPr>
            <w:tcW w:type="dxa" w:w="2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Published Census language group</w:t>
            </w:r>
          </w:p>
        </w:tc>
        <w:tc>
          <w:tcPr>
            <w:tcW w:type="dxa" w:w="19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2011 population</w:t>
            </w:r>
          </w:p>
        </w:tc>
        <w:tc>
          <w:tcPr>
            <w:tcW w:type="dxa" w:w="24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Prior internal scenario stages</w:t>
            </w:r>
          </w:p>
        </w:tc>
        <w:tc>
          <w:tcPr>
            <w:tcW w:type="dxa" w:w="32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Unbound stages in that scenario set</w:t>
            </w:r>
          </w:p>
        </w:tc>
        <w:tc>
          <w:tcPr>
            <w:tcW w:type="dxa" w:w="28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NPTEL catalogue title labels</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Hindi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528,347,193</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Bengali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97,237,669</w:t>
            </w:r>
          </w:p>
        </w:tc>
        <w:tc>
          <w:tcPr>
            <w:tcW w:type="dxa" w:w="247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foundational, vocational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university,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Marathi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83,026,680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Telugu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81,127,740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Tamil</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69,026,881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248</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Gujarati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55,492,554</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none</w:t>
            </w:r>
          </w:p>
        </w:tc>
        <w:tc>
          <w:tcPr>
            <w:tcW w:type="dxa" w:w="320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all six stages</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Urdu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50,772,631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foundational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vocational, university, research</w:t>
            </w:r>
          </w:p>
        </w:tc>
        <w:tc>
          <w:tcPr>
            <w:tcW w:type="dxa" w:w="28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not inspected in the current 12-page census</w:t>
            </w:r>
          </w:p>
        </w:tc>
      </w:tr>
    </w:tbl>
    <w:p>
      <w:pPr>
        <w:widowControl/>
        <w:spacing w:before="0" w:after="40"/>
      </w:pPr>
    </w:p>
    <w:p>
      <w:pPr>
        <w:widowControl/>
        <w:ind w:right="1800" w:left="1800"/>
      </w:pPr>
      <w:r>
        <w:rPr>
          <w:rFonts w:ascii="Calibri" w:hAnsi="Calibri" w:eastAsia="Calibri" w:cs="Calibri"/>
          <w:b/>
        </w:rPr>
        <w:t>Table note.</w:t>
      </w:r>
      <w:r>
        <w:t xml:space="preserve"> The scenario-stage columns are an internal research inventory, not worldwide educational coverage. Prior project work is a case study and has zero effect on a population's educational need or funding priority. The catalogue column records unique title labels extracted from one NPTEL language page. It does not measure complete courses, open licensing, accessibility, uptake, quality or adequate provision. Existing material therefore does not reduce the language group's educational need; it only changes the additionality question for a particular proposed package (NPTEL, n.d.).</w:t>
      </w:r>
    </w:p>
    <w:p>
      <w:pPr>
        <w:widowControl/>
        <w:ind w:right="1800" w:left="1800"/>
      </w:pPr>
      <w:r>
        <w:t>The immediate finding is not a new rank. It is that Gujarati cannot disappear because no matched intervention route has yet been assembled, and that one university-stage hypothesis for Hindi, Marathi, Telugu or Tamil does not amount to access across the educational life course. The same audit retains Kannada, Odia, Malayalam and the Punjabi-linked profile as route-free possible outrankers below the 50-million alarm line, and retains Assamese, Bodo, Dogri, Kashmiri, Konkani, Manipuri, Sanskrit and Sindhi outside the frozen 100 without treating that forecast boundary as a funding boundary.</w:t>
      </w:r>
    </w:p>
    <w:p>
      <w:pPr>
        <w:widowControl/>
        <w:ind w:right="1800" w:left="1800"/>
      </w:pPr>
      <w:r>
        <w:t>The language-group labels themselves require care. The published Hindi group cannot be substituted for one exact Hindi variety, and the Punjabi group cannot be substituted for an exact Eastern Punjabi readership without resolving mother-tongue composition, script and community. Reporting English among up to two subsidiary languages is not academic proficiency; not reporting English or Hindi in those slots is not proof that neither is understood. These measures expose overlap questions, not ready-made access multipliers.</w:t>
      </w:r>
    </w:p>
    <w:p>
      <w:pPr>
        <w:widowControl/>
        <w:ind w:right="1800" w:left="1800"/>
      </w:pPr>
      <w:r>
        <w:t>This is the first national high-consequence omission gate, not a sufficient global audit. The same operation must be repeated for every country and territory, large official and minoritized language, displaced and signed-language population, and then for communities that national tables fail to enumerate. Population magnitude sounds an alarm; it does not supply a need score.</w:t>
      </w:r>
    </w:p>
    <w:p>
      <w:pPr>
        <w:widowControl/>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2"/>
        <w:widowControl/>
      </w:pPr>
      <w:r>
        <w:rPr>
          <w:color w:val="000000"/>
        </w:rPr>
        <w:t>4 5 Existing Chinese and Japanese provision tests the package hypotheses</w:t>
      </w:r>
    </w:p>
    <w:p>
      <w:pPr>
        <w:widowControl/>
      </w:pPr>
      <w:r>
        <w:t>Existing materials can weaken a proposed intervention without resolving a community's broader needs. A Chinese probability/statistics textbook already supplies Python explanations and advertises maintained source code. A teacher-qualified support offer does not establish that all supplementary material is restricted (Xu, 2023). The University of Tokyo provides public Japanese programming lessons, scientific-computing topics and exercise-answer routes (University of Tokyo, n.d.).</w:t>
      </w:r>
    </w:p>
    <w:p>
      <w:pPr>
        <w:widowControl/>
      </w:pPr>
      <w:r>
        <w:t>These are concrete alternatives, not evidence that all learners are served. They require a new package to identify its additional contribution: a different task, prerequisite sequence, price, format or otherwise unavailable explanation. They also weaken any automatic inference that Chinese or Japanese opportunity must move wholesale from school to research. The remaining comparison is package-specific at every stage.</w:t>
      </w:r>
    </w:p>
    <w:p>
      <w:pPr>
        <w:pStyle w:val="Heading3"/>
        <w:widowControl/>
      </w:pPr>
      <w:r>
        <w:rPr>
          <w:color w:val="000000"/>
        </w:rPr>
        <w:t>4 5 1 One Chinese score would collapse six different allocation questions</w:t>
      </w:r>
    </w:p>
    <w:p>
      <w:pPr>
        <w:widowControl/>
      </w:pPr>
      <w:r>
        <w:t xml:space="preserve">The new </w:t>
      </w:r>
      <w:r>
        <w:rPr>
          <w:rFonts w:ascii="Calibri" w:hAnsi="Calibri" w:eastAsia="Calibri" w:cs="Calibri"/>
          <w:color w:val="2E74B5"/>
          <w:u w:val="single"/>
        </w:rPr>
        <w:t>China and Simplified Written Chinese checkpoint</w:t>
      </w:r>
      <w:r>
        <w:t xml:space="preserve"> makes that package-specific rule operational from preschool through research. The Ministry of Education reports 280.4043 million formal learners and 18.7010 million full-time teachers in 2025. Its stage counts include 32.2552 million preschool children, 101.7829 million primary learners, 55.0934 million junior-secondary learners, 30.3950 million ordinary senior-secondary learners, 11.1877 million secondary-vocational learners, 39.5396 million ordinary and vocational undergraduate/associate learners, and 4.2995 million postgraduate learners (Ministry of Education of the People's Republic of China, 2026). These are administrative contact populations, not unmet-need counts or automatic beneficiaries.</w:t>
      </w:r>
    </w:p>
    <w:p>
      <w:pPr>
        <w:widowControl/>
      </w:pPr>
      <w:r>
        <w:t>Domestic supply is also large. The national Smart Education platform reports more than 130,000 K-12 resources, more than 12,500 vocational courses, about 145,000 higher-education courses and more than 178 million users (Ministry of Education of the People's Republic of China, 2025). That is strong counterevidence to a blanket claim that Chinese educational material is scarce. It does not establish item-level open licences, accessible equivalence, answer completeness, autonomous-study coherence, resumable offline use or the additional effect of a proposed package. A national score would therefore obscure the actual comparisons: early-language and numeracy routes at P; foundational feedback and mobility continuity at F; subject/prerequisite bridges at S; qualification- or task-specific practical learning at V; exact open course alternatives at U; and proof, source-search and academic-language bridges at R.</w:t>
      </w:r>
    </w:p>
    <w:p>
      <w:pPr>
        <w:widowControl/>
      </w:pPr>
      <w:r>
        <w:t xml:space="preserve">The language boundary is equally consequential. A conditional calculation gives about 1.052-1.121 billion age-15+ users of normative Chinese characters under explicit matching-population assumptions, but it is only a written-standard proxy. It is not an exact Simplified-Chinese readership, academic-comprehension, need or benefit interval. The Ministry's 80.72% Putonghua prevalence is a separate construct and is not multiplied into that proxy (Ministry of Education of the People's Republic of China, 2021). Independently, the universal register retains 452 Glottolog language-level nodes linked to </w:t>
      </w:r>
      <w:r>
        <w:rPr>
          <w:rFonts w:ascii="Consolas" w:hAnsi="Consolas" w:eastAsia="Consolas" w:cs="Consolas"/>
          <w:color w:val="31465A"/>
          <w:sz w:val="21"/>
        </w:rPr>
        <w:t>CN</w:t>
      </w:r>
      <w:r>
        <w:t xml:space="preserve">, including nineteen bookkeeping nodes and five sign-language nodes. Registry linkage can cover historical, regional, cross-border, Hong Kong, Macau, Taiwan and multinational associations; none is automatically a present mainland audience or covered by </w:t>
      </w:r>
      <w:r>
        <w:rPr>
          <w:rFonts w:ascii="Consolas" w:hAnsi="Consolas" w:eastAsia="Consolas" w:cs="Consolas"/>
          <w:color w:val="31465A"/>
          <w:sz w:val="21"/>
        </w:rPr>
        <w:t>zh-Hans-CN</w:t>
      </w:r>
      <w:r>
        <w:t>.</w:t>
      </w:r>
    </w:p>
    <w:p>
      <w:pPr>
        <w:widowControl/>
      </w:pPr>
      <w:r>
        <w:t>Cross-cutting constraints also remain separate. The official 2020 analysis reports 138 million migration-affected children under its definitions; the 2025 migrant-worker report counts 301.15 million workers, 65.4% with junior-secondary education or less. Disability sources report more than 85 million disabled people, over 17 million people with visual disability and about 27.8 million with hearing disability, alongside adapted-reading shortages (National Bureau of Statistics of China, UNICEF, &amp; UNFPA, 2023; National Press and Publication Administration, 2026). These overlapping measures motivate continuity, practical-learning, semantic HTML/MathML, screen-reader, large-print, braille/tactile, audio, caption and exact signed-language comparisons. They are never added or substituted for language audiences.</w:t>
      </w:r>
    </w:p>
    <w:p>
      <w:pPr>
        <w:widowControl/>
      </w:pPr>
      <w:r>
        <w:t>The resulting finding is deliberately asymmetric with neither blanket inclusion nor blanket exclusion: Chinese packages are high-consequence candidates, while no national rank is assigned. All nine measured OpenStax sources remain available as complete-versus-bounded comparison baselines; Open Logic and the Stacks Project provide separate university/research baselines. Exact audience, incremental educational effect, physical compute, currency cost, dominance and rank remain null until a named language-stage-subject-format package is compared with current usable provision at a common endpoint. The constructor passes 57 source and structural checks, an independently implemented readback passes 82, the manuscript/state integration passes 77, and two complete builds are byte-identical.</w:t>
      </w:r>
    </w:p>
    <w:p>
      <w:pPr>
        <w:pStyle w:val="Heading3"/>
        <w:widowControl/>
      </w:pPr>
      <w:r>
        <w:rPr>
          <w:color w:val="000000"/>
        </w:rPr>
        <w:t>4 5 2 India is not one Hindi target</w:t>
      </w:r>
    </w:p>
    <w:p>
      <w:pPr>
        <w:widowControl/>
      </w:pPr>
      <w:r>
        <w:t xml:space="preserve">The </w:t>
      </w:r>
      <w:r>
        <w:rPr>
          <w:rFonts w:ascii="Calibri" w:hAnsi="Calibri" w:eastAsia="Calibri" w:cs="Calibri"/>
          <w:color w:val="2E74B5"/>
          <w:u w:val="single"/>
        </w:rPr>
        <w:t>India cross-stage checkpoint</w:t>
      </w:r>
      <w:r>
        <w:t xml:space="preserve"> applies the same six-stage comparison without substituting either a country or a Census category for an exact language. It carries all 518 Glottolog language-level nodes whose registry association includes </w:t>
      </w:r>
      <w:r>
        <w:rPr>
          <w:rFonts w:ascii="Consolas" w:hAnsi="Consolas" w:eastAsia="Consolas" w:cs="Consolas"/>
          <w:color w:val="31465A"/>
          <w:sz w:val="21"/>
        </w:rPr>
        <w:t>IN</w:t>
      </w:r>
      <w:r>
        <w:t>, including 27 bookkeeping nodes and four signed-language nodes. It also retains all 22 scheduled-language groups in the Census frame. Registry association does not establish current residence, use, vitality, need or comprehension of Hindi or English; the scheduled-language groups are historical administrative categories that can aggregate multiple mother tongues.</w:t>
      </w:r>
    </w:p>
    <w:p>
      <w:pPr>
        <w:widowControl/>
      </w:pPr>
      <w:r>
        <w:t xml:space="preserve">That distinction is especially important for the 2011 Census </w:t>
      </w:r>
      <w:r>
        <w:rPr>
          <w:rFonts w:ascii="Consolas" w:hAnsi="Consolas" w:eastAsia="Consolas" w:cs="Consolas"/>
          <w:color w:val="31465A"/>
          <w:sz w:val="21"/>
        </w:rPr>
        <w:t>HINDI</w:t>
      </w:r>
      <w:r>
        <w:t xml:space="preserve"> group. Its published total is 528,347,193, but the source decomposes it into 57 named or residual rows. The largest source-labelled components include Hindi (322,230,097), Bhojpuri (50,579,447), Rajasthani (25,806,344), Chhattisgarhi (16,245,190), Magadhi/Magahi (12,706,825), Haryanvi (9,806,519), Khortha/Khotta (8,038,735) and Marwari (7,831,749). Some labels map cleanly to a Glottolog language, some remain unresolved, and some are residual buckets. The group total therefore cannot be used as the addressable audience for Standard Hindi in Devanagari. Reporting English among at most two subsidiary languages is likewise a reporting variable, not a test of comfortable academic comprehension (Office of the Registrar General &amp; Census Commissioner, India, 2011a, 2011b).</w:t>
      </w:r>
    </w:p>
    <w:p>
      <w:pPr>
        <w:widowControl/>
      </w:pPr>
      <w:r>
        <w:t>The stage evidence identifies different questions rather than one national deficit. UDISE+ reports 246,932,680 enrolments from foundational through secondary education in 2024-25, with 52,312,506 in the foundational stage, 66,115,921 preparatory, 63,695,100 middle and 64,809,153 secondary; these administrative counts are not language-specific unmet need (Department of School Education &amp; Literacy, 2025). In rural ASER 2024, 23.4% of government-school Standard III pupils could read a Standard II text, 33.7% of all-school Standard III pupils could perform the subtraction task, 30.7% of Standard V pupils could perform the division task and 45.8% of Standard VIII pupils could perform the basic arithmetic task. These named-task results make foundational explanation and feedback consequential, but they do not identify language as the cause or translation as the measured remedy (ASER Centre, 2025).</w:t>
      </w:r>
    </w:p>
    <w:p>
      <w:pPr>
        <w:widowControl/>
      </w:pPr>
      <w:r>
        <w:t>Higher and practical education remain separate. AISHE 2023-24 reports nearly 45 million higher-education enrolments, a gross enrolment ratio of 30.0 for ages 18-23, 10,188,988 STEM enrolments across undergraduate through doctoral levels, and 343,559 PhD enrolments (Department of Higher Education, 2026). NPTEL explicitly describes a transition from regional-language schooling into mainly English technical education and provides translated material in eleven named languages. The frozen catalogue pages contain 292 unique Hindi title labels, 248 Tamil, 212 Gujarati, 209 Telugu, 199 each in Malayalam and Marathi, 188 Kannada, 181 Bengali, 35 Punjabi, 16 Odia and one Assamese. These are catalogue-presence counts, not complete-course, licence, accessibility, uptake, quality or satisfied-need measures. Actual inspected Hindi and Telugu mathematics books already contain explanations, worked examples, results and glossaries, so a generic duplicate prerequisite book is not yet justified; a smaller navigation/terminology/prerequisite bridge remains testable at the exact course endpoint (NPTEL, n.d.).</w:t>
      </w:r>
    </w:p>
    <w:p>
      <w:pPr>
        <w:widowControl/>
      </w:pPr>
      <w:r>
        <w:t>Delivery evidence makes a one-download autonomous-study route plausible but not universal. The 2025 telecom survey reports 86.3% of households with internet at home and, by adding mutually exclusive smartphone categories, 85.5% with some smartphone. Internet use in the preceding three months was 93.6% among ages 15-29 and 70.0% among ages 15 and older. These measures do not establish personal ownership, adequate storage or screens, accessible input, reliable power, affordable continuous data or successful study. ASER reports that rural smartphone ownership among 14-16-year-olds was 36.2% for boys and 26.9% for girls; among those reporting smartphone ability, 57% used one for education in the preceding week. Small downloads, phone-native layout, resumable offline state, print export and shared-device continuity must therefore be evaluated separately (National Statistical Office, 2025; ASER Centre, 2025).</w:t>
      </w:r>
    </w:p>
    <w:p>
      <w:pPr>
        <w:widowControl/>
      </w:pPr>
      <w:r>
        <w:t>The resulting package portfolio is stage-specific. At P/F, compare coherent exact child/home-language literacy and numeracy pathways with bounded diagnostics and worked feedback in phone, print, audio and appropriate signed forms. At S, bind a state or board, exact language, subject and transition; fractions-to-algebra, scientific reading, graphs/data and laboratory reasoning are concrete hypotheses. At V, attach finance, records, measurement, health, agriculture, management, computing or safety units to an actual qualification or job task. At U, compare complete open courses with bilingual prerequisite, terminology, formula-reading and offline-lab bridges. At R, compare complete graduate source chains with proof/search/terminology routes around open resources such as Open Logic and the Stacks Project. Indian Sign Language's 10,000-term video dictionary includes academic and vocational categories and records regional variation, but a dictionary is not a curriculum and one standardized sign route does not cover every signed variety (Indian Sign Language Research and Training Centre, n.d.).</w:t>
      </w:r>
    </w:p>
    <w:p>
      <w:pPr>
        <w:widowControl/>
      </w:pPr>
      <w:r>
        <w:t>No India-wide or Hindi-wide rank follows. All exact audiences, incremental effects, physical compute, currency costs and dominance relations remain null. Every scheduled group, HINDI-group component, signed-language node and other exact variety with missing matched evidence remains a possible outranker. The gate passes 28 source assertions and 11 constructor checks; an independent reconstruction passes 227 checks; four preserved PDFs contribute 2,029 source pages, ten page-level claim checks and nine visually inspected renders; five generated outputs are byte-identical across two complete builds.</w:t>
      </w:r>
    </w:p>
    <w:p>
      <w:pPr>
        <w:pStyle w:val="Heading3"/>
        <w:widowControl/>
      </w:pPr>
      <w:r>
        <w:rPr>
          <w:color w:val="000000"/>
        </w:rPr>
        <w:t>4 5 3 Nigeria is 589 language obligations not one English policy row</w:t>
      </w:r>
    </w:p>
    <w:p>
      <w:pPr>
        <w:widowControl/>
      </w:pPr>
      <w:r>
        <w:t xml:space="preserve">The </w:t>
      </w:r>
      <w:r>
        <w:rPr>
          <w:rFonts w:ascii="Calibri" w:hAnsi="Calibri" w:eastAsia="Calibri" w:cs="Calibri"/>
          <w:color w:val="2E74B5"/>
          <w:u w:val="single"/>
        </w:rPr>
        <w:t>Nigeria cross-stage checkpoint</w:t>
      </w:r>
      <w:r>
        <w:t xml:space="preserve"> retains all 589 Glottolog language-level nodes whose registry association includes </w:t>
      </w:r>
      <w:r>
        <w:rPr>
          <w:rFonts w:ascii="Consolas" w:hAnsi="Consolas" w:eastAsia="Consolas" w:cs="Consolas"/>
          <w:color w:val="31465A"/>
          <w:sz w:val="21"/>
        </w:rPr>
        <w:t>NG</w:t>
      </w:r>
      <w:r>
        <w:t>: 571 non-bookkeeping nodes, eighteen bookkeeping nodes and seven signed-language nodes. The World Bank reports a 2025 country population of 237,527,782, but that is not the audience for English, Hausa, Yoruba, Igbo, Nigerian Pidgin or any educational package. A 2025 federal announcement says that English is the medium of instruction from primary through tertiary education. Policy language is not a measurement of comfortable educational English, and it does not cover hundreds of other exact languages by declaration (Federal Ministry of Information and National Orientation, Nigeria, 2025; World Bank, 2026a).</w:t>
      </w:r>
    </w:p>
    <w:p>
      <w:pPr>
        <w:widowControl/>
      </w:pPr>
      <w:r>
        <w:t>The strongest evidence identifies serious educational tasks without assigning them to languages. Nigeria's 2021 MICS reports foundational reading skills for 26.8% and foundational numeracy skills for 25.3% of children ages 7-14. Reading tasks were available in English, Hausa, Igbo and Yoruba; 8% of interviewed children could not be evaluated in their home or school language. NALABE 2022 reports minimum proficiency of 50% in Primary 3 mathematics, 34% in Primary 5 mathematics and 14% in Junior Secondary 2 mathematics. At JS2, mathematics reasoning averaged 35% correct and science-and-technology application 36%. These national samples locate high-consequence foundational and secondary tasks. They do not show that language caused the results, that translation alone would solve them or how the burden divides among languages (National Bureau of Statistics of Nigeria &amp; UNICEF, 2022; Universal Basic Education Commission &amp; UNICEF, 2025).</w:t>
      </w:r>
    </w:p>
    <w:p>
      <w:pPr>
        <w:widowControl/>
      </w:pPr>
      <w:r>
        <w:t xml:space="preserve">Nor can the factsheet's ethnicity breakdown repair that missing language denominator. Its Hausa, Igbo, Yoruba, Fulani, Kanuri, Ijaw, Tiv, Ibibio and Edo categories refer to ethnicity of household head, not home language, reading ability or an addressable edition audience. The analysis therefore assigns none of those rows to a language. Instead it preserves exact target and script questions. Hausa Boko and Hausa Ajami are separate routes; Ajami naskh and Kano/Maghribi rendering and Nigeria/Niger conventions require their own evidence. Five Nigeria-linked Fulfulde nodes remain distinct, with Latin, Ajami and Adlam only investigation routes. Central and Manga-Dagera Kanuri remain separate. NERDC's unqualified labels </w:t>
      </w:r>
      <w:r>
        <w:rPr>
          <w:rFonts w:ascii="Consolas" w:hAnsi="Consolas" w:eastAsia="Consolas" w:cs="Consolas"/>
          <w:color w:val="31465A"/>
          <w:sz w:val="21"/>
        </w:rPr>
        <w:t>Fulfude</w:t>
      </w:r>
      <w:r>
        <w:t xml:space="preserve">, </w:t>
      </w:r>
      <w:r>
        <w:rPr>
          <w:rFonts w:ascii="Consolas" w:hAnsi="Consolas" w:eastAsia="Consolas" w:cs="Consolas"/>
          <w:color w:val="31465A"/>
          <w:sz w:val="21"/>
        </w:rPr>
        <w:t>Kanuri</w:t>
      </w:r>
      <w:r>
        <w:t xml:space="preserve"> and </w:t>
      </w:r>
      <w:r>
        <w:rPr>
          <w:rFonts w:ascii="Consolas" w:hAnsi="Consolas" w:eastAsia="Consolas" w:cs="Consolas"/>
          <w:color w:val="31465A"/>
          <w:sz w:val="21"/>
        </w:rPr>
        <w:t>Edo</w:t>
      </w:r>
      <w:r>
        <w:t xml:space="preserve"> do not automatically resolve those identities, and a reported common-core Naijá orthography does not prove that every Nigerian Pidgin community reads it (Nigerian Educational Research and Development Council, n.d.-a; IFRA-Nigeria, n.d.; Evans &amp; Warren-Rothlin, 2018).</w:t>
      </w:r>
    </w:p>
    <w:p>
      <w:pPr>
        <w:widowControl/>
      </w:pPr>
      <w:r>
        <w:t>The package comparisons differ by stage. At P/F, compare coherent child/caregiver-language oral, reading and numeracy pathways with smaller diagnostic and worked-feedback units in phone, print, audio and appropriate signed forms. At S, test fractions-to-algebra, mathematical reasoning, graphs/data, scientific reading and science application against a named curriculum and exam. At V, bind finance, bookkeeping, agriculture, health, management, digital skills, measurement or safety to an actual qualification or job task. At U, compare complete open courses with prerequisite, terminology, scientific-writing, formula-reading and runnable-computing bridges. At R, compare complete graduate source chains with proof, search, terminology and reproducible-methods layers around open sources. NERDC reports a nine-year basic curriculum, 42 mainstream senior-secondary subjects, 34 trade/entrepreneurship subjects, out-of-school-youth material, visually impaired curricula and instructional sign language; NBTE and TERAS expose vocational, online, repository and subscription routes. Those are supply signals, not proof of complete, openly reusable, accessible or effective provision (Nigerian Educational Research and Development Council, n.d.-b; National Board for Technical Education, n.d.; Tertiary Education Trust Fund, n.d.).</w:t>
      </w:r>
    </w:p>
    <w:p>
      <w:pPr>
        <w:widowControl/>
      </w:pPr>
      <w:r>
        <w:t>Delivery is a separate part of the intervention. The latest World Bank series reports 41.21139908% internet use and 62.5% electricity access in 2024. UNICEF reports that students ages 5-24 lived in households with 91% phone, 39% internet and 10% computer access, while 41% lacked television, internet or a computer. Household access is not personal ownership, permission, a smartphone, reliable electricity/data, storage, accessibility or successful independent study. Small downloads, phone-native layout, resumable offline state, print, audio, semantic HTML/MathML, screen-reader navigation and exact signed-language video must be costed separately. All seven signed-language nodes remain distinct; Nigerian Sign Language, Hausa Sign Language, Yoruba Sign Language, Bura, Ibokun, Magajingari and the multinational American Sign Language catalogue linkage do not cover one another by name (UNICEF Nigeria, 2023; World Bank, 2026a).</w:t>
      </w:r>
    </w:p>
    <w:p>
      <w:pPr>
        <w:widowControl/>
      </w:pPr>
      <w:r>
        <w:t>No Nigeria-wide or language-wide rank follows. All exact audiences, incremental effects, physical compute, currency costs and dominance relations remain null. Every one of the 589 linked nodes remains a possible outranker when matched evidence is missing. The gate passes 18 source assertions and 21 additional constructor checks; an independent reconstruction passes 160 checks; two preserved PDFs contribute 117 pages, six page-level claim groups and six visually inspected renders; all five tracked outputs are byte-identical across two complete constructor/checker cycles. Existing local project work has zero effect on Nigeria's educational need or global priority.</w:t>
      </w:r>
    </w:p>
    <w:p>
      <w:pPr>
        <w:pStyle w:val="Heading3"/>
        <w:widowControl/>
      </w:pPr>
      <w:r>
        <w:rPr>
          <w:color w:val="000000"/>
        </w:rPr>
        <w:t>4 5 4 Pakistan is 86 language obligations not one Urdu or English route</w:t>
      </w:r>
    </w:p>
    <w:p>
      <w:pPr>
        <w:widowControl/>
      </w:pPr>
      <w:r>
        <w:t xml:space="preserve">The </w:t>
      </w:r>
      <w:r>
        <w:rPr>
          <w:rFonts w:ascii="Calibri" w:hAnsi="Calibri" w:eastAsia="Calibri" w:cs="Calibri"/>
          <w:color w:val="2E74B5"/>
          <w:u w:val="single"/>
        </w:rPr>
        <w:t>Pakistan cross-stage checkpoint</w:t>
      </w:r>
      <w:r>
        <w:t xml:space="preserve"> retains all 86 Glottolog language-level nodes whose registry association includes PK: 83 non-bookkeeping nodes, three bookkeeping nodes and two signed-language nodes. Twenty-three high-consequence profiles receive explicit source questions; the other 63 remain visible source-research obligations. Country association does not establish current residence, language use, vitality, literacy or package need. The World Bank's 2025 country-population series reports 255,219,554 people, but that is not the audience for Urdu, English, Punjabi, Sindhi, Pashto or any other edition (Hammarström et al., 2026; World Bank, 2026b).</w:t>
      </w:r>
    </w:p>
    <w:p>
      <w:pPr>
        <w:widowControl/>
      </w:pPr>
      <w:r>
        <w:t>The strongest matched count is foundational rather than language-specific. In the 2023 detailed census frame, 25,373,350 of 71,270,068 children aged 5-16 were out of school: 20,033,448 had never attended and 5,339,902 were recorded as dropouts. Five published mother-tongue margins give logical intersection bounds, not readership or benefit estimates. Urdu is bounded at 0-7,778,163; Punjabi at 0-12,140,704; Sindhi at 3,098,795-8,757,513; Pushto at 0-13,298,209; and Saraiki at 0-12,167,106. The sharp union interval under the ten retained geographic margins is 9,929,282-25,373,350. Adding the five separate upper endpoints would produce an impossible 54,141,695, because each maximum assumes a different allocation of the same children (Pakistan Bureau of Statistics, 2023a, 2023b, 2023c).</w:t>
      </w:r>
    </w:p>
    <w:p>
      <w:pPr>
        <w:widowControl/>
      </w:pPr>
      <w:r>
        <w:t>Current supply narrows the intervention rather than settling it. The non-formal education census reports 1,073,704 enrolments, including 98,370 in accelerated primary, 38,686 in accelerated middle or middle-tech, 902,485 in non-formal basic primary, 1,231 in non-formal middle and 32,932 in adult literacy. The inclusive scheme specifies thirty-month A/B/C and eighteen-month D/E routes, with mathematics displayed in Urdu. Sindh's portal displays Sindhi, Urdu and English books; Punjab reports 6.2 million Urdu/English textbooks dispatched; Balochistan lists materials from Primer through Grade 12; and federal/KP sites expose curriculum and teacher-material routes. These are programme, portal and dispatch observations. They do not establish complete open supply, exercises and answers, offline access, accessibility or independent-study usability (National Curriculum Council, 2025; Pakistan Institute of Education, 2024a).</w:t>
      </w:r>
    </w:p>
    <w:p>
      <w:pPr>
        <w:widowControl/>
      </w:pPr>
      <w:r>
        <w:t>The National Achievement Test identifies concrete secondary tasks. Across its public-school sample, Grade 8 mathematics averaged 42% correct and science 51%; Grade 8 statistics and probability averaged 32.9%. Balochistan's Grade 8 mathematics sample averaged 30.6%, with 36.3% of pupils at or below the 25% threshold. The instruments were not one-language national measures: mathematics and science were offered in Urdu and Sindhi as well as the English booklet route described in the report. These results motivate mathematics, statistics and scientific-reading comparisons, but do not identify language as the cause, Balochi as the tested language or translation alone as the remedy (Pakistan Institute of Education, 2024b).</w:t>
      </w:r>
    </w:p>
    <w:p>
      <w:pPr>
        <w:widowControl/>
      </w:pPr>
      <w:r>
        <w:t>The six-stage portfolio therefore compares complete and bounded packages. At P/F, it tests exact child/caregiver-language early learning, literacy, numeracy and school re-entry against smaller diagnostic and worked-feedback units, with age-respectful prerequisite branches. At S, it compares complete mathematics/science/reading sequences with fractions-to-algebra, statistics/probability, graphs and scientific-reading bridges. At V, it binds applied numeracy, finance/management, digital skills and trade safety to an actual qualification. At U, it compares full degree foundations with gateway-course prerequisites, bilingual terminology and worked practice. At R, it compares complete open graduate source chains with terminology, proof-dependency, search and navigation layers. All nine measured OpenStax sources and the Open Logic/Stacks baselines remain alternatives, not automatic recommendations.</w:t>
      </w:r>
    </w:p>
    <w:p>
      <w:pPr>
        <w:widowControl/>
      </w:pPr>
      <w:r>
        <w:t>Exact identity remains part of every package. Western Panjabi/Shahmukhi and Eastern Panjabi/Gurmukhi are not assigned the whole census Punjabi interval. Central, Northern and Southern Pashto remain distinct within the broad Pushto margin. Eastern, Southern and Western Balochi remain distinct from one another and from Brahui; Shina and Kohistani Shina, Northern and Southern Hindko, Balti, Kashmiri, Khowar, Burushaski and Gujari remain separate. Pakistan Sign Language and the multinational Indian Sign Language registry linkage are separate nodes. A reported standardized Pakistan Sign Language book, sign interpreters and Urdu Braille activity do not establish a complete signed or tactile curriculum or equivalence between signing communities (Ministry of Human Rights, Pakistan, 2024).</w:t>
      </w:r>
    </w:p>
    <w:p>
      <w:pPr>
        <w:widowControl/>
      </w:pPr>
      <w:r>
        <w:t>Delivery must be compared independently. The latest World Bank series reports 57.253% internet use, 95.7% electricity access and 76.854 mobile subscriptions per 100 people in 2024. A subscription is not a unique smartphone owner, and a country-level connection or electricity indicator does not establish personal access, permission, reliable service, storage, accessibility or learning success. Phone-native, one-download offline, print, audio, signed video, semantic HTML/MathML, screen-reader and tactile/Braille routes therefore remain separately costed modes (World Bank, 2026b).</w:t>
      </w:r>
    </w:p>
    <w:p>
      <w:pPr>
        <w:widowControl/>
      </w:pPr>
      <w:r>
        <w:t>University and research needs also remain live. HEC reports 1,964,147 higher-education enrolments in 2022-23, more than 80,000 digital-skills learners, 31,353 PhD-directory registrants, 19,250 public dissertations and more than 30,000 journals. Its own FAQ says that digital-library access is institutional, IP-based, subscription-dependent and subject to cost sharing, not an open individual licence. This supports exact gateway-course and advanced-source comparisons without claiming that Pakistan lacks universities or journals (Higher Education Commission, Pakistan, 2025; Higher Education Commission, Pakistan, n.d.).</w:t>
      </w:r>
    </w:p>
    <w:p>
      <w:pPr>
        <w:widowControl/>
      </w:pPr>
      <w:r>
        <w:t>No Pakistan-wide or language-wide rank follows. Every exact audience, incremental effect, physical compute, currency cost and dominance relation remains null. The source audit passes 179 checks across eight preserved PDFs containing 1,055 pages, 23 page-bound claim groups, nine local official web surfaces, five infrastructure indicators and fourteen visually inspected renders. The constructor passes 21 source assertions and 22 additional checks; an independent implementation passes 601 checks; two complete constructor replays are byte-identical. Every missing exact-language measurement remains a possible outranker, not a low-need disposition.</w:t>
      </w:r>
    </w:p>
    <w:p>
      <w:pPr>
        <w:pStyle w:val="Heading3"/>
        <w:widowControl/>
      </w:pPr>
      <w:r>
        <w:rPr>
          <w:color w:val="000000"/>
        </w:rPr>
        <w:t>4 5 5 Ukraine and Russia are a paired omission check not one Slavic route</w:t>
      </w:r>
    </w:p>
    <w:p>
      <w:pPr>
        <w:widowControl/>
      </w:pPr>
      <w:r>
        <w:t xml:space="preserve">The </w:t>
      </w:r>
      <w:r>
        <w:rPr>
          <w:rFonts w:ascii="Calibri" w:hAnsi="Calibri" w:eastAsia="Calibri" w:cs="Calibri"/>
          <w:color w:val="2E74B5"/>
          <w:u w:val="single"/>
        </w:rPr>
        <w:t>Ukraine-Russia checkpoint</w:t>
      </w:r>
      <w:r>
        <w:t xml:space="preserve"> asks the same six stage questions of two separate country contexts. It is a sentinel for a global failure mode, not a comparison of national worth. The country-linked register retains 183 distinct Glottolog language-level nodes: 32 linked to Ukraine, 168 linked to the Russian Federation and seventeen appearing in both registry associations. The union contains one bookkeeping node and two signed-language nodes. A registry association can be historical, regional or cross-border; it does not establish current residence, language use, literacy, educational need or comprehension of a dominant language.</w:t>
      </w:r>
    </w:p>
    <w:p>
      <w:pPr>
        <w:widowControl/>
      </w:pPr>
      <w:r>
        <w:t>The latest retained World Bank population series reports 38,980,376 people for Ukraine and 143,513,328 for the Russian Federation in 2025. Neither number is the audience for a Ukrainian- or Russian-language edition. Ukraine's 2001 census reported 67.5% Ukrainian, 29.6% Russian and 2.5% other native languages; the dated categories are not multiplied by a current country or displacement total. A 2026 KIIS sample in government-controlled Ukraine reported 62% speaking mainly or always Ukrainian at home, 23% using both and 14% mainly or always Russian, but excluded occupied-territory residents and people who left abroad after February 2022. Those home-use categories do not measure preferred language for school, technical reading or research (State Statistics Committee of Ukraine, 2001; Kyiv International Institute of Sociology, 2026; World Bank, 2026c, 2026d).</w:t>
      </w:r>
    </w:p>
    <w:p>
      <w:pPr>
        <w:widowControl/>
      </w:pPr>
      <w:r>
        <w:t>Displacement creates a host-curriculum problem rather than one portable language count. Eurostat reported 4.41 million people who had fled Ukraine under temporary protection in the EU on 30 June 2026; 29.6% were minors, giving about 1,305,360 under the report's rounded inputs. That is an administrative and demographic context, not a school-enrolment, speaker or unmet-need count. A useful package hypothesis pairs Ukrainian explanation with the learner's actual host instructional language and offers Russian terminology where the learner chooses it. The separate Estonia evidence instead supports a Russian-Estonian subject-language transition route: only 63% of Russian-medium basic-school graduates reached Estonian B1 during the audited 2005-2020 period, against a 90% target. Neither corridor is transported to another country by analogy (Eurostat, 2026; National Audit Office of Estonia, n.d.).</w:t>
      </w:r>
    </w:p>
    <w:p>
      <w:pPr>
        <w:widowControl/>
      </w:pPr>
      <w:r>
        <w:t>Stage evidence also resists a single ordering. In the eighteen of twenty-seven Ukrainian regions represented by PISA 2022, 42% of students were below Level 2 in mathematics, 41% in reading and 34% in science; 30% attended schools whose principals reported teaching-staff shortages. The Russian 2025 data book reports 6.3853 million preschool, 17.9881 million general-education, 3.8506 million combined skilled-worker and mid-level vocational, 4.4317 million bachelor's/specialist's/master's and 125,900 postgraduate enrolments. Its separate 2023 national PISA-based assessment reported much lower below-basic shares, but that instrument and frame are not silently compared with the OECD Ukrainian result (OECD, 2023c; HSE University Institute for Statistical Studies and Economics of Knowledge, 2025).</w:t>
      </w:r>
    </w:p>
    <w:p>
      <w:pPr>
        <w:widowControl/>
      </w:pPr>
      <w:r>
        <w:t>The package implications therefore differ by stage and exact community. P/F compares coherent child- or caregiver-language early learning, literacy and numeracy with bounded oral, picture, diagnostic and worked-feedback units. S compares complete mathematics, science and reading sequences with prerequisite, subject-language and curriculum-continuity bridges. V requires a named trade, qualification and language rather than a national vocational total. U compares full open courses with gateway-prerequisite, terminology, formula-reading and runnable-computing companions. R compares coherent graduate source chains with proof, search, terminology and reproducible-methods layers. UNESCO's report that 12% of Ukrainian scientists and university teachers had relocated and about 30% of scientists were working remotely supports portable and restartable research access; it does not show a language effect (UNESCO &amp; United Nations Ukraine, 2024).</w:t>
      </w:r>
    </w:p>
    <w:p>
      <w:pPr>
        <w:widowControl/>
      </w:pPr>
      <w:r>
        <w:t>Existing Russian provision materially narrows some proposals. Yandex displays school mathematics and computing resources; Stepik's inspected introductory statistics page displayed 326,869 learners; Open Education displayed 1,459 courses and 419 programmes; MCCME provides full mathematical books; and Math-Net maintains journal archives. These are substantive alternatives, not proof of complete open licences, autonomous-study coherence, accessibility or zero additional need. They require a Russian package to identify the missing topic, prerequisite, answer support, format, rights or delivery advantage. They say nothing by themselves about the exact needs of Chechen, Tatar, Bashkir, Chuvash, Sakha, Tuvinian, Mari, Udmurt, Komi, Moksha, Ossetian, Nenets, Evenki, Chukchi, Nivkh or the other Russia-linked nodes.</w:t>
      </w:r>
    </w:p>
    <w:p>
      <w:pPr>
        <w:widowControl/>
      </w:pPr>
      <w:r>
        <w:t xml:space="preserve">Ukrainian, Russian, Belarusian, Polish, Crimean Tatar, several Romani nodes, Eastern Yiddish and every other intersecting node remain separate. Ukrainian Sign Language and Russian-Tajik Sign Language are separate signed routes whose video, notation, regional-variation and low-bandwidth costs are not represented by written token traffic. An Interslavic mathematics edition remains a valid experiment because notation and prepared-reader subject knowledge may reduce some prose burden. It receives no automatic audience or coverage: worked-example use, learning a new definition, following a proof and navigating a research reference remain separate tests. If </w:t>
      </w:r>
      <w:r>
        <w:rPr>
          <w:rFonts w:ascii="Consolas" w:hAnsi="Consolas" w:eastAsia="Consolas" w:cs="Consolas"/>
          <w:color w:val="31465A"/>
          <w:sz w:val="21"/>
        </w:rPr>
        <w:t>q</w:t>
      </w:r>
      <w:r>
        <w:t xml:space="preserve"> is the bridge's retained additional benefit relative to matched separate editions and </w:t>
      </w:r>
      <w:r>
        <w:rPr>
          <w:rFonts w:ascii="Consolas" w:hAnsi="Consolas" w:eastAsia="Consolas" w:cs="Consolas"/>
          <w:color w:val="31465A"/>
          <w:sz w:val="21"/>
        </w:rPr>
        <w:t>r</w:t>
      </w:r>
      <w:r>
        <w:t xml:space="preserve"> is its total-cost ratio, the bridge is more efficient only when </w:t>
      </w:r>
      <w:r>
        <w:rPr>
          <w:rFonts w:ascii="Consolas" w:hAnsi="Consolas" w:eastAsia="Consolas" w:cs="Consolas"/>
          <w:color w:val="31465A"/>
          <w:sz w:val="21"/>
        </w:rPr>
        <w:t>q &gt; r</w:t>
      </w:r>
      <w:r>
        <w:t xml:space="preserve">; the selected literature supplies no value for </w:t>
      </w:r>
      <w:r>
        <w:rPr>
          <w:rFonts w:ascii="Consolas" w:hAnsi="Consolas" w:eastAsia="Consolas" w:cs="Consolas"/>
          <w:color w:val="31465A"/>
          <w:sz w:val="21"/>
        </w:rPr>
        <w:t>q</w:t>
      </w:r>
      <w:r>
        <w:t>.</w:t>
      </w:r>
    </w:p>
    <w:p>
      <w:pPr>
        <w:widowControl/>
      </w:pPr>
      <w:r>
        <w:t>No Ukraine-versus-Russia, Ukrainian-versus-Russian or interlanguage-versus-native funding order follows. All 183 nodes retain P/F/S/V/U/R obligations, null audience/effect/compute/currency/dominance/rank fields, no automatic coverage and possible-outranker status. Fifty-eight nodes have a first explicit evidence question; the other 125 remain visible rather than being classified as low need. The source audit passes 257 checks across three PDFs containing 359 pages, eleven page-bound claim groups, thirteen local web-source groups, ten World Bank indicators and eleven manually inspected renders. An independent readback passes 1,715 checks, and two fresh constructor runs reproduce all three outputs byte-for-byte.</w:t>
      </w:r>
    </w:p>
    <w:p>
      <w:pPr>
        <w:pStyle w:val="Heading3"/>
        <w:widowControl/>
      </w:pPr>
      <w:r>
        <w:rPr>
          <w:color w:val="000000"/>
        </w:rPr>
        <w:t>4 5 6 Japan is not a negative control</w:t>
      </w:r>
    </w:p>
    <w:p>
      <w:pPr>
        <w:widowControl/>
      </w:pPr>
      <w:r>
        <w:t xml:space="preserve">The </w:t>
      </w:r>
      <w:r>
        <w:rPr>
          <w:rFonts w:ascii="Calibri" w:hAnsi="Calibri" w:eastAsia="Calibri" w:cs="Calibri"/>
          <w:color w:val="2E74B5"/>
          <w:u w:val="single"/>
        </w:rPr>
        <w:t>Japan cross-stage checkpoint</w:t>
      </w:r>
      <w:r>
        <w:t xml:space="preserve"> tests a proposition that the earlier comparison left unresolved: strong aggregate educational performance does not make a country or language an appropriate zero-need control. Japan's 2025 population of 123,366,734, its large school and research systems, and its strong national PISA results establish scale and substantial existing provision. None is an exact count of people who would gain access from a particular Japanese, other-language, signed-language or accessibility package (MEXT, 2024a, 2024c; World Bank, 2026e).</w:t>
      </w:r>
    </w:p>
    <w:p>
      <w:pPr>
        <w:widowControl/>
      </w:pPr>
      <w:r>
        <w:t>One current functional-access population is directly measured. MEXT defines learners needing Japanese-language instruction to include both learners without sufficient everyday Japanese and learners who can converse in Japanese but lack the grade-level academic language needed to participate in learning. The 2023 survey counts 69,123 enrolled learners: 57,718 of foreign nationality and 11,405 of Japanese nationality. Of these, 46,132 were in elementary school, 15,967 in lower secondary and 5,573 in upper secondary, with the balance in compulsory-education, secondary and special-support schools. Among 4,464 lower-secondary graduates in the survey frame, 90.3% progressed to further education, compared with 99.0% for all students in the source comparison; 5.0% were in neither progression nor employment, compared with 0.8%. These are measured transition signals, not a translation effect or a complete census of migrant, minority or multilingual learners (MEXT, 2024b).</w:t>
      </w:r>
    </w:p>
    <w:p>
      <w:pPr>
        <w:widowControl/>
      </w:pPr>
      <w:r>
        <w:t>The same survey prevents a one-language interpretation. Its two disjoint nationality partitions reconcile to broad daily-life-language counts of 13,754 Chinese, 12,579 Portuguese, 11,121 Filipino, 4,918 English, 4,046 Spanish, 3,978 Vietnamese, 669 Korean, 6,149 Japanese and 11,909 other. These are survey labels, not exact varieties, scripts or production tags. The report also records mother-tongue support routes in 409 local authorities, with further named examples including Nepali, Indonesian, Thai, Russian, Urdu, Mongolian, French, Hindi, Arabic, Bangla, Sinhala, Persian and Ukrainian. Authority counts do not measure staff capacity, learner coverage, material quality or effect.</w:t>
      </w:r>
    </w:p>
    <w:p>
      <w:pPr>
        <w:widowControl/>
      </w:pPr>
      <w:r>
        <w:t>The six educational stages therefore produce six different comparisons. At preschool and foundational stages, compare a coherent child/caregiver-language early-learning or literacy/numeracy pathway with a bounded diagnostic and academic-Japanese bridge in the exact home, signed or accessible route. At secondary level, compare complete mathematics, science, computing and reading pathways with a transition package for a named bottleneck such as algebra, data literacy, scientific reading or academic Japanese. At vocational level, bind a specific credential or work task before comparing full reskilling sequences with smaller statistics, finance, management, health or computing toolkits. At university level, compare a complete open course with a prerequisite, terminology, formula-reading or offline-laboratory companion. At postgraduate/research level, compare coherent advanced source chains with a source-faithful edition or bilingual proof, terminology and search scaffold for a named missing work.</w:t>
      </w:r>
    </w:p>
    <w:p>
      <w:pPr>
        <w:widowControl/>
      </w:pPr>
      <w:r>
        <w:t>Existing provision changes these comparisons rather than ending them. MEXT's tables report 607,951 specialized-training students, 2,945,599 university students, 168,706 master's students, 75,841 doctoral students and 910,393 researchers in the retained 2023 frames. J-STAGE reports more than 4,000 publications from more than 2,400 publishers and says that more than 90% of its articles are free to read; only items displaying an open-access licence establish the corresponding reuse permission. A historical 2010-2012 NISTEP analysis also shows a mixed Japanese/English publication ecology: domestic non-open-access journals were 53.2% English and 46.5% Japanese in its Scopus-derived frame, whereas domestic open-access journals were 89.6% English and 10.2% Japanese. Publication language does not measure comprehension, present-day shares or unmet educational need (Japan Science and Technology Agency, n.d.; NISTEP, 2016).</w:t>
      </w:r>
    </w:p>
    <w:p>
      <w:pPr>
        <w:widowControl/>
      </w:pPr>
      <w:r>
        <w:t xml:space="preserve">Japanese is not every Japan-linked language. The universal gate retains all 25 </w:t>
      </w:r>
      <w:r>
        <w:rPr>
          <w:rFonts w:ascii="Consolas" w:hAnsi="Consolas" w:eastAsia="Consolas" w:cs="Consolas"/>
          <w:color w:val="31465A"/>
          <w:sz w:val="21"/>
        </w:rPr>
        <w:t>JP</w:t>
      </w:r>
      <w:r>
        <w:t>-linked Glottolog language-level nodes. The Agency for Cultural Affairs separately names Ainu, Yaeyama, Yonaguni, Hachijo, Amami, Kunigami, Okinawan and Miyako as endangered language or variety categories. Broad labels such as Ainu and Amami are not forced into one exact node. Amami O Shima Sign Language, Japanese Sign Language and Miyakubo Sign Language remain three separate signed-language nodes; the 2025 statutory recognition of sign language does not establish that one signed route covers the others (Agency for Cultural Affairs, n.d.; Cabinet Office, 2025).</w:t>
      </w:r>
    </w:p>
    <w:p>
      <w:pPr>
        <w:widowControl/>
      </w:pPr>
      <w:r>
        <w:t>The immediate experimental order is not a funding rank: first test the measured academic-Japanese transition route with an exact home-language, signed-language or accessibility arm; separately test one matched offline/accessibility package, one named advanced Japanese edition or bilingual research scaffold, and one bounded endangered-language or signed-language prestige-domain prototype. All nine measured OpenStax collections, Open Logic, the Stacks Project and other advanced open corpora remain comparison baselines rather than automatic recommendations. Every exact audience, incremental effect, physical compute, currency cost, dominance relation and funding rank remains unset. The source audit passes 232 checks across eighteen retained sources, five PDFs containing 236 pages, five workbooks containing 106 sheets and sixteen visually inspected PDF pages. An independently implemented readback passes 298 checks, and two complete five-process replays reproduce all eight canonical outputs byte-for-byte.</w:t>
      </w:r>
    </w:p>
    <w:p>
      <w:pPr>
        <w:pStyle w:val="Heading3"/>
        <w:widowControl/>
      </w:pPr>
      <w:r>
        <w:rPr>
          <w:color w:val="000000"/>
        </w:rPr>
        <w:t>4 5 7 Brazil is not one Portuguese language audience</w:t>
      </w:r>
    </w:p>
    <w:p>
      <w:pPr>
        <w:widowControl/>
      </w:pPr>
      <w:r>
        <w:t xml:space="preserve">The </w:t>
      </w:r>
      <w:r>
        <w:rPr>
          <w:rFonts w:ascii="Calibri" w:hAnsi="Calibri" w:eastAsia="Calibri" w:cs="Calibri"/>
          <w:color w:val="2E74B5"/>
          <w:u w:val="single"/>
        </w:rPr>
        <w:t>Brazil cross-stage checkpoint</w:t>
      </w:r>
      <w:r>
        <w:t xml:space="preserve"> separates a large Portuguese-medium education system from exact Indigenous-language, signed-language, adult-re-entry, distance-learning, accessibility and research-access questions. The zero-disappearance register retains all 337 Glottolog language-level nodes associated with Brazil, including ten bookkeeping nodes and seven signed-language nodes. The 2022 Census table independently retains 304 census language labels. Those two taxonomies are not forced into a name-based crosswalk, and the sum of the census label counts-475,893-is not treated as a count of unique people because the source hierarchy and reporting categories can overlap (Brazilian Institute of Geography and Statistics [IBGE], 2025a).</w:t>
      </w:r>
    </w:p>
    <w:p>
      <w:pPr>
        <w:widowControl/>
      </w:pPr>
      <w:r>
        <w:t>The directly observed language-use frame is consequential but still not an intervention audience. Among 1,521,956 Indigenous people aged five or older in the relevant 2022 Census table, 433,980 were recorded as using an Indigenous language at home, 1,327,592 as using Portuguese at home and 181,641 as not using Portuguese at home. Portuguese and Indigenous-language use are overlapping categories, so neither the two yes-counts nor their percentages can be added. A separate simple-note literacy measure records 178,707 of 1,187,246 Indigenous people aged fifteen or older as not literate, or 15.05%, compared with 7% nationally. It does not identify their exact language, desired instructional route or likely response to a translated package (IBGE, 2025b, 2025c).</w:t>
      </w:r>
    </w:p>
    <w:p>
      <w:pPr>
        <w:widowControl/>
      </w:pPr>
      <w:r>
        <w:t>The stage denominators show why one national score would be misleading. The 2024 school census reports 47,088,922 basic-education enrolments, including 9,491,894 in early childhood, 26,002,356 in foundational education and 7,790,396 in secondary education. Its 2,576,293 vocational enrolments overlap secondary and adult-education categories and cannot be added as another population. Higher education contains 10,226,873 undergraduate enrolments, of which 5,189,391 are in distance education. CAPES records 419,915 distinct postgraduate people in its 2024 frame. PISA represents about 2.263 million fifteen-year-olds and reports 73% below Level 2 in mathematics, 50% in reading and 55% in science; those subject groups overlap, exclude an estimated 24% of the age cohort and do not establish a language cause (Inep, 2025a, 2025b; OECD, 2023d; CAPES, 2025).</w:t>
      </w:r>
    </w:p>
    <w:p>
      <w:pPr>
        <w:widowControl/>
      </w:pPr>
      <w:r>
        <w:t>Indigenous and signed-language provision is a distinct comparison rather than a residual after Portuguese. The retained federal report records 3,608 schools offering Indigenous education and 294,249 enrolments in 2024, plus teacher, higher-education and language-documentation programmes. Its reported count of fifty co-officialized oral and signed languages is a policy count, not an identity crosswalk or proof of complete curricular supply. Federal law establishes Libras and written Portuguese as a bilingual deaf-education route, but it supplies no equivalence between Libras and Macushi, Marajo, Maxakali, Papiu Yanomama, Terena or Urubú-Kaapor Sign Language. Each of the seven registry nodes therefore remains its own video, notation, regional-variation, transcript, caption and low-bandwidth research obligation (Ministry of Planning and Budget, Brazil, 2026; Federal Senate of Brazil, 2021).</w:t>
      </w:r>
    </w:p>
    <w:p>
      <w:pPr>
        <w:widowControl/>
      </w:pPr>
      <w:r>
        <w:t>The six educational stages consequently support different matched experiments. P compares coherent child/caregiver-language early learning with one bounded phone, print, audio or signed activity pack. F compares complete literacy, numeracy and science pathways with an exact-language or academic-Portuguese diagnostic and worked-feedback bridge. S compares full mathematics, statistics, computing and science sequences with one prerequisite, subject-language or data-literacy transition package. V requires an actual occupation or qualification before testing finance, management, statistics, computing, health or safety material. U compares complete degree-core sources with a prerequisite, terminology, accessibility or offline companion, particularly in the large distance route. R compares coherent advanced source chains with a source-faithful Portuguese edition or bilingual proof, terminology and search scaffold for a named missing work. Research education remains education; strong journal and university systems do not supply every advanced open work.</w:t>
      </w:r>
    </w:p>
    <w:p>
      <w:pPr>
        <w:widowControl/>
      </w:pPr>
      <w:r>
        <w:t>Eleven target profiles and all nine measured OpenStax source packages are now bound to these questions, alongside Open Logic, forallx and the Stacks Project as advanced baselines. The near-term experiment sequence starts with one exact Indigenous-language F route, one exact signed-language mathematics or science route, one Portuguese or bilingual S prerequisite route, one EJA/V practical route, one low-bandwidth U route and one named R comparison. This sequence is workflow, not funding rank. Exact audience, incremental effect, physical compute, currency cost, dominance and global rank remain unset. The source audit passes 858 checks across 26 retained source slots and nineteen visually inspected PDF pages; an independent reconstruction passes 5,310 checks; two complete six-process replays reproduce all nine canonical outputs byte-for-byte.</w:t>
      </w:r>
    </w:p>
    <w:p>
      <w:pPr>
        <w:pStyle w:val="Heading3"/>
        <w:widowControl/>
      </w:pPr>
      <w:r>
        <w:rPr>
          <w:color w:val="000000"/>
        </w:rPr>
        <w:t>4 5 8 Mexico is not one Spanish language audience</w:t>
      </w:r>
    </w:p>
    <w:p>
      <w:pPr>
        <w:widowControl/>
      </w:pPr>
      <w:r>
        <w:t xml:space="preserve">The </w:t>
      </w:r>
      <w:r>
        <w:rPr>
          <w:rFonts w:ascii="Calibri" w:hAnsi="Calibri" w:eastAsia="Calibri" w:cs="Calibri"/>
          <w:color w:val="2E74B5"/>
          <w:u w:val="single"/>
        </w:rPr>
        <w:t>Mexico cross-stage checkpoint</w:t>
      </w:r>
      <w:r>
        <w:t xml:space="preserve"> preserves three identity systems without pretending that they are interchangeable. Glottolog contributes 339 language-level nodes associated with Mexico, including seventeen bookkeeping nodes and five signed-language nodes. INALI independently specifies eleven families, 68 groupings, 364 catalogue variants and 476 self-denominations. Its own methodology says that a grouping can contain speech forms that are not mutually intelligible. INEGI's selected census chart instead reports ten broad labels plus an “other languages” category. A label such as Náhuatl, Maya, Mixteco or Zapoteco is therefore neither one automatic production audience nor a source-audited match to one Glottolog node (Instituto Nacional de Lenguas Indígenas [INALI], 2008; Instituto Nacional de Estadística y Geografía [INEGI], 2022).</w:t>
      </w:r>
    </w:p>
    <w:p>
      <w:pPr>
        <w:widowControl/>
      </w:pPr>
      <w:r>
        <w:t>The scale is consequential but does not settle the language boundary. The 2020 Census records 7,364,645 people aged three or older who spoke an Indigenous language, 6.1% of the same-age population. The 2023-2024 Indigenous-education report records 48,290 initial, 417,934 preschool and 779,514 primary enrollments: 1,245,738 in total, with 60,597 teachers or group-facing personnel and 22,315 schools. It also reports 569,547 Indigenous-language primary material copies distributed across twenty broad language columns. Copies are not unique titles, learners reached, exact variants served, open licenses, usability or learning effects. The material table therefore changes the next supply question; it does not erase any of the 364 exact-variant obligations (Dirección General de Educación Indígena, Intercultural y Bilingüe [DGEIIB], 2024; INEGI, 2022).</w:t>
      </w:r>
    </w:p>
    <w:p>
      <w:pPr>
        <w:widowControl/>
      </w:pPr>
      <w:r>
        <w:t>The six stages require different denominators. Current SEP figures report 3,996,767 preschool, 12,838,201 primary, 6,293,530 secondary and 5,492,491 upper-secondary enrollments in 2024-2025. The 43,597 professional-technical enrollments are nested within upper secondary. Higher education contains 5,519,791 enrollments, including 4,913,471 university and technological undergraduates and 478,382 postgraduate enrollments. PISA represents about 1,393,700 fifteen-year-olds-an estimated 64% of that age population-and reports 66% below Level 2 in mathematics, 47% in reading and 51% in science. Those three burdens overlap in the same represented cohort and cannot be added as separate people or attributed to language without a matched test (Organisation for Economic Co-operation and Development [OECD], 2023e; Secretaría de Educación Pública [SEP], 2025).</w:t>
      </w:r>
    </w:p>
    <w:p>
      <w:pPr>
        <w:widowControl/>
      </w:pPr>
      <w:r>
        <w:t>Observed supply is substantial but unevenly informative. CONALITEG exposes current preschool, primary, secondary and telesecundaria textbook routes. Cursos @prende.mx displays 2,708,965 cumulative registrations, 1,359 courses and 95 partner institutions; its help page describes Spanish-language courses that are free and available online around the clock, phone/tablet viewable, but better on a desktop or laptop. That is not evidence of downloadable offline supply, exact-language access or item-level open licensing. SciELO Mexico lists 288 journals and 183 current serials, while ANUIES exposes a current higher-education yearbook route. Current federal law separately names Indigenous, intercultural and plurilingual education, open and distance options, Mexican Sign Language, Braille, audio, large print, captions and audiodescription. Legal recognition and catalogue presence are intervention context, not proof of complete implementation or coverage of the four non-MSL signed-language nodes (Asociación Nacional de Universidades e Instituciones de Educación Superior [ANUIES], 2026; Cámara de Diputados, 2024, 2026; CONALITEG, 2026; SciELO México, 2026; SEP, 2026).</w:t>
      </w:r>
    </w:p>
    <w:p>
      <w:pPr>
        <w:widowControl/>
      </w:pPr>
      <w:r>
        <w:t>The matched package questions follow from those distinctions. P compares an exact child/caregiver-language early-learning sequence with one bounded phone, print, audio or signed activity pack. F compares coherent literacy, numeracy and science pathways with a variant-specific diagnostic and bilingual transition. S compares complete mathematics, statistics, computing and science sequences with one prerequisite or academic-language bridge while preserving PISA's coverage limit. V requires an actual task or qualification before testing finance, management, statistics, computing, health or safety. U compares degree-core sources with one gateway-course, terminology, accessibility or offline companion. R compares coherent advanced source chains with full translation, source-facing parallel text, bilingual navigation or one bounded research sidecar for a named field. Thirteen target profiles, all nine measured OpenStax sources, Open Logic, the Stacks Project and advanced research corpora are bound to these questions. No exact audience, incremental effect, physical compute, currency cost, dominance or global rank is assigned. The source audit passes 144 checks; an independent reconstruction passes 11,793; and two six-process runs reproduce nine canonical outputs byte-for-byte. This is a workflow checkpoint, not a country or funding order.</w:t>
      </w:r>
    </w:p>
    <w:p>
      <w:pPr>
        <w:pStyle w:val="Heading3"/>
        <w:widowControl/>
      </w:pPr>
      <w:r>
        <w:rPr>
          <w:color w:val="000000"/>
        </w:rPr>
        <w:t>4 5 9 Ethiopia cannot be reduced to an Amharic or English language audience</w:t>
      </w:r>
    </w:p>
    <w:p>
      <w:pPr>
        <w:widowControl/>
      </w:pPr>
      <w:r>
        <w:t xml:space="preserve">The </w:t>
      </w:r>
      <w:r>
        <w:rPr>
          <w:rFonts w:ascii="Calibri" w:hAnsi="Calibri" w:eastAsia="Calibri" w:cs="Calibri"/>
          <w:color w:val="2E74B5"/>
          <w:u w:val="single"/>
        </w:rPr>
        <w:t>Ethiopia cross-stage checkpoint</w:t>
      </w:r>
      <w:r>
        <w:t xml:space="preserve"> preserves the country's multilingual educational problem before asking which package should receive compute. The zero-disappearance register contains all 105 Glottolog language-level nodes associated with Ethiopia, including two bookkeeping nodes and Ethiopian Sign Language. Fourteen exact first-question profiles cover Amharic, Afar, three separate Oromo nodes, Somali, Tigrinya, Sidamo, Wolaytta, Hadiyya, Nuer, Berta, Harari and Ethiopian Sign Language. The remaining 91 nodes are still visible possible outrankers. Amharic, English, a broad source label or an interlanguage is not credited with covering another node without evidence of usable comprehension.</w:t>
      </w:r>
    </w:p>
    <w:p>
      <w:pPr>
        <w:widowControl/>
      </w:pPr>
      <w:r>
        <w:t>The available population evidence is consequential but cannot be converted into current language audiences. The 2007 census defines mother tongue through childhood acquisition or the language most frequently used in the household and reports a national total of 73,750,932. Its selected historical labels include Oromigna 24,930,424, Amarigna 21,634,396, Somaligna 4,609,274, Tigrigna 4,324,933, Sidamigna 2,981,471, Welaitigna 1,627,955, Affarigna 1,281,284 and Hadiyigna 1,253,894. Those are 2007 census categories, not current language-edition audiences. They are not projected by multiplying their old shares into the World Bank's 2025 national population estimate of 135,472,051, and broad labels such as Oromigna are not silently assigned to one of the three retained Oromo nodes (Ethiopian Statistical Service, 2008; World Bank, 2026).</w:t>
      </w:r>
    </w:p>
    <w:p>
      <w:pPr>
        <w:widowControl/>
      </w:pPr>
      <w:r>
        <w:t>The foundational evidence makes exact-language experiments urgent enough to test, but it does not supply a ready-made rank. A 2021 national early-grade reading assessment covered nine named language groups, 484 primary schools, 968 teachers and 19,360 students. It reported zero-reader classifications for 68% of Grade 2 learners and 51% of Grade 3 learners nationally, with large differences across language groups. A different 2024 midterm evaluation in Afar and Oromia reported weighted means of 37.8 letters, 10.7 familiar words and 10.3 oral-reading words per minute, plus 10.8% comprehension. The report itself cautions that observed associations are not necessarily causal. The two studies have different samples and cannot be merged into one national language effect (World Food Programme, 2024).</w:t>
      </w:r>
    </w:p>
    <w:p>
      <w:pPr>
        <w:widowControl/>
      </w:pPr>
      <w:r>
        <w:t>Delivery conditions also change what counts as a useful edition. The 2022/23 statistics abstract reports that only 11% of respondent secondary schools had Internet access, while 69.7% had electricity and 62.4% had computers. Functional biology, chemistry and physics laboratories were reported at 34.6%, 35.9% and 31.9%, respectively. The World Bank's national series place Internet use at 21.94% and electricity access at 56.6% in 2024. These measurements use different frames, but together they rule out an online-only default. The same statistics abstract warns that new-curriculum textbooks were not completely printed and distributed and contains an internal reporting-year inconsistency that remains explicit (Ethiopia Ministry of Education, 2023a; World Bank, 2026).</w:t>
      </w:r>
    </w:p>
    <w:p>
      <w:pPr>
        <w:widowControl/>
      </w:pPr>
      <w:r>
        <w:t>Current law and strategy define additional routes without proving implementation. General Education Proclamation No. 1368/2025 provides for mother-tongue instruction from pre-primary to an endpoint chosen by regional education bodies, makes English compulsory as a medium from Grade 9, and names sign language, Braille and adaptive technology. The inclusive-education strategy identifies sign-language, Braille, audio-visual and assistive-material needs, while the digital strategy calls for online and offline delivery and open educational resources. The vocational strategy emphasizes community-led labour-market evidence, digital skills, entrepreneurship, recognition of prior learning, refugees and host communities. Each is a source-bound design requirement, not a measured beneficiary count (Federal Democratic Republic of Ethiopia, 2025; Ethiopia Ministry of Education, 2023b, n.d.-a; Ethiopia Ministry of Labor and Skills, 2025).</w:t>
      </w:r>
    </w:p>
    <w:p>
      <w:pPr>
        <w:widowControl/>
      </w:pPr>
      <w:r>
        <w:t>The resulting package comparison spans all six stages. P tests an exact child/caregiver-language, audio or signed early-learning sequence. F tests coherent literacy, numeracy and introductory science with worked feedback in the exact language and script. S tests offline mathematics, statistics, computing and science plus the transition to English-medium study. V starts from a named occupation or qualification and compares practical finance, management, agriculture, health, safety, computing and entrepreneurship resources. U compares a complete degree-core route with a course-specific prerequisite, terminology, accessibility or low-bandwidth companion. R compares a named advanced source chain with a source-faithful edition, bilingual proof scaffold, terminology and search support. Research education remains eligible; it is not traded away merely because foundational need is severe.</w:t>
      </w:r>
    </w:p>
    <w:p>
      <w:pPr>
        <w:widowControl/>
      </w:pPr>
      <w:r>
        <w:t>The comparison maps nine measured OpenStax books and ten other open baselines, including TESSA, OpenRN Nursing Fundamentals, soil science, climate-smart agriculture, the Carpentries, the Turing Way, open research methods, MIT OpenCourseWare, Open Logic and the Stacks Project. Their combined 4,463,123-token OpenStax text scale is a workload reference, not a compute bill or benefit score. Teacher availability is not assumed: phone-downloadable, printable, low-bandwidth, worked-answer, semantic-HTML, audio, Braille and signed-video variants are separate delivery designs. The 630-row language-by-stage register keeps every audience, incremental effect, physical compute, currency cost, dominance relation and funding rank unset. The source audit passes 233 checks across twelve new and eight reused source files and 39 visually inspected pages; an independent reconstruction passes 620 checks; two complete replays reproduce all six canonical outputs byte-for-byte.</w:t>
      </w:r>
    </w:p>
    <w:p>
      <w:pPr>
        <w:pStyle w:val="Heading3"/>
        <w:widowControl/>
      </w:pPr>
      <w:r>
        <w:rPr>
          <w:color w:val="000000"/>
        </w:rPr>
        <w:t>4 5 10 The United States is not one English language audience</w:t>
      </w:r>
    </w:p>
    <w:p>
      <w:pPr>
        <w:widowControl/>
      </w:pPr>
      <w:r>
        <w:t>The United States checkpoint shows why national wealth and abundant English material cannot be used as exclusion rules. The discovery register retains 332 Glottolog language-level nodes linked to the United States or one of its territories, including four bookkeeping nodes and six name-identified signed-language nodes. A registry link is only a research locator: it does not prove current residence, present-day use, or the size of an educational audience. The separate resident-language evidence uses 28 selected Census labels, and those labels are not silently forced into exact varieties or scripts.</w:t>
      </w:r>
    </w:p>
    <w:p>
      <w:pPr>
        <w:widowControl/>
      </w:pPr>
      <w:r>
        <w:t>The multilingual scale is large even before exact educational need is known. The Census Bureau's 2017-2021 national table reports 67.2 million people age five or older speaking a language other than English at home; 25.54 million reported speaking English less than “very well.” The second figure is 38.006% of the first, but neither home language nor self-rated conversational English is a measure of academic comprehension or the effect of a translated course. A separate 2019 report gives 67.8 million people speaking a non-English language at home. The periods and publications remain separate rather than being averaged into false precision (U.S. Census Bureau, 2022a, 2022b).</w:t>
      </w:r>
    </w:p>
    <w:p>
      <w:pPr>
        <w:widowControl/>
      </w:pPr>
      <w:r>
        <w:t>School evidence identifies more specific starting points. NCES reports about 5.0 million English learners in public schools in fall 2020, or 10.3% of enrollment. Its leading administrative home-language labels include Spanish/Castilian, Arabic, Chinese, Vietnamese, Portuguese, Russian, Haitian/Haitian Creole, Hmong and Urdu. These categories are non-exhaustive and sometimes broad. They identify routes for exact-language investigation; they do not establish that one edition serves everyone under a label. The report's Portuguese count is 43,426-the page image shows a comma where text extraction produced a period (National Center for Education Statistics, 2023a).</w:t>
      </w:r>
    </w:p>
    <w:p>
      <w:pPr>
        <w:widowControl/>
      </w:pPr>
      <w:r>
        <w:t>National totals also hide locally important communities. In Alaska's state table, the source labels Central Yupik, Inupiaq and Central Siberian Yupik have estimated home-language populations of 15,680 ± 746, 5,722 ± 504 and 1,032 ± 116. Hawaiʻi's selected labels include Iloko at 59,050 ± 3,269, Hawaiian at 26,000 ± 1,916, Hawaiʻi Creole English at 11,600 ± 1,337, Chuukese at 7,861 ± 1,403 and Marshallese at 6,243 ± 1,163. These are Census labels, estimates and margins of error-not automatic Glottolog matches or course audiences. American Samoa, Guam, the Northern Mariana Islands, Puerto Rico, the U.S. Virgin Islands and the U.S. Minor Outlying Islands remain separate profiles. Retained Island Areas table shells prove that jurisdiction-specific language variables exist, but they do not contain the populated language counts; that missing evidence remains a priority rather than a zero (U.S. Census Bureau, 2022c, 2023a, 2023b).</w:t>
      </w:r>
    </w:p>
    <w:p>
      <w:pPr>
        <w:widowControl/>
      </w:pPr>
      <w:r>
        <w:t>Tribal education is a full-pathway question, not an “Indigenous-language add-on.” Bureau of Indian Education and National Advisory Council evidence identifies early childhood, Native-language and cultural maintenance, assessment, school improvement, technology, workforce preparation, entrepreneurship and tribal-college pathways. The 2023-2024 BIE report card records 35,138 school-year enrollment, 5,888 English learners under a different report-card denominator, 16.58% mathematics proficient or advanced and 74.7% four-year graduation. Those figures use different frames and cannot be added or interpreted as translation effects. They make matched, community-specific comparisons testable without granting any one Native language, English, Spanish or interlanguage automatic coverage (Bureau of Indian Education, 2024a, 2024b; National Advisory Council on Indian Education, 2023).</w:t>
      </w:r>
    </w:p>
    <w:p>
      <w:pPr>
        <w:widowControl/>
      </w:pPr>
      <w:r>
        <w:t>Signed language and accessibility are separate, sometimes intersecting routes. The register retains American Sign Language, Hawaiʻi Sign Language, Keresan Pueblo Indian Sign Language, Martha's Vineyard Sign Language, Plains Indian Sign Language and Puerto Rican Sign Language. Black ASL remains a documented variety question without inventing a seventh Glottolog node. IDEA service counts, deaf-student evidence and a 180-student postsecondary access study show why ASL, other signed languages, captions, transcripts, speech-to-text, MathML, braille, tactile graphics, audio, plain language, device access and offline delivery cannot be collapsed into one “accessible” file. Disability counts are not signed-language counts, and a small study is not national prevalence (Gallaudet University Press, n.d.; National Deaf Center on Postsecondary Outcomes, 2019, 2024; U.S. Department of Education, 2025).</w:t>
      </w:r>
    </w:p>
    <w:p>
      <w:pPr>
        <w:widowControl/>
      </w:pPr>
      <w:r>
        <w:t>The comparison therefore spans the whole educational pathway. P covers preschool and early childhood; F foundational and primary education; S secondary; V vocational, technical and practical education; U taught university and other tertiary education; and R postgraduate study and research. National context includes 61.0% preschool enrollment among ages three to five in 2023, 49.62 million public-school students in 2022, 16.39 million undergraduates and 3.27 million postbaccalaureate students in 2024, and 57,862 research doctorates in 2023. None is a language-specific beneficiary denominator. The useful unit is an exact language or variety × stage × subject × format × delivery route × common educational endpoint (National Center for Education Statistics, 2023b, 2024a, 2026; National Center for Science and Engineering Statistics, 2025).</w:t>
      </w:r>
    </w:p>
    <w:p>
      <w:pPr>
        <w:widowControl/>
      </w:pPr>
      <w:r>
        <w:t>At each stage the checkpoint compares three alternatives: a coherent open pathway, a smaller diagnostic/transition/terminology/accessibility package, and verified existing supply that reaches the same learners and endpoint. The subject menu includes the nine measured OpenStax baselines-prealgebra, statistics, biology, chemistry, physics, management, finance, anatomy/physiology and Python-plus Open Logic, forall x: Calgary and the Stacks Project for advanced work. Existing English supply is relevant to additionality, but it is not evidence that every exact learner can use it. Existing local work has zero effect on global need.</w:t>
      </w:r>
    </w:p>
    <w:p>
      <w:pPr>
        <w:widowControl/>
      </w:pPr>
      <w:r>
        <w:t>The result is a 1,992-row language-by-stage ledger in which every one of the 332 nodes remains a possible outranker. All exact audience, incremental effect, physical compute, currency cost, dominance and funding-rank fields remain unset. The source audit passes 340 checks across 28 retained files and 14 visually inspected pages; the constructor passes 57 checks; independent readback passes 54 checks with 21,912 CSV/JSON field comparisons and no mismatches; and two complete constructor runs reproduce all four outputs byte-for-byte. This closes a bounded evidence gate. It does not assign the United States or any U.S.-linked language a global rank.</w:t>
      </w:r>
    </w:p>
    <w:p>
      <w:pPr>
        <w:pStyle w:val="Heading2"/>
        <w:widowControl/>
      </w:pPr>
      <w:r>
        <w:rPr>
          <w:color w:val="000000"/>
        </w:rPr>
        <w:t>4 6 Practical skills and continuity beyond a uniform mathematics package</w:t>
      </w:r>
    </w:p>
    <w:p>
      <w:pPr>
        <w:widowControl/>
      </w:pPr>
      <w:r>
        <w:t xml:space="preserve">Seven further profiles generate eleven concrete package hypotheses. These are different educational tasks, not a new language league table. The complete source cards retain national versus language populations, observation dates, existing alternatives and uncertainty: </w:t>
      </w:r>
      <w:r>
        <w:rPr>
          <w:rFonts w:ascii="Calibri" w:hAnsi="Calibri" w:eastAsia="Calibri" w:cs="Calibri"/>
          <w:color w:val="2E74B5"/>
          <w:u w:val="single"/>
        </w:rPr>
        <w:t>mainland Southeast Asia</w:t>
      </w:r>
      <w:r>
        <w:t xml:space="preserve"> and </w:t>
      </w:r>
      <w:r>
        <w:rPr>
          <w:rFonts w:ascii="Calibri" w:hAnsi="Calibri" w:eastAsia="Calibri" w:cs="Calibri"/>
          <w:color w:val="2E74B5"/>
          <w:u w:val="single"/>
        </w:rPr>
        <w:t>Brazilian Portuguese and Latin-American Spanish</w:t>
      </w:r>
      <w:r>
        <w:t>.</w:t>
      </w:r>
    </w:p>
    <w:p>
      <w:pPr>
        <w:widowControl/>
      </w:pPr>
      <w:r>
        <w:t>Thailand provides particularly direct motivation for a practical-skills route. Its assessment of people aged 15-64 reports 64.7% below the foundational-reading threshold and 74.1% below the foundational-digital threshold. Basic digital tasks include using a pointer or keyboard and identifying a displayed price. These are different skill measures, not percentages to add or multiply. They motivate a Thai reading-and-digital-operations package, with device-based practice distinguished from paper exercises; they do not identify the number of Thai-language beneficiaries (World Bank, n.d.).</w:t>
      </w:r>
    </w:p>
    <w:p>
      <w:pPr>
        <w:widowControl/>
      </w:pPr>
      <w:r>
        <w:t>Myanmar illustrates a different mechanism. UNICEF's 2026-framed programme page describes around 3.5 million children outside schooling or learning, without providing an observation year or language breakdown. That is contextual evidence for interrupted-learning routes, not a Burmese-language count. A print-first sequence of independent science-reading units could serve Burmese-using adolescents with interrupted study. Existing ministry textbooks and curriculum videos are alternatives; other Myanmar languages remain separate candidates (UNICEF Myanmar, n.d.).</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141"/>
        <w:gridCol w:w="2793"/>
        <w:gridCol w:w="4426"/>
      </w:tblGrid>
      <w:tr>
        <w:trPr>
          <w:tblHeader w:val="true"/>
          <w:cantSplit w:val="true"/>
        </w:trPr>
        <w:tc>
          <w:tcPr>
            <w:tcW w:type="dxa" w:w="21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Language profile</w:t>
            </w:r>
          </w:p>
        </w:tc>
        <w:tc>
          <w:tcPr>
            <w:tcW w:type="dxa" w:w="27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hypothesis to compare</w:t>
            </w:r>
          </w:p>
        </w:tc>
        <w:tc>
          <w:tcPr>
            <w:tcW w:type="dxa" w:w="442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Evidence that narrows, but does not settle, the additional benefit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Vietnamese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six-unit science-reading and diagram companion for entry to Grade 6</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publisher's existing science book already supports reading, practice and self-assessment. The specific technical-reading bottleneck is not measured.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Thai</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short reading/digital-operation tasks, with optional offline practice</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MOOC already supplies digital-literacy courses and tests. Entry difficulty and device requirements need a task-level comparison.</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Burmese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stand-alone science-reading restart units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books/videos do not remove disruption; neither their presence nor disruption alone measures this package's effect.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Central Khmer</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Eight technical-reading tasks connecting Grade 9 study and vocational entry</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BEEP already combines equivalency, science, workplace and review material. A new bridge cannot claim those features are absent.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Lao</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age-respectful comprehension stories with explained answers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Khang Panya Lao already offers readers and advertises offline delivery. Exact feedback overlap remains uninspected.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Brazilian Portuguese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Adult science-reading, enterprise-records and reproducible-data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Encceja and IFRS provide substantial existing study and self-paced routes; each proposed delivery or prerequisite advantage is provisional.</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Latin-American Spanish, territory-specific</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Country-aligned science-reading, business-case and data-laboratory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INEA, SENA and UNAM already supply relevant content. Mexican, Chilean and Colombian evidence is not a representative regional denominator.</w:t>
            </w:r>
          </w:p>
        </w:tc>
      </w:tr>
    </w:tbl>
    <w:p>
      <w:pPr>
        <w:widowControl/>
        <w:spacing w:before="0" w:after="40"/>
      </w:pPr>
    </w:p>
    <w:p>
      <w:pPr>
        <w:widowControl/>
      </w:pPr>
      <w:r>
        <w:t>The package sizes are bounded design scenarios, not established minimum doses or optima. The eleven designs yield fifteen stage-specific routes because some span more than one stage; those variants are not disjoint populations. UNAM's public catalogue, for example, already includes R-based data science, finance and scientific thinking. Catalogue inspection establishes alternatives, not their full contents, offline usability or universal access (UNAM, n.d.).</w:t>
      </w:r>
    </w:p>
    <w:p>
      <w:pPr>
        <w:widowControl/>
      </w:pPr>
      <w:r>
        <w:t>A further methodological prediction follows: a search concentrated on existing textbook catalogues may favor supplement proposals simply because supplements are easier to distinguish from a listed title. The comparison must therefore retain full open editions, integrated learning packages and smaller additions under the same audience, quality and cost assumptions. The current evidence does not establish that small companions are globally optimal. Existing provision can change a particular intervention's expected additional benefit; it cannot erase the population's measured educational need.</w:t>
      </w:r>
    </w:p>
    <w:p>
      <w:pPr>
        <w:pStyle w:val="Heading2"/>
        <w:widowControl/>
      </w:pPr>
      <w:r>
        <w:rPr>
          <w:color w:val="000000"/>
        </w:rPr>
        <w:t>4 7 Philippine home languages require separate transition and self study comparisons</w:t>
      </w:r>
    </w:p>
    <w:p>
      <w:pPr>
        <w:widowControl/>
      </w:pPr>
      <w:r>
        <w:t>The Philippine Statistics Authority reports language generally spoken at home by household, not by person. Its 2020 table gives 10,522,507 Tagalog households, 4,214,122 Bisaya/Binisaya households, 1,933,512 Hiligaynon/Ilonggo households, 1,863,409 Ilocano households and a separate 1,716,080 Cebuano households. The separate Bisaya/Binisaya and Cebuano rows are not merged. Nor is Tagalog household use automatically equated to comfortable use of the national Filipino educational standard. Hiligaynon/Ilonggo, Ilocano, Bikol/Bicol, Waray, Kapampangan, Maguindanao and Pangasinan/Panggalato are retained as possible-outranker profiles; the residual category and missing responses remain visible without becoming fake edition targets (Philippine Statistics Authority, 2023a).</w:t>
      </w:r>
    </w:p>
    <w:p>
      <w:pPr>
        <w:widowControl/>
      </w:pPr>
      <w:r>
        <w:t>The 2024 FLEMMS reports functional literacy for 60.17 million of an estimated 85.00 million people aged 10-64. Their displayed difference is 24.83 million, but both figures are rounded and the result has no language attribution. The national PISA 2022 represented cohort similarly cannot be divided among home languages by household shares. These national burdens justify investigation at foundational, secondary and practical stages; they are not Cebuano, Filipino or any other language's beneficiary count (Philippine Statistics Authority, 2025a).</w:t>
      </w:r>
    </w:p>
    <w:p>
      <w:pPr>
        <w:widowControl/>
      </w:pPr>
      <w:r>
        <w:t>DepEd Order No. 020 makes Filipino and English the primary media for Kindergarten to Grade 3 in school year 2025-2026, includes Filipino Sign Language for deaf and hard-of-hearing learners, and gives regional languages an auxiliary translanguaging role, with specified exceptions. This supports three comparisons: a complete 24-36-unit exact-home-language foundational transition sequence versus an 8-12-unit sidecar; a localized multi-strand independent-study sequence versus a language/navigation/feedback layer over existing ALS material; and a complete signed FSL route versus a smaller signed terminology and feedback layer. Existing ALS resources already span communication, science and critical thinking, mathematics, life and career skills and digital citizenship, so a generic claim that no curriculum exists would be false (Department of Education, n.d.-a, 2025).</w:t>
      </w:r>
    </w:p>
    <w:p>
      <w:pPr>
        <w:widowControl/>
      </w:pPr>
      <w:r>
        <w:t>Current catalog evidence makes the supply question more specific. The Learning Resources Management and Development System displayed 2,053 Grade 7 records, including 717 mathematics and 383 science records. Every one of the first fifteen rows in each of two bounded Grade 7 subject-list samples was labelled English; this is a sample, not a language census of the full catalog. Across the complete current Basic Literacy, Elementary and Secondary ALS catalog endpoints, 485 stage rows represented 482 unique resource identifiers: 283 rows were labelled English, 192 Tagalog and ten one of Hiligaynon, Kalanguya, Mamanwa, Manobo or Meranaw. Those labels do not prove file contents or exact-variety coverage; “Manobo,” in particular, is not an adequate production identity (Department of Education, n.d.-b).</w:t>
      </w:r>
    </w:p>
    <w:p>
      <w:pPr>
        <w:widowControl/>
      </w:pPr>
      <w:r>
        <w:t xml:space="preserve">The catalog advertises a download link on 480 of the 485 ALS rows, but one exact anonymous test returned an authorization barrier. Two sampled Grade 7 learner records likewise showed disabled anonymous View and Download controls. One failed test cannot be generalized to every record, yet it shows why a catalog entry is not the same as a learner obtaining an offline file. The resulting secondary comparison is an exact-language autonomous mathematics, reading/scientific-language and science companion versus a complete autonomous sequence at the same endpoint. Separate comparisons remain necessary for exact first-language-to-Filipino/English transitions, ALS pathways, FSL signed study and non-additive accessibility delivery. All retain unknown matched audiences, effects, physical compute, currency costs and ranks; the detailed source inventory and six alternatives are reported in the </w:t>
      </w:r>
      <w:r>
        <w:rPr>
          <w:rFonts w:ascii="Calibri" w:hAnsi="Calibri" w:eastAsia="Calibri" w:cs="Calibri"/>
          <w:color w:val="2E74B5"/>
          <w:u w:val="single"/>
        </w:rPr>
        <w:t>Philippines target-specific checkpoint</w:t>
      </w:r>
      <w:r>
        <w:t>.</w:t>
      </w:r>
    </w:p>
    <w:p>
      <w:pPr>
        <w:widowControl/>
      </w:pPr>
      <w:r>
        <w:t>Delivery also changes the comparison. The 2024 National ICT Household Survey reports home internet for 13.56 million households (48.8%) and internet use for 61.46 million people aged ten or above (67.3%). Among internet users, 98.8% used a cellphone and 76.9% used the internet daily; those conditional percentages are not population phone-ownership rates. Home-internet access was 21.2% in Zamboanga Peninsula and 27.7% in BARMM, while internet use among people aged ten or above was 40.0% in BARMM. These marginals support phone-readable, print, local-share and download-once offline alternatives, but cannot be multiplied by household-language or PISA rows (Philippine Statistics Authority, 2025b).</w:t>
      </w:r>
    </w:p>
    <w:p>
      <w:pPr>
        <w:pStyle w:val="Heading2"/>
        <w:widowControl/>
      </w:pPr>
      <w:r>
        <w:rPr>
          <w:color w:val="000000"/>
        </w:rPr>
        <w:t>4 8 Central Asia requires national language and bridge language comparisons</w:t>
      </w:r>
    </w:p>
    <w:p>
      <w:pPr>
        <w:widowControl/>
      </w:pPr>
      <w:r>
        <w:t>Three different kinds of evidence must not be collapsed. Kazakhstan's 2021 census table reports 17,194,712 people in its frame, including 13,750,439 who freely read Kazakh, 14,356,787 who freely read Russian and 5,670,216 who freely read English. Those columns overlap. The table cannot be subtracted into monolingual populations, and its nationality rows do not measure preferred educational language. It shows that Russian is a consequential bridge; it does not show that Russian serves everyone (Bureau of National Statistics of Kazakhstan, 2021).</w:t>
      </w:r>
    </w:p>
    <w:p>
      <w:pPr>
        <w:widowControl/>
      </w:pPr>
      <w:r>
        <w:t>Uzbekistan provides a different construct: 2021/22 school enrollment by language of instruction. The table reports 5,355,701 students in Uzbek, 642,636 in Russian, 125,850 in Karakalpak, 65,358 in Tajik, 53,558 in Kazakh, 10,902 in Turkmen, 8,183 in Kyrgyz and 1,538 in an other-language category. Kyrgyzstan's 2024 table reports 695,209 students in single-language organizations and 841,424 in multilingual organizations; the largest displayed multilingual configuration is Kyrgyz-Russian at 660,688. These are schooling contexts, not speaker counts, shortages or individual multilingual proficiency (National Statistical Committee of the Kyrgyz Republic, 2024; State Committee of Uzbekistan on Statistics, 2022).</w:t>
      </w:r>
    </w:p>
    <w:p>
      <w:pPr>
        <w:widowControl/>
      </w:pPr>
      <w:r>
        <w:t>The learning evidence supports real stage investigation without assigning a national burden to one language. PISA 2022 reports mathematics below Level 2 for 49.6% of Kazakhstan's represented cohort, 80.7% of Uzbekistan's and 51.1% of Mongolia's. World Bank/UIS learning-poverty briefs report national values of 10%, 32%, 64% and 39% for Kazakhstan, Uzbekistan, Kyrgyz Republic and Mongolia; the inspected Turkmenistan comparison reports no country value. No value is a language-specific translation effect. Missing Turkmen evidence is a research priority, not a low-need result.</w:t>
      </w:r>
    </w:p>
    <w:p>
      <w:pPr>
        <w:widowControl/>
      </w:pPr>
      <w:r>
        <w:t>The resulting comparison adds full-course and smaller-bridge alternatives for Uzbek, Kazakh, Uyghur, Kyrgyz, Turkmen, Mongolian/Khalkha and Karakalpak from foundational through later stages where current evidence supports a route. Russian receives cross-border secondary, practical, university and research comparisons. Tajik is not duplicated because an earlier source packet already retains all six stages. Xinjiang's census figure of 11,624,257 people of Uyghur ethnicity is retained only as a high-consequence scale flag: ethnicity is not Uyghur use, literacy or educational need (Xinjiang Statistics Bureau, 2021).</w:t>
      </w:r>
    </w:p>
    <w:p>
      <w:pPr>
        <w:widowControl/>
      </w:pPr>
      <w:r>
        <w:t xml:space="preserve">Script is part of the intervention. Uzbek Latin/Cyrillic, Kazakh Cyrillic and future transition cohorts, Uyghur Perso-Arabic and diaspora scripts, Kyrgyz Cyrillic, Turkmen Latin/legacy Cyrillic, Mongolian Cyrillic/traditional script, and Karakalpak Latin/Cyrillic require separate comprehension and production assumptions. Southern Uzbek, Tuvan varieties in Mongolia, Pamiri languages and Central Asian signed languages remain explicit unresolved profiles rather than being treated as covered by a national standard. The </w:t>
      </w:r>
      <w:r>
        <w:rPr>
          <w:rFonts w:ascii="Calibri" w:hAnsi="Calibri" w:eastAsia="Calibri" w:cs="Calibri"/>
          <w:color w:val="2E74B5"/>
          <w:u w:val="single"/>
        </w:rPr>
        <w:t>Central Asian evidence comparison</w:t>
      </w:r>
      <w:r>
        <w:t xml:space="preserve"> retains all counts, residuals and uncertainty.</w:t>
      </w:r>
    </w:p>
    <w:p>
      <w:pPr>
        <w:pStyle w:val="Heading2"/>
        <w:widowControl/>
      </w:pPr>
      <w:r>
        <w:rPr>
          <w:color w:val="000000"/>
        </w:rPr>
        <w:t>4 9 West Africa requires exact language and stage specific comparisons</w:t>
      </w:r>
    </w:p>
    <w:p>
      <w:pPr>
        <w:widowControl/>
      </w:pPr>
      <w:r>
        <w:t>Nigeria's 2021 MICS reports foundational reading skills for 26.8% and foundational numeracy for 25.3% of assessed children aged 7-14. The north-east and north-west results are lower still, but they are regional rather than Hausa, Kanuri or Fulfulde rates. Reading tasks were available in English, Yoruba, Hausa and Igbo; 8% of interviewed children could not be evaluated in their home or school language. This directly motivates foundational recovery and language-access investigation, but it does not divide a national burden among those four languages or the hundreds not offered in the assessment (National Bureau of Statistics of Nigeria &amp; UNICEF, 2022).</w:t>
      </w:r>
    </w:p>
    <w:p>
      <w:pPr>
        <w:widowControl/>
      </w:pPr>
      <w:r>
        <w:t>Ghana shows a different measurement problem. Among 26,210,872 people aged six or older, 7,924,409 were reported not literate in any language and 18,286,463 literate. Of the latter, 9,662,938 were reported literate in a Ghanaian language, 17,610,870 in English and 183,443 in Hausa. These overlapping columns cannot be subtracted into exclusive readerships. The questionnaire separately names Akuapem Twi, Asante Twi, Fante, Nzema, Ga, Dangme, Ewe, Dagbani, Gonja, Dagaare, Kasem, Gruni and Hausa, but the inspected national table publishes most of them only inside the aggregate “Ghanaian language.” A separate ethnic table reports large Akan, Mole-Dagbani, Ewe and Ga-Dangme populations. Ethnic identity is not an exact language, literacy status, comfortable educational language or beneficiary count (Ghana Statistical Service, 2021a, 2021b, 2021c).</w:t>
      </w:r>
    </w:p>
    <w:p>
      <w:pPr>
        <w:widowControl/>
      </w:pPr>
      <w:r>
        <w:t>Mali reports gross/net enrolment of 62.8/44.9% in fundamental 1, 43.8/22.4% in fundamental 2 and 36.4/15.2% at secondary level. Literacy among people aged 15+ is 34.6%; 61.2% of people aged 6+ are recorded with no instruction level and 2.9% at higher level. These are consequential stage indicators. Yet the inspected tables collapse national languages into one unspecified category. Even that category differs between the report's synoptic table (15.5%) and Table 4.7 (19.9%); both observations are retained without selecting a convenient value. Neither can be assigned to Bambara, N’Ko, Fulfulde, Soninke, Songhay, Dogon, Senufo or another exact language (INSTAT Mali, 2025).</w:t>
      </w:r>
    </w:p>
    <w:p>
      <w:pPr>
        <w:widowControl/>
      </w:pPr>
      <w:r>
        <w:t>Senegal supplies a more detailed language table. Among 13,108,118 residents aged 10+, it reports 8,151,034 literate in at least one language. The age-10+ literacy rates are 37.5% in French, 14.9% in Wolof, 11.9% in Arabic, 6.1% in Pulaar, 2.0% in Sereer, 0.8% in Mandingue, 0.6% in Diola and 0.3% in Soninke. They may overlap and cannot be added. The same report records 20.9% of compulsory-age children as never having attended school, 40.7% as out of school, and 91.0% of residents aged 6+ as having had no vocational training. Those are distinct needs, not three measurements of one population (ANSD, 2025).</w:t>
      </w:r>
    </w:p>
    <w:p>
      <w:pPr>
        <w:widowControl/>
      </w:pPr>
      <w:r>
        <w:t>The package comparison therefore spans six stages. It tests oral/picture/audio early learning; independent foundational reading, arithmetic and science with explained answers; complete secondary STEM versus English- or French-facing subject bridges; practical bookkeeping, finance, agriculture, public health, data and digital skills; university prerequisites and scientific writing; and complete advanced editions versus research-navigation layers. Every route compares a complete independently usable course with a smaller addition to existing provision. It does not assume a teacher is continuously available, or that official use of English, French or Arabic establishes comfortable independent study.</w:t>
      </w:r>
    </w:p>
    <w:p>
      <w:pPr>
        <w:widowControl/>
      </w:pPr>
      <w:r>
        <w:t xml:space="preserve">Manding, Fula and script-sharing are empirical overlap hypotheses, not regional shortcuts. Bambara, Mandinka and Dyula remain separate while an N’Ko layer is tested for actual readers. Nigerian Fulfulde and Senegal Pulaar remain separate until orthographic and comprehension transfer are measured. Hausa Boko/Ajami, Wolof Latin/Wolofal/Garay, and Akuapem Twi/Asante Twi/Fante likewise require explicit reader and script evidence. Mathematical structure could make a smaller shared register more useful, but supplies no automatic comprehension multiplier. The </w:t>
      </w:r>
      <w:r>
        <w:rPr>
          <w:rFonts w:ascii="Calibri" w:hAnsi="Calibri" w:eastAsia="Calibri" w:cs="Calibri"/>
          <w:color w:val="2E74B5"/>
          <w:u w:val="single"/>
        </w:rPr>
        <w:t>West African evidence comparison</w:t>
      </w:r>
      <w:r>
        <w:t xml:space="preserve"> retains the exact labels, source discrepancies and route-less high-consequence profiles.</w:t>
      </w:r>
    </w:p>
    <w:p>
      <w:pPr>
        <w:pStyle w:val="Heading2"/>
        <w:widowControl/>
      </w:pPr>
      <w:r>
        <w:rPr>
          <w:color w:val="000000"/>
        </w:rPr>
        <w:t>4 10 Indigenous Americas Pacific and circumpolar needs are not one residual category</w:t>
      </w:r>
    </w:p>
    <w:p>
      <w:pPr>
        <w:widowControl/>
      </w:pPr>
      <w:r>
        <w:t>The next pass applies a selection rule that does not depend on population size or data completeness. It includes all sixty-one Haiti, Indigenous-Americas and named Canadian Cree/Ojibwe/Inuktut rows in the validated Americas evidence table; all seventeen Pacific rows in the validated Oceania table; and sixteen named Alaska, Greenland, Sámi and Russian-Arctic profiles already present in the regional mapping. Ninety-four profiles receive P/F/S/V/U/R package hypotheses. Seventeen unresolved omission profiles remain route-less but retain every stage. This is an inclusion checkpoint, not a claim that all 564 new routes are equally urgent or supported by equally strong evidence.</w:t>
      </w:r>
    </w:p>
    <w:p>
      <w:pPr>
        <w:widowControl/>
      </w:pPr>
      <w:r>
        <w:t>Some rows give unusually direct stage clues. In Peru's Grade 4 intercultural-bilingual assessment, 3.1% of participating Quechua Chanka pupils reached the satisfactory first-language reading category, compared with 18.9% in Quechua Collao; 59.4% and 48.1%, respectively, were “in process,” and 37.5% and 33.0% were “at start.” These figures are exact variety/assessment labels, not all-speaker rates. They support early reading, explained mathematics/science and Spanish-bridge comparisons while leaving exact variety population and later-stage need unknown. Guatemala's 2018 childhood-language count for K’iche’ is 1,054,818, but the observed fall in intercultural-bilingual enrolment from primary to later levels is published across languages and cannot be assigned to K’iche’. This motivates continuation and secondary-transition research without fabricating a K’iche’ attrition rate (Guatemala Instituto Nacional de Estadística, 2019; Guatemala Ministry of Education, 2022; Peru Ministry of Education, 2018).</w:t>
      </w:r>
    </w:p>
    <w:p>
      <w:pPr>
        <w:widowControl/>
      </w:pPr>
      <w:r>
        <w:t>Paraguay demonstrates why bilinguality is not a zero-need state. In a 2022 home-language frame, 33.4% reported Guaraní only, 34.4% Spanish plus Guaraní and 29.6% Spanish. PISA-D evidence cited in the national plan associates home Guaraní with a higher below-adequate-reading share than home Spanish (84% versus 56%). That is an association, not a causal effect or a count of standard-Guaraní readers; standard written Guaraní and mixed Jopara remain unresolved. It nevertheless justifies comparing a complete Guaraní route with a smaller bilingual subject-and-academic-literacy bridge (Paraguay Instituto Nacional de Estadística, 2022; Paraguay Ministry of Education, 2022).</w:t>
      </w:r>
    </w:p>
    <w:p>
      <w:pPr>
        <w:widowControl/>
      </w:pPr>
      <w:r>
        <w:t>Haiti combines a large scale flag with a delivery problem. The official 2024 territorial estimate of 11,867,032 is only a ceiling, not a Kreyòl speaker count. The Constitution identifies Kreyòl as the common language, while a 2014 observation study in 97 schools found substantially more French than Kreyòl subject time despite Kreyòl initial-literacy policy. Recent school closures and armed-group occupation make print, download-once and local-server delivery material. The useful comparison therefore includes a complete Kreyòl foundational-to-secondary sequence and a smaller diagnostic/feedback and French-transition layer; neither the territorial ceiling nor common-language status supplies the benefit denominator (Institut Haïtien de Statistique et d’Informatique, 2024; World Bank, 2015; UNICEF, 2025).</w:t>
      </w:r>
    </w:p>
    <w:p>
      <w:pPr>
        <w:widowControl/>
      </w:pPr>
      <w:r>
        <w:t>Canada and the Arctic expose a different continuity problem. Statistics Canada reports 12,005 people able to converse in Plains Cree and 41,675 in Inuktitut, while retaining separate mother-tongue, active-use and silent-speaker constructs. Alberta provides a Plains Cree Y-dialect Grade 7-9 guide; it is not all Cree. Nunavut reports staged/draft K-6 Inuktut curricula and territory-wide attendance/graduation indicators, but those outcomes are not variety-specific. Greenland's 56,740 territorial population cannot become a Kalaallisut speaker count. Kalaallisut, Tunumiisut, Inuktun, Iñupiaq, St. Lawrence Island Yupik, Unangam Tunuu, each Sámi language and the two Russian-Arctic Yupik profiles therefore remain separate. Their packages emphasize exact script/variety, teacher and settlement/offline support, majority-language transitions, climate/land/marine/health STEM, tertiary terminology and research continuity (Government of Alberta, n.d.; Government of Nunavut, 2024, 2025; Statistics Canada, 2025a, 2025b; Statistics Greenland, 2026).</w:t>
      </w:r>
    </w:p>
    <w:p>
      <w:pPr>
        <w:widowControl/>
      </w:pPr>
      <w:r>
        <w:t>Pacific evidence likewise changes the content question. The Solomon Islands census reports 101,588 people aged five or older for whom Pijin was the first language learned; a sampled early-grade study observed Pijin in 86% of lessons while English remained the formal school language. Māori has 213,849 people reporting everyday conversational ability and a much smaller Māori-medium enrolment pathway; Hawaiian has an estimated 25,490 home-language users and an established K-12 immersion path, with teacher and postsecondary continuity constraints. Marshallese has a rounding-compatible 35,318-35,354 age-five-plus reported-speaking interval; Chuukese has 27,677 age-five-plus home-language respondents. These constructs are different and nonadditive. They motivate bilingual secondary transitions, teacher resources, university prerequisites and advanced terminology in addition to foundational content (Federated States of Micronesia Statistics, 2024; Marshall Islands Economic Policy, Planning and Statistics Office, 2022; Solomon Islands National Statistics Office, 2023; State of Hawaiʻi DBEDT, 2019; Stats NZ, 2024; World Bank, 2019).</w:t>
      </w:r>
    </w:p>
    <w:p>
      <w:pPr>
        <w:widowControl/>
      </w:pPr>
      <w:r>
        <w:t>The package content is stage-specific. P/F alternatives combine oral language, early literacy/numeracy, audio, diagnostics, exercises and explained answers usable without a continuously available teacher. S compares complete STEM with a bilingual examination-language bridge. V includes health, household and enterprise finance, climate, land/marine knowledge and digital skills. U includes prerequisites, teacher education and scientific writing. R compares complete advanced editions with terminology, theorem/navigation and reproducible-methods layers. Every stage also requires low-data semantic HTML/EPUB or tagged PDF, print/offline packages, captions/transcripts and screen-reader/keyboard support.</w:t>
      </w:r>
    </w:p>
    <w:p>
      <w:pPr>
        <w:widowControl/>
      </w:pPr>
      <w:r>
        <w:t xml:space="preserve">The identity rules are strict. “Central Nahuatl” receives no generic route; fifteen exact INALI varieties receive separate profiles and retain dated/shared-locality cautions. Quechua, Maya, Guaraní, Cree, Ojibwe, Inuktut and Sámi are not single educational languages. Tok Pisin, Solomon Islands Pijin and Bislama are distinct languages and do not cover Papua New Guinea tok ples, Solomon local languages or Vanuatu's other languages. Australian Indigenous languages, Pacific signed languages, exact diaspora cohorts and unswept Amazonian, Caribbean and circumpolar languages remain explicit possible-outranker/evidence obligations. The </w:t>
      </w:r>
      <w:r>
        <w:rPr>
          <w:rFonts w:ascii="Calibri" w:hAnsi="Calibri" w:eastAsia="Calibri" w:cs="Calibri"/>
          <w:color w:val="2E74B5"/>
          <w:u w:val="single"/>
        </w:rPr>
        <w:t>regional packet</w:t>
      </w:r>
      <w:r>
        <w:t xml:space="preserve"> and its machine-readable evidence preserve every number and boundary.</w:t>
      </w:r>
    </w:p>
    <w:p>
      <w:pPr>
        <w:pStyle w:val="Heading2"/>
        <w:widowControl/>
      </w:pPr>
      <w:r>
        <w:rPr>
          <w:color w:val="000000"/>
        </w:rPr>
        <w:t>4 11 More specific needs in Africa Arabic Iranic communities and signed languages</w:t>
      </w:r>
    </w:p>
    <w:p>
      <w:pPr>
        <w:widowControl/>
      </w:pPr>
      <w:r>
        <w:t>Nineteen additional profiles now have source-linked package comparisons. Their contribution is not nineteen new positions on a league table. They show why a useful publication can be a full course for one learner and a smaller addition for another. Complete courses and smaller alternatives remain distinct in the calculation, rather than allowing catalogue inspection to decide the size of every intervention.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731"/>
        <w:gridCol w:w="3276"/>
        <w:gridCol w:w="3353"/>
      </w:tblGrid>
      <w:tr>
        <w:trPr>
          <w:tblHeader w:val="true"/>
          <w:cantSplit w:val="true"/>
        </w:trPr>
        <w:tc>
          <w:tcPr>
            <w:tcW w:type="dxa" w:w="27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Learner situation</w:t>
            </w:r>
          </w:p>
        </w:tc>
        <w:tc>
          <w:tcPr>
            <w:tcW w:type="dxa" w:w="32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educational material worth comparing</w:t>
            </w:r>
          </w:p>
        </w:tc>
        <w:tc>
          <w:tcPr>
            <w:tcW w:type="dxa" w:w="335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Important existing alternative or boundary</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or Oromo-using early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coherent low-equipment literacy/numeracy sequence with diagnostic questions and explanatory feedback</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 guides and diagnostic tools already exist; a smaller reteaching layer is an alternative, not an automatic ceiling.</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Kinyarwanda-using learners not adequately served by English text</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Scientific reading, measurement, fractions, graphs and practical data, with separate school and adult entry points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English-medium textbooks and distribution programmes exist, but do not establish comfortable English study for every learner.</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or Tigrinya-using learners returning after interruption</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complete prerequisite-to-school-continuity course</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accelerated or resumed instruction may make a practice companion more useful for some learners.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Kirundi-using school and practical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Applied science, observation, measurement, tables and records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Local STEM projects supply a concrete use case; their anecdotes are not a measured population effect.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isiZulu- or Sepedi-using Grade-4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Independently usable bilingual mathematical instruction</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DBE supplies substantial language-specific plans, guides and worksheets; do not claim an empty textbook market.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MSA, Dari and Kurdish learners with interrupted or changed-medium schooling</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Sequential science/reading courses, with exact national curriculum and written-variety routes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Madrasa, Begum, Darakht-e Danesh and eWane supply substantial independent provision. Offline continuity and prerequisite fit are specific comparisons.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or Tajik-using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Early-learning, scientific-reading and practical computing/data courses matched to entry level</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school books and free course providers require a subject-level comparison, not a nationality-based scarcity assumption.</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ASL, Libras, ISL, Kenyan Sign Language and SASL users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Distinct algebra, computing, practical numeracy, scientific-data and qualification-continuity courses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Signed dictionaries, course videos, workbooks and institutional training are different types of provision; none automatically establishes a full autonomous route.</w:t>
            </w:r>
          </w:p>
        </w:tc>
      </w:tr>
    </w:tbl>
    <w:p>
      <w:pPr>
        <w:widowControl/>
        <w:spacing w:before="0" w:after="40"/>
      </w:pPr>
    </w:p>
    <w:p>
      <w:pPr>
        <w:widowControl/>
      </w:pPr>
      <w:r>
        <w:t xml:space="preserve">Rwanda supplies a particularly concrete language-access anchor. Table C.25 of its 2022 census education report covers 8,289,582 residents aged 15+ and reports 54.0% literate in Kinyarwanda alone: approximately 4.48 million under that reported category. Because the percentage is rounded, this is not an exact published person count; the nearest-tenth rounding interpretation gives 4,472,230-4,480,519 people. Nor is it the number who need a science course. Alongside the education board's account of English-medium instruction from lower primary since 2021, it supports investigating Kinyarwanda scientific and practical learning rather than assuming English provision serves everyone. Exact tables, language overlap and narrative discrepancies are retained in the </w:t>
      </w:r>
      <w:r>
        <w:rPr>
          <w:rFonts w:ascii="Calibri" w:hAnsi="Calibri" w:eastAsia="Calibri" w:cs="Calibri"/>
          <w:color w:val="2E74B5"/>
          <w:u w:val="single"/>
        </w:rPr>
        <w:t>African evidence comparison</w:t>
      </w:r>
      <w:r>
        <w:t xml:space="preserve"> (NISR, 2023; Rwanda Basic Education Board, n.d.).</w:t>
      </w:r>
    </w:p>
    <w:p>
      <w:pPr>
        <w:widowControl/>
      </w:pPr>
      <w:r>
        <w:t xml:space="preserve">Displacement and exclusion also require full educational pathways, not only basic arithmetic. The Arabic/Iranic comparison separates national out-of-school observations from actual language readership, preserves MSA's spoken-to-written learning distinction, and distinguishes Iranian Persian, Dari, Tajik, Sorani and Kurmanji writing routes. It compares full science and practical-data courses with smaller additions to actual independent providers. Existing courses are evidence about the intervention's alternatives; their mere existence does not reduce a population's educational need. See the </w:t>
      </w:r>
      <w:r>
        <w:rPr>
          <w:rFonts w:ascii="Calibri" w:hAnsi="Calibri" w:eastAsia="Calibri" w:cs="Calibri"/>
          <w:color w:val="2E74B5"/>
          <w:u w:val="single"/>
        </w:rPr>
        <w:t>six-profile report</w:t>
      </w:r>
      <w:r>
        <w:t xml:space="preserve"> and its source-specific dates and population frames.</w:t>
      </w:r>
    </w:p>
    <w:p>
      <w:pPr>
        <w:widowControl/>
      </w:pPr>
      <w:r>
        <w:t xml:space="preserve">Signed-language access is not written-language translation plus a generic avatar. The five-profile comparison points to ASL algebra/computing, Libras fraction/ratio and research-data learning, ISL secondary/programming transitions, Kenyan Sign Language literacy/practical numeracy, and SASL matric mathematical literacy/digital-work preparation. Exact provision, replayable explanation, notation, exercises and explained answers matter. Deafness totals are not counts of sign-language users. The inspected sources do not provide matched beneficiaries or measured signed-course production costs; those remain unknown rather than zero. See the </w:t>
      </w:r>
      <w:r>
        <w:rPr>
          <w:rFonts w:ascii="Calibri" w:hAnsi="Calibri" w:eastAsia="Calibri" w:cs="Calibri"/>
          <w:color w:val="2E74B5"/>
          <w:u w:val="single"/>
        </w:rPr>
        <w:t>signed-language comparison</w:t>
      </w:r>
      <w:r>
        <w:t>.</w:t>
      </w:r>
    </w:p>
    <w:p>
      <w:pPr>
        <w:widowControl/>
      </w:pPr>
      <w:r>
        <w:t>These designs preserve independent-study and classroom routes. Preschool material normally needs a caregiver or educator, while older learners can use a complete self-contained course without assuming a teacher is available. Text, audio, signing, MathML, printable versions and offline delivery are distinct resources and costs. Keeping all six stages visible prevents the strongest evidence at one stage from silently excluding the others.</w:t>
      </w:r>
    </w:p>
    <w:p>
      <w:pPr>
        <w:pStyle w:val="Heading2"/>
        <w:widowControl/>
      </w:pPr>
      <w:r>
        <w:rPr>
          <w:color w:val="000000"/>
        </w:rPr>
        <w:t>4 12 Country totals are omission alarms not language denominators</w:t>
      </w:r>
    </w:p>
    <w:p>
      <w:pPr>
        <w:widowControl/>
      </w:pPr>
      <w:r>
        <w:t>A separate zero-disappearance audit now retains all 247 country, additional-locator and unlocated rows in the validated universal matrix. Thirty-four have no current country-population value; eighty have no observed registry node anywhere in the present source set; and 142 have at least one typed signed-language node but no locally linked signed-language observation. Each remains an explicit research obligation. None receives a zero need, a low rank or an implied “served” state because evidence is missing.</w:t>
      </w:r>
    </w:p>
    <w:p>
      <w:pPr>
        <w:widowControl/>
      </w:pPr>
      <w:r>
        <w:t>The high-consequence gate covers all 31 country contexts with a 2025 World Bank population estimate of at least fifty million, including both billion-person contexts and all sixteen at or above one hundred million: India, China, the United States, Indonesia, Pakistan, Nigeria, Brazil, Bangladesh, Russia, Ethiopia, Mexico, Japan, Egypt, the Philippines, the Democratic Republic of the Congo and Viet Nam. It records exact population estimates and current route visibility only to detect a dangerous omission. A country population is not a language population, a count of comfortable readers, unmet educational need or expected beneficiaries. A route for one national language, stage or subject does not discharge a country's regional, minority, signed, accessibility or displacement obligations.</w:t>
      </w:r>
    </w:p>
    <w:p>
      <w:pPr>
        <w:widowControl/>
      </w:pPr>
      <w:r>
        <w:t xml:space="preserve">Among the 31 contexts, twenty-one currently have at least one explicit country/profile route, five have only context-linked routes, and five have none. These are workflow states, not educational coverage rates. The audit explicitly keeps Indonesian stage and subject comparisons beyond the current secondary route, Chinese written standards separate from spoken Sinitic varieties, Japanese needs open by stage and subject, Nigeria's named languages separate from national or zonal measurements, and Russia's many exact language profiles separate from Russian. The same rule applies everywhere, including countries below the threshold and communities that country tables do not enumerate. The complete sentinel table and nonexhaustive next tests appear in the </w:t>
      </w:r>
      <w:r>
        <w:rPr>
          <w:rFonts w:ascii="Calibri" w:hAnsi="Calibri" w:eastAsia="Calibri" w:cs="Calibri"/>
          <w:color w:val="2E74B5"/>
          <w:u w:val="single"/>
        </w:rPr>
        <w:t>country and territory omission audit</w:t>
      </w:r>
      <w:r>
        <w:t>.</w:t>
      </w:r>
    </w:p>
    <w:p>
      <w:pPr>
        <w:pStyle w:val="Heading2"/>
        <w:widowControl/>
      </w:pPr>
      <w:r>
        <w:rPr>
          <w:color w:val="000000"/>
        </w:rPr>
        <w:t>4 13 Signed language identity and displacement require their own ledgers</w:t>
      </w:r>
    </w:p>
    <w:p>
      <w:pPr>
        <w:widowControl/>
      </w:pPr>
      <w:r>
        <w:t>The universal register contains 227 typed signed-language nodes and seven possibly signed but taxonomically unresolved nodes. All 234 survive the signed-language audit as separate identities. Only six currently crosswalk to any route in the bounded package calculator, and 228 have none. That count describes the incompleteness of this research, not the educational importance of the six. Two of the 227 exact nodes have a numeric source-label observation in the current universal matrix, thirty-four have at least one scope-unverified direct-target relation, and the separate named-source table has eighteen evidence records, fifteen of which currently link through an exact edition-target relation.</w:t>
      </w:r>
    </w:p>
    <w:p>
      <w:pPr>
        <w:widowControl/>
      </w:pPr>
      <w:r>
        <w:t xml:space="preserve">Identity mismatches are exposed instead of smoothed over. The present “Kenyan Sign Language” package route possibly mismatches the universal Kenya-Somali Sign Language node and therefore receives no exact-language coverage credit. The Filipino/Philippine Sign Language label pair remains a scope-to-verify link. Hawaiʻi Sign Language, Langue des signes québécoise and the Spanish sign-language-use observation remain three explicit evidence-graph repair obligations. Deafness or hearing-disability totals never substitute for sign-language user counts. The </w:t>
      </w:r>
      <w:r>
        <w:rPr>
          <w:rFonts w:ascii="Calibri" w:hAnsi="Calibri" w:eastAsia="Calibri" w:cs="Calibri"/>
          <w:color w:val="2E74B5"/>
          <w:u w:val="single"/>
        </w:rPr>
        <w:t>global signed-language audit</w:t>
      </w:r>
      <w:r>
        <w:t xml:space="preserve"> retains all exact identities, source links, current routes and unresolved relations.</w:t>
      </w:r>
    </w:p>
    <w:p>
      <w:pPr>
        <w:widowControl/>
      </w:pPr>
      <w:r>
        <w:t xml:space="preserve">Displacement is modeled separately because a refugee, migrant, internally displaced, enrolled-displaced-learner or stateless cohort is not a language population. Ten source-bound portfolios now compare a complete multilingual continuity sequence with a smaller host/origin-language bridge at every P/F/S/V/U/R stage: DRC, Afghan, Palestinian, Syrian, Rohingya, Sudanese, Somali, South Sudanese, Ukrainian school-continuity and Venezuelan cases. This adds 120 unranked routes. Six portfolios retain a source-stated status or enrolled-learner count only as context; four retain no population value. Language, script, host-country and stage distributions remain unresolved, so no route inherits a status-cohort total and the totals are not summed. The </w:t>
      </w:r>
      <w:r>
        <w:rPr>
          <w:rFonts w:ascii="Calibri" w:hAnsi="Calibri" w:eastAsia="Calibri" w:cs="Calibri"/>
          <w:color w:val="2E74B5"/>
          <w:u w:val="single"/>
        </w:rPr>
        <w:t>displacement package comparison</w:t>
      </w:r>
      <w:r>
        <w:t xml:space="preserve"> preserves the language/script arms, delivery requirements and exact missingness.</w:t>
      </w:r>
    </w:p>
    <w:p>
      <w:pPr>
        <w:widowControl/>
      </w:pPr>
      <w:r>
        <w:t xml:space="preserve">Those ten examples are now checked against an all-row end-2025 UNHCR snapshot rather than treated as the global displacement universe. The </w:t>
      </w:r>
      <w:r>
        <w:rPr>
          <w:rFonts w:ascii="Calibri" w:hAnsi="Calibri" w:eastAsia="Calibri" w:cs="Calibri"/>
          <w:color w:val="2E74B5"/>
          <w:u w:val="single"/>
        </w:rPr>
        <w:t>global displacement omission audit</w:t>
      </w:r>
      <w:r>
        <w:t xml:space="preserve"> retains 6,290 origin-host population rows, 10,084 population-type-specific demographic rows and 110 official source footnotes, aggregating them without loss into 209 origin contexts and 178 host contexts. Its omission alarms flag 46 origin and 75 host contexts; 34 named high-consequence origin contexts have no prior portfolio, while two further alarms are special source codes for unknown origin and statelessness rather than country-language identities. The thresholds catch missing research and do not rank funding.</w:t>
      </w:r>
    </w:p>
    <w:p>
      <w:pPr>
        <w:widowControl/>
      </w:pPr>
      <w:r>
        <w:t xml:space="preserve">The exact API/annex totals are 28,461,306 refugees under UNHCR mandate, 8,998,097 asylum-seekers, 7,177,473 other people in need of international protection and 64,239,352 IDPs of concern to UNHCR. The separate 5,964,782 Palestine refugees under UNRWA mandate remain external. </w:t>
      </w:r>
      <w:r>
        <w:rPr>
          <w:rFonts w:ascii="Consolas" w:hAnsi="Consolas" w:eastAsia="Consolas" w:cs="Consolas"/>
          <w:color w:val="31465A"/>
          <w:sz w:val="21"/>
        </w:rPr>
        <w:t>Refugees + asylum-seekers + other people in need of international protection</w:t>
      </w:r>
      <w:r>
        <w:t xml:space="preserve"> is exposed as a transparent cross-border display sum only; it is not added to IDPs, statelessness, returnees, origin and host views, or UNRWA populations. The demographic endpoint contains 28,856,667 observed records aged 0-17 across selected status types, but incomplete age classification prevents treating that as a complete displaced-child denominator. Every consequential context therefore remains an exact language, script, host, stage and existing-provision research obligation rather than inheriting a national or status label.</w:t>
      </w:r>
    </w:p>
    <w:p>
      <w:pPr>
        <w:widowControl/>
      </w:pPr>
      <w:r>
        <w:t xml:space="preserve">A combined </w:t>
      </w:r>
      <w:r>
        <w:rPr>
          <w:rFonts w:ascii="Calibri" w:hAnsi="Calibri" w:eastAsia="Calibri" w:cs="Calibri"/>
          <w:color w:val="2E74B5"/>
          <w:u w:val="single"/>
        </w:rPr>
        <w:t>corridor language-and-education pass</w:t>
      </w:r>
      <w:r>
        <w:t xml:space="preserve"> preserves the first fourteen origin-host rows cell for cell and adds fourteen further high-volume pathways. The 28 exact end-2025 UNHCR rows are now bound to 37 education sources and contain 26,361,921 selected current cross-border status observations. That selected-row sum is still only an inventory: it is not a unique global population, language denominator, beneficiary forecast or rank. The evidence distinguishes direct corridor observations, host-system context and the special </w:t>
      </w:r>
      <w:r>
        <w:rPr>
          <w:rFonts w:ascii="Consolas" w:hAnsi="Consolas" w:eastAsia="Consolas" w:cs="Consolas"/>
          <w:color w:val="31465A"/>
          <w:sz w:val="21"/>
        </w:rPr>
        <w:t>UNK</w:t>
      </w:r>
      <w:r>
        <w:t xml:space="preserve"> origin code. Venezuela-to-Colombia, Peru, Chile and Ecuador show that shared Spanish can coexist with enrolment, cost, disability, curriculum, prerequisite, placement and credential barriers. Lebanon adds a direct Arabic-to-English/French mathematics-and-science transition; Jordan adds a direct case in which shared Arabic did not prevent severe foundational-reading gaps. South Sudan-to-Sudan and Sudan-to-South Sudan require different Arabic/English curriculum bridges and cannot be merged.</w:t>
      </w:r>
    </w:p>
    <w:p>
      <w:pPr>
        <w:widowControl/>
      </w:pPr>
      <w:r>
        <w:t xml:space="preserve">Four former host-system-only gaps now have bounded origin-host evidence. A Hamburg administrative panel follows 2011-2015 public-school starting cohorts and separately identifies Syrian- and Afghan-born pupils; its comparison suggests that a year-long, German-heavy separate preparatory class can underperform immediate standard-curriculum integration with added language support, especially in fifth-grade mathematics and German. It is historical Hamburg evidence, not a current Germany-wide language distribution or a general argument against language support. A World Bank case study in Aw-Barre and Sheder identifies a Somali-medium grades 1-4 to English-medium grades 5-12 transition alongside textbook scarcity, curriculum discontinuity and English-comprehension barriers; it does not measure current Somalia-Ethiopia corridor prevalence or exact Somali varieties. Houston district data identify 306 Venezuela-origin immigrant pupils and concrete F/S transition mechanisms, but its 88% English Learner and 76% Spanish figures apply to all 11,834 immigrant pupils and cannot be assigned to the Venezuelan subset. </w:t>
      </w:r>
      <w:r>
        <w:rPr>
          <w:rFonts w:ascii="Consolas" w:hAnsi="Consolas" w:eastAsia="Consolas" w:cs="Consolas"/>
          <w:color w:val="31465A"/>
          <w:sz w:val="21"/>
        </w:rPr>
        <w:t>UNK-USA</w:t>
      </w:r>
      <w:r>
        <w:t xml:space="preserve"> is consequently the only remaining source-gap row and remains prohibited from receiving any language assignment. Forty-seven evidence checks and consecutive byte-identical builds preserve all population cells, keep language distribution unmeasured, and leave funding ranks and corridor-sized benefit claims empty.</w:t>
      </w:r>
    </w:p>
    <w:p>
      <w:pPr>
        <w:pStyle w:val="Heading2"/>
        <w:widowControl/>
      </w:pPr>
      <w:r>
        <w:rPr>
          <w:color w:val="000000"/>
        </w:rPr>
        <w:t>4 14 Somali region supply shows why exists is not usable</w:t>
      </w:r>
    </w:p>
    <w:p>
      <w:pPr>
        <w:widowControl/>
      </w:pPr>
      <w:r>
        <w:t>The first corridor supply audit separates four questions that a catalogue count cannot answer: whether material has existed, whether it is current and practically reachable, whether it can lawfully be reused, and whether a new package improves learning. A saved Ethiopia Learning Library index contains 196 Somali-tagged PDF links. Eighty-four are mathematics links: eight complete student books, eight teacher guides and sixty-eight chapter files spanning grades 1-8. Readable grade-5 and grade-8 samples prove historical content existence, but their notices reserve copying, publication and electronic-distribution rights. The mirror itself describes the books as eight years old or more and out of date; its file host also failed current HTTPS name validation. Those facts neither erase the books nor establish a current, open, reliable learner supply.</w:t>
      </w:r>
    </w:p>
    <w:p>
      <w:pPr>
        <w:widowControl/>
      </w:pPr>
      <w:r>
        <w:t>The official Ethiopian 2021/22 statistical abstract reports Somali-region textbook-to-pupil ratios of 0.30 in primary and 0.42 in middle school, and fewer than one secondary textbook per pupil. The abstract warns that missing reports and classification errors can bias those values. A selected 2019 study in Aw-Barre and Sheder supplies a mechanism rather than a prevalence estimate: grades 1-4 used Somali, later schooling used English, and 83% of twelve observed classrooms had textbook problems. Somalia’s 2022-2026 sector plan independently documents severe origin-system scarcity-some schools with no textbooks and subject ratios reaching 43:1 in primary and 73:1 in secondary-but it is context, not evidence about every Ethiopia-hosted learner.</w:t>
      </w:r>
    </w:p>
    <w:p>
      <w:pPr>
        <w:widowControl/>
      </w:pPr>
      <w:r>
        <w:t xml:space="preserve">For a like-for-like source-traffic comparison, the audit measures the lawful CC BY-NC-SA OpenStax </w:t>
      </w:r>
      <w:r>
        <w:rPr>
          <w:rFonts w:ascii="Calibri" w:hAnsi="Calibri" w:eastAsia="Calibri" w:cs="Calibri"/>
          <w:i/>
        </w:rPr>
        <w:t>Prealgebra 2e</w:t>
      </w:r>
      <w:r>
        <w:t xml:space="preserve"> source. The complete eleven-chapter collection contains 75 modules and 364,270 content-text tokens. A declared six-chapter arithmetic-to-algebra bridge-algebra language, fractions, decimals, percents, linear equations and graphs-contains 38 modules and 186,978 tokens, or 51.33% of the measured source scale. With equal per-token variable cost, no common setup cost and equal endpoints, the smaller package is more efficient only if it retains more than 51.33% of the full package’s positive yield; equivalently, the full sequence must yield more than 1.948 times as much. These are algebraic traffic thresholds, not observed effects. The FECU scenario counts input, output and reasoning token events; it does not price physical compute, money, rendering, accessibility work, deployment or maintenance.</w:t>
      </w:r>
    </w:p>
    <w:p>
      <w:pPr>
        <w:widowControl/>
      </w:pPr>
      <w:r>
        <w:t xml:space="preserve">Both alternatives therefore remain live. If a bounded first build had to be selected before matched outcomes existed, the six-chapter Somali-English bridge would be the provisional experiment because it addresses the directly observed language and curriculum transition at roughly half the measured source traffic. It would pair Somali explanation with English subject language, prerequisites, worked examples, exercises, answers and feedback, and phone-readable offline delivery. A complete open sequence can still be the better intervention if present usable supply is absent or its added functional yield clears the threshold. Exact variety, script, literacy, stage audience, current open supply, effect, end-to-end compute and global rank remain unmeasured. The full source inventory, arithmetic and 96 deterministic checks are in the </w:t>
      </w:r>
      <w:r>
        <w:rPr>
          <w:rFonts w:ascii="Calibri" w:hAnsi="Calibri" w:eastAsia="Calibri" w:cs="Calibri"/>
          <w:color w:val="2E74B5"/>
          <w:u w:val="single"/>
        </w:rPr>
        <w:t>Somali-region foundational/secondary checkpoint</w:t>
      </w:r>
      <w:r>
        <w:t>.</w:t>
      </w:r>
    </w:p>
    <w:p>
      <w:pPr>
        <w:pStyle w:val="Heading2"/>
        <w:widowControl/>
      </w:pPr>
      <w:r>
        <w:rPr>
          <w:color w:val="000000"/>
        </w:rPr>
        <w:t>4 15 Germany shows a bridge problem inside substantial existing supply</w:t>
      </w:r>
    </w:p>
    <w:p>
      <w:pPr>
        <w:widowControl/>
      </w:pPr>
      <w:r>
        <w:t>The Germany F/S comparison is not a blank-supply case. Serlo reports 930 articles, 20 courses, 105 videos and 5,000 exercises with model solutions across school and higher mathematics, available without charge under CC BY-SA 4.0. Its separate SchlaU-Werkstatt collection directly targets newly arrived adolescents and young adults with slow, language-sensitive mathematics; the saved collection has four top-level topics and thirteen immediate second-level branches. Hamburg also publishes a 133-page IVK mathematics handbook with four grade 5-10 teaching sequences, worksheets, some solutions, bilingual glossary instructions and explicit German academic-language work. Binogi advertises more than 1,000 grade 5-10 videos with quizzes across eleven subjects and up to fifteen languages, but the free tier is limited and full individual access is listed at €199 per year. These provider inventories prove real supply, not complete exact-language, curriculum, offline or accessibility coverage.</w:t>
      </w:r>
    </w:p>
    <w:p>
      <w:pPr>
        <w:widowControl/>
      </w:pPr>
      <w:r>
        <w:t>The directly observed mechanism is the connection between a learner's strongest exact language and German mathematical participation. Hamburg's handbook treats symbols and nonverbal representations as useful scaffolds but not self-explanatory substitutes for definitions, structure words, word problems and mathematical discussion. Its 2024 framework ordinarily moves learners from an IVK into a regular class within twelve months, adds another year of language support and assigns academic-language development across subjects. A historical Hamburg administrative study found worse short-term fifth-grade outcomes, especially mathematics and German, after separate German-heavy preparatory classes than after direct integration with additional language support. This local historical result does not show that language support is harmful or determine current Germany-wide policy; it makes an integrated subject-language and curriculum-continuity package a serious comparator.</w:t>
      </w:r>
    </w:p>
    <w:p>
      <w:pPr>
        <w:widowControl/>
      </w:pPr>
      <w:r>
        <w:t xml:space="preserve">On the same OpenStax </w:t>
      </w:r>
      <w:r>
        <w:rPr>
          <w:rFonts w:ascii="Calibri" w:hAnsi="Calibri" w:eastAsia="Calibri" w:cs="Calibri"/>
          <w:i/>
        </w:rPr>
        <w:t>Prealgebra 2e</w:t>
      </w:r>
      <w:r>
        <w:t xml:space="preserve"> source basis used for the Somali-region test, the full sequence remains 75 modules and 364,270 content-text tokens. A five-chapter bridge using algebra language, fractions, percents, linear equations and graphs contains 30 modules and 143,859 tokens, or 39.49% of the full measured scale. With equal per-token variable cost, no common setup cost and the same endpoint, the bridge must retain more than 39.49% of the full package's positive yield to be more efficient; the full sequence must yield more than 2.532 times as much to win. Arabic, Dari, Pashto, Kurdish and German FLORES profiles provide declared traffic scenarios only. Origin is not language, and none of those profiles is assigned to a learner population.</w:t>
      </w:r>
    </w:p>
    <w:p>
      <w:pPr>
        <w:widowControl/>
      </w:pPr>
      <w:r>
        <w:t xml:space="preserve">The provisional first experiment is therefore an open exact-language/script bridge that pairs German classroom and mathematical language with origin-language explanation, prerequisite diagnosis, curriculum mapping, word problems, exercises, answers, feedback, offline phone delivery and screen-reader or signed-language companions. A complete parallel sequence remains live where a measured language lacks current usable provision, autonomous learners need a coherent offline path, or measured outcomes clear the threshold. Hamburg's saved 2025/26 chart total of 2,412 state-school base/IVK pupils and the Ukraine-, Syria- and Afghanistan-to-Germany corridor counts remain context-not language, learner-benefit or rank denominators. Exact audience, variety/script/literacy distribution, current supply by language, effect, physical compute, currency and global rank remain null. The source inventory, scenario arithmetic and 204 deterministic checks are in the </w:t>
      </w:r>
      <w:r>
        <w:rPr>
          <w:rFonts w:ascii="Calibri" w:hAnsi="Calibri" w:eastAsia="Calibri" w:cs="Calibri"/>
          <w:color w:val="2E74B5"/>
          <w:u w:val="single"/>
        </w:rPr>
        <w:t>Germany F/S checkpoint</w:t>
      </w:r>
      <w:r>
        <w:t>.</w:t>
      </w:r>
    </w:p>
    <w:p>
      <w:pPr>
        <w:pStyle w:val="Heading2"/>
        <w:widowControl/>
      </w:pPr>
      <w:r>
        <w:rPr>
          <w:color w:val="000000"/>
        </w:rPr>
        <w:t>4 16 Houston exposes a grade 6 to grade 7 supply breakpoint not a binary language answer</w:t>
      </w:r>
    </w:p>
    <w:p>
      <w:pPr>
        <w:widowControl/>
      </w:pPr>
      <w:r>
        <w:t>Houston is neither a blank-supply case nor a case in which the presence of Spanish materials settles access. The current Texas Bluebonnet portal lists free digital Spanish mathematics for kindergarten through grade 6. On the same official surface, grade 7, grade 8, Algebra I, Geometry and Algebra II are listed only in English. The state describes Bluebonnet as open educational resources, with complete subject materials, teacher editions, student workbooks, assessments and downloadable PDF components. Those claims establish a substantial current state-aligned supply; they do not prove campus adoption, learner use, offline usability, component-by-component derivative rights or effect. A separate Texas standards page likewise states that its Spanish TEKS coverage runs from kindergarten through grade 6 (Texas Education Agency, n.d.-a, n.d.-b).</w:t>
      </w:r>
    </w:p>
    <w:p>
      <w:pPr>
        <w:widowControl/>
      </w:pPr>
      <w:r>
        <w:t>Houston ISD's current public description adds three program mechanisms: dual-language education, grade-level content taught through ESL, and transitional bilingual education at elementary level. Its intake starts with a home-language survey and English-proficiency testing. The public process does not show academic-mathematics literacy, prior course credit, interrupted schooling or device/offline access. Nor is the district accurately summarized by one elementary-only label: Wharton K-8 reports Spanish dual-language instruction through grade 8 and Algebra I for high-school credit. That one campus is a counterexample to a blanket cutoff, not proof of districtwide coverage (Houston Independent School District, n.d.-a, n.d.-b; Wharton K-8 Dual Language Academy, n.d.).</w:t>
      </w:r>
    </w:p>
    <w:p>
      <w:pPr>
        <w:widowControl/>
      </w:pPr>
      <w:r>
        <w:t xml:space="preserve">The latest locally frozen district evaluation in this checkpoint is historical but unusually informative. It reports 12,655 cumulatively enrolled immigrant pupils in 2021-2022: 11,241 (89%) classified as emergent bilingual and 10,756 (85%) economically disadvantaged. It separately reports 405 Venezuela-origin pupils and 9,615 pupils with Spanish as the home-language label. These are two marginal distributions, not a country-by-language table, so the Venezuela cohort cannot be assigned Spanish. The same table also reports Pashto, English, Arabic, Farsi, Swahili, Dard, Vietnamese, French, Telugu, Japanese, Hindi, Mandarin and an </w:t>
      </w:r>
      <w:r>
        <w:rPr>
          <w:rFonts w:ascii="Consolas" w:hAnsi="Consolas" w:eastAsia="Consolas" w:cs="Consolas"/>
          <w:color w:val="31465A"/>
          <w:sz w:val="21"/>
        </w:rPr>
        <w:t>Other</w:t>
      </w:r>
      <w:r>
        <w:t xml:space="preserve"> category. Several are broad or ambiguous labels rather than exact varieties and scripts. None can be converted into a current language-by-grade audience without further evidence (Houston Independent School District, 2022).</w:t>
      </w:r>
    </w:p>
    <w:p>
      <w:pPr>
        <w:widowControl/>
      </w:pPr>
      <w:r>
        <w:t>The historical outcomes locate the stage problem without identifying its cause. Immigrant pupils met the 2022 English mathematics STAAR grade-level threshold at 34%, compared with 59% for all emergent-bilingual pupils and 64% districtwide. Spanish mathematics values were 51% and 59% for immigrants and all emergent-bilingual pupils. Algebra I end-of-course values were 38%, 49% and 61%; AP course-enrolment values for grades 8-12 were 7.1%, 14.6% and 24.0%. The report itself calls out persistent secondary and postsecondary-readiness gaps. These group contrasts are not randomized effects of translation, curriculum or language of instruction.</w:t>
      </w:r>
    </w:p>
    <w:p>
      <w:pPr>
        <w:widowControl/>
      </w:pPr>
      <w:r>
        <w:t>The bounded first experiment therefore has two coupled arms. The measurement arm records exact language or variety, script, literacy, prior mathematics, interrupted schooling, completed courses and credits, and phone/offline access. The production arm tests an exact-language-to-English secondary transition package. For Spanish-literate learners, the visible grade-6-to-grade-7 breakpoint makes a Spanish-English package directly testable: academic mathematics register, prerequisite diagnosis, Algebra I, geometry and graphs, worked examples and answers, state-test orientation, course placement and credit navigation. Every non-Spanish learner retains a separate exact-language arm. The design never assigns a language from country of origin.</w:t>
      </w:r>
    </w:p>
    <w:p>
      <w:pPr>
        <w:widowControl/>
      </w:pPr>
      <w:r>
        <w:t xml:space="preserve">On the same OpenStax </w:t>
      </w:r>
      <w:r>
        <w:rPr>
          <w:rFonts w:ascii="Calibri" w:hAnsi="Calibri" w:eastAsia="Calibri" w:cs="Calibri"/>
          <w:i/>
        </w:rPr>
        <w:t>Prealgebra 2e</w:t>
      </w:r>
      <w:r>
        <w:t xml:space="preserve"> source basis, the complete sequence is 75 modules and 364,270 content-text tokens. A four-chapter secondary-transition comparator-language of algebra, linear equations, mathematical models and geometry, and graphs-is 24 modules and 119,602 tokens, or 32.83% of the complete measured scale. With equal variable cost per source token, zero common setup and the same endpoint, the bridge must retain more than 32.83% of the full package's positive yield to be more efficient; the full sequence must yield more than 3.046 times as much to win. Neither yield is observed. A complete exact-language sequence remains a live alternative for autonomous or offline learners and for any stratum whose added outcome justifies the larger source scale. Exact audience, effect, full-workflow compute, currency and global rank remain null. The frozen sources, traffic scenarios, visual source check and 256 deterministic checks are in the </w:t>
      </w:r>
      <w:r>
        <w:rPr>
          <w:rFonts w:ascii="Calibri" w:hAnsi="Calibri" w:eastAsia="Calibri" w:cs="Calibri"/>
          <w:color w:val="2E74B5"/>
          <w:u w:val="single"/>
        </w:rPr>
        <w:t>Houston F/S checkpoint</w:t>
      </w:r>
      <w:r>
        <w:t>.</w:t>
      </w:r>
    </w:p>
    <w:p>
      <w:pPr>
        <w:pStyle w:val="Heading2"/>
        <w:widowControl/>
      </w:pPr>
      <w:r>
        <w:rPr>
          <w:color w:val="000000"/>
        </w:rPr>
        <w:t>4 17 Source traffic differs by subject one mathematics book is not a universal cost proxy</w:t>
      </w:r>
    </w:p>
    <w:p>
      <w:pPr>
        <w:widowControl/>
      </w:pPr>
      <w:r>
        <w:t xml:space="preserve">The first complete-versus-smaller comparisons used one measured prealgebra source. A cross-subject checkpoint now applies the same extraction and tokenizer protocol to nine pinned OpenStax collections: prealgebra, introductory statistics, biology, chemistry, college physics, management, finance, anatomy and physiology, and introductory Python. Together they contain 1,444 CNXML modules and 4,463,123 </w:t>
      </w:r>
      <w:r>
        <w:rPr>
          <w:rFonts w:ascii="Consolas" w:hAnsi="Consolas" w:eastAsia="Consolas" w:cs="Consolas"/>
          <w:color w:val="31465A"/>
          <w:sz w:val="21"/>
        </w:rPr>
        <w:t>cl100k_base</w:t>
      </w:r>
      <w:r>
        <w:t xml:space="preserve"> content-text tokens. Complete-source size ranges from 70,994 tokens for the Python collection to 950,860 for College Physics-a 13.39-fold difference. This is a workload-scale result, not evidence that physics is thirteen times as important, difficult or expensive to translate (OpenStax, 2026a-2026i).</w:t>
      </w:r>
    </w:p>
    <w:p>
      <w:pPr>
        <w:widowControl/>
      </w:pPr>
      <w:r>
        <w:t>The bounded alternatives differ just as much. The selected source share ranges from 5.71% for Biology's first publisher-named unit to 69.06% for the finance chapters explicitly marked Core by the publisher. The other measured shares are 11.69% for the first anatomy-and-physiology unit, 17.79% for four chemistry-foundation chapters, 18.56% for sampling and descriptive statistics, 22.59% for eight mechanics chapters, 43.34% for Python through functions, 47.34% for an analyst-selected management toolkit, and 47.76% for the earlier six-chapter prealgebra scenario. These packages do not have a common endpoint. Their ratios therefore cannot be placed in a benefit-per-cost league table without target-specific audience, supply and effect evidence.</w:t>
      </w:r>
    </w:p>
    <w:p>
      <w:pPr>
        <w:widowControl/>
      </w:pPr>
      <w:r>
        <w:t>The source representations also omit different kinds of work. Python's comparatively small text count excludes its integrated code runner, executable checking and videos. Biology, chemistry, physics and anatomy exclude figures and other media, while formula, terminology, laboratory, safety and curricular checks remain outside the count. The management selection is explicitly an analyst scenario; the finance selection is publisher-defined but concerns undergraduate corporate finance rather than personal financial literacy. Anatomy and physiology is an allied-health foundation, not public-health guidance or clinical training. These distinctions prevent a convenient source title from silently becoming an answer to “what does this population need?”</w:t>
      </w:r>
    </w:p>
    <w:p>
      <w:pPr>
        <w:widowControl/>
      </w:pPr>
      <w:r>
        <w:t xml:space="preserve">All nine records keep audience, educational effect, physical compute, currency cost and global priority null. Their stage labels are applicability tags rather than scores, and the original source-course stage is recorded separately. Twenty-one deterministic checks pass, and two consecutive builds reproduce the structured JSON, readable Markdown and QA bytes exactly. The full identities, subsets, source hashes and break-even scenarios are in the </w:t>
      </w:r>
      <w:r>
        <w:rPr>
          <w:rFonts w:ascii="Calibri" w:hAnsi="Calibri" w:eastAsia="Calibri" w:cs="Calibri"/>
          <w:color w:val="2E74B5"/>
          <w:u w:val="single"/>
        </w:rPr>
        <w:t>cross-subject source-scale checkpoint</w:t>
      </w:r>
      <w:r>
        <w:t>.</w:t>
      </w:r>
    </w:p>
    <w:p>
      <w:pPr>
        <w:pStyle w:val="Heading2"/>
        <w:widowControl/>
      </w:pPr>
      <w:r>
        <w:rPr>
          <w:color w:val="000000"/>
        </w:rPr>
        <w:t>4 18 Accessibility is a separate marginal access axis</w:t>
      </w:r>
    </w:p>
    <w:p>
      <w:pPr>
        <w:widowControl/>
      </w:pPr>
      <w:r>
        <w:t>Language count alone cannot represent educational access. A source-linked accessibility register now distinguishes seventeen delivery interventions, forty-six source records and eighteen non-additive population or supply-context observations. Six are architecture or content-type baselines: semantic responsive HTML, reflowable EPUB 3.3, native MathML, text descriptions for meaningful images, offline download packaging and lower-bitrate media variants. Eleven are conditional parallel modes: synchronized text/audio, prerecorded captions, live captions, downloadable transcripts, one exact named sign language, localized plain language, Easy Read, declared-code braille, tactile graphics, audio description and large print. “Conditional” does not mean optional for a learner who needs that mode.</w:t>
      </w:r>
    </w:p>
    <w:p>
      <w:pPr>
        <w:widowControl/>
      </w:pPr>
      <w:r>
        <w:t>Every mode remains visible at P/F/S/V/U/R in a comparison separate from the person-language route calculator. That produces 102 mode-stage cells and 204 unranked alternatives: complete integration throughout a coherent package and a bounded high-consequence addition with an exact coverage manifest. A bounded baseline is a migration checkpoint, not an accessible-edition equivalence claim. A bounded parallel mode leaves uncovered units as an explicit gap. Where the existing synthesis does not directly name a stage, the cell is marked research-required rather than either useful or useless by assumption.</w:t>
      </w:r>
    </w:p>
    <w:p>
      <w:pPr>
        <w:widowControl/>
      </w:pPr>
      <w:r>
        <w:t xml:space="preserve">The population anchors cannot be added or assigned to modes. The report includes, among other contexts, Internet non-use, hearing-loss, vision-loss, adult-literacy and supply-side accessibility estimates. They overlap and do not measure screen-reader use, caption preference, sign-language identity, braille literacy, need for plain language or additional educational access. All mode-specific need, effect and cost values therefore remain unknown. Written input-token traffic is not the full cost of narration, captioning, sign performance, braille, tactile graphics, descriptions, compatibility work or device testing. Carrier standards likewise do not remove the need to localize text, metadata, pronunciation, descriptions, captions, narration and interface labels. The complete </w:t>
      </w:r>
      <w:r>
        <w:rPr>
          <w:rFonts w:ascii="Calibri" w:hAnsi="Calibri" w:eastAsia="Calibri" w:cs="Calibri"/>
          <w:color w:val="2E74B5"/>
          <w:u w:val="single"/>
        </w:rPr>
        <w:t>accessibility package comparison</w:t>
      </w:r>
      <w:r>
        <w:t xml:space="preserve"> retains these boundaries.</w:t>
      </w:r>
    </w:p>
    <w:p>
      <w:pPr>
        <w:pStyle w:val="Heading1"/>
        <w:widowControl/>
      </w:pPr>
      <w:r>
        <w:rPr>
          <w:color w:val="000000"/>
        </w:rPr>
        <w:t>5 Shared registers and mathematics</w:t>
      </w:r>
    </w:p>
    <w:p>
      <w:pPr>
        <w:widowControl/>
      </w:pPr>
      <w:r>
        <w:t>An interlanguage can be useful without reproducing native-language comprehension perfectly. Suppose separate native-language editions yield positive combined net benefit B at positive cost C_s, and a shared-register edition yields r times that benefit at positive cost C_b. The shared edition has greater benefit per cost when r &gt; C_b/C_s. A zero or negative comparator benefit requires a direct net-benefit comparison instead of this ratio. This compares complete alternatives; a fixed-budget portfolio choosing only some native editions is a separate optimization.</w:t>
      </w:r>
    </w:p>
    <w:p>
      <w:pPr>
        <w:widowControl/>
      </w:pPr>
      <w:r>
        <w:t>Formula-rich mathematics offers a specific hypothesis: prepared readers may recover more of an argument through notation, diagrams, familiar definitions and proof structure than through prose alone. But negation, quantifier scope, definitions and inferential dependencies remain consequential. The analysis should compare exact readers, scripts and tasks rather than awarding full language-family coverage or zero benefit by default.</w:t>
      </w:r>
    </w:p>
    <w:p>
      <w:pPr>
        <w:widowControl/>
      </w:pPr>
      <w:r>
        <w:t>Native-language and shared-register editions can complement each other. A shared introductory reference, an advanced mathematical register and a native-language foundational course may address different tasks. Their overlapping audiences must be accounted for in a portfolio.</w:t>
      </w:r>
    </w:p>
    <w:p>
      <w:pPr>
        <w:pStyle w:val="Heading2"/>
        <w:widowControl/>
      </w:pPr>
      <w:r>
        <w:rPr>
          <w:color w:val="000000"/>
        </w:rPr>
        <w:t>5 1 What the intelligibility literature does and does not establish</w:t>
      </w:r>
    </w:p>
    <w:p>
      <w:pPr>
        <w:widowControl/>
      </w:pPr>
      <w:r>
        <w:t>Related-language comprehension varies by direction, task, preparation and script. Golubović and Gooskens (2015) studied six West/South Slavic language communities, using several spoken and written tasks. They found substantial asymmetries, and written Bulgarian tasks depended on reported Cyrillic literacy. Those results motivate exact community/script comparisons. They do not supply an Interslavic mathematics comprehension rate or an East Slavic population estimate.</w:t>
      </w:r>
    </w:p>
    <w:p>
      <w:pPr>
        <w:widowControl/>
      </w:pPr>
      <w:r>
        <w:t>Mathematical notation is also not automatically an advantage. In Österholm's (2006) group-theory reading experiment, a prose version produced higher median comprehension than the symbolic version. The unfamiliar subject matter and closed-text assessment differ from a prepared researcher's use of familiar mathematics. The finding therefore weakens a blanket claim that more notation always makes reading easier; it does not settle the proposed advantage of a carefully designed interlanguage for knowledgeable readers.</w:t>
      </w:r>
    </w:p>
    <w:p>
      <w:pPr>
        <w:widowControl/>
      </w:pPr>
      <w:r>
        <w:t>The useful hypothesis distinguishes advanced reference use, learning a new definition, following a proof and completing a worked example. These tasks may have different benefit retention. The expanded comparison retains ten design alternatives and forty task rows, including seven forecast bridges and three targeted Germanic alternatives. A direct Interslavic survey adds evidence about cloze comprehension, not mathematical-edition effectiveness (Merunka et al., 2019).</w:t>
      </w:r>
    </w:p>
    <w:p>
      <w:pPr>
        <w:widowControl/>
      </w:pPr>
      <w:r>
        <w:t xml:space="preserve">The production comparison charges common source preparation once in both alternatives and retains community checking, extra script outputs and bridge-design effort. Under four declared scenarios, the ten-edition Interslavic comparison requires 24.6%-46.0% benefit retention; the two-edition Malay-Indonesian comparison requires 72.2%-137.0%. These are cost-derived thresholds, not predicted comprehension or measured compute. A threshold above 100% means that cost saving alone does not justify that design. The full assumptions and exact communities appear in </w:t>
      </w:r>
      <w:r>
        <w:rPr>
          <w:rFonts w:ascii="Consolas" w:hAnsi="Consolas" w:eastAsia="Consolas" w:cs="Consolas"/>
          <w:color w:val="31465A"/>
          <w:sz w:val="21"/>
        </w:rPr>
        <w:t>SHARED_REGISTER_PORTFOLIO_COMPARISONS_v1.md</w:t>
      </w:r>
      <w:r>
        <w:t>.</w:t>
      </w:r>
    </w:p>
    <w:p>
      <w:pPr>
        <w:widowControl/>
      </w:pPr>
      <w:r>
        <w:t>Every native-subset size remains a comparator: a bridge that beats a full ten-edition bundle might still lose to a well-targeted one- or two-edition portfolio. Hybrid portfolios use the bridge's additional benefit after the native editions, rather than counting its standalone audience again. This supports a meaningful interlanguage hypothesis without making family size or an assumed common effect decide the result.</w:t>
      </w:r>
    </w:p>
    <w:p>
      <w:pPr>
        <w:widowControl/>
      </w:pPr>
      <w:r>
        <w:t>If a bridge reaches people who receive no benefit from the separate-edition comparator, its total benefit ratio can exceed one. Such people are counted directly, not removed because a within-stratum retention ratio is undefined. Benefit weights also need not equal population weights. The comparison uses additional usable access for the specified task and horizon.</w:t>
      </w:r>
    </w:p>
    <w:p>
      <w:pPr>
        <w:pStyle w:val="Heading1"/>
        <w:widowControl/>
      </w:pPr>
      <w:r>
        <w:rPr>
          <w:color w:val="000000"/>
        </w:rPr>
        <w:t>6 Initial intervention comparisons</w:t>
      </w:r>
    </w:p>
    <w:p>
      <w:pPr>
        <w:widowControl/>
      </w:pPr>
      <w:r>
        <w:t>The integrated calculation now contains 1,022 stage-and-mode routes: the earlier 338, 564 Indigenous Americas/Pacific/circumpolar routes and 120 displacement/status routes. These are alternative designs and stage applications, not 1,022 disjoint populations or equally strong findings. All 100 forecast profiles and 169 additional challengers retain all six stages, giving 1,614 explicit profile-stage cells. There are current package designs in 224 of the 600 forecast stage cells; empty cells are unfinished investigations, never lower ranks. One hundred seven constructor checks preserve all earlier 902 route results and all 36 pairwise secondary-mathematics comparisons. A known source cohort and a measured tokenization profile permit a numerical threshold; otherwise the missing quantity remains symbolic. The Bangla route retains all three age-matched scenarios. Five Pakistan routes retain intervals and joint constraints rather than invented midpoints. New regional, country and status-cohort context counts are not converted into language-specific need. Normalized text-traffic values remain fixed-size scenarios, not the actual relative costs of a full course, short companion or signed-video edition.</w:t>
      </w:r>
    </w:p>
    <w:p>
      <w:pPr>
        <w:widowControl/>
      </w:pPr>
      <w:r>
        <w:t>The accessibility calculator is deliberately not added to those language-route totals. It separately retains 17 modes across 102 P/F/S/V/U/R cells and 204 complete-versus-bounded alternatives; twenty-one source, identity, hash, stage, pairing, nonadditivity and no-rank checks pass. Adding those routes to the language count would falsely suggest disjoint populations and comparable production units. An eventual portfolio must instead attach applicable modes to each language/content package, count shared architecture once and estimate additional mode-specific access and cost without duplicating overlapping learners.</w:t>
      </w:r>
    </w:p>
    <w:p>
      <w:pPr>
        <w:widowControl/>
      </w:pPr>
      <w:r>
        <w:t xml:space="preserve">The displacement-corridor evidence now has its own matched-endpoint decision surface. Every stage actually named across the twenty-eight origin→host rows becomes one of 92 corridor-stage comparison cells. Ninety ordinary cells each compare a complete continuity sequence with a smaller bridge or companion; the two </w:t>
      </w:r>
      <w:r>
        <w:rPr>
          <w:rFonts w:ascii="Consolas" w:hAnsi="Consolas" w:eastAsia="Consolas" w:cs="Consolas"/>
          <w:color w:val="31465A"/>
          <w:sz w:val="21"/>
        </w:rPr>
        <w:t>UNK-USA</w:t>
      </w:r>
      <w:r>
        <w:t xml:space="preserve"> stage cells permit evidence resolution only and propose no language production. This yields 180 conditional production alternatives and two identity-resolution actions. Each ordinary pair holds the learner stratum, stage, task, exact language/script profile, delivery conditions and time horizon fixed. The new direct evidence narrows four comparisons: integrated German academic-language and curriculum continuity for Syrian- and Afghan-origin learners; a Somali-to-English prerequisite, catch-up and offline bridge; and measurement-first English transition and credit/navigation support for Venezuelan-origin learners. Audience, baseline usable supply, incremental effect, standardized end-to-end compute, dominance and global rank remain unknown rather than inheriting the corridor's status count. The exact alternatives and evidence needed to discriminate them are published in the </w:t>
      </w:r>
      <w:r>
        <w:rPr>
          <w:rFonts w:ascii="Calibri" w:hAnsi="Calibri" w:eastAsia="Calibri" w:cs="Calibri"/>
          <w:color w:val="2E74B5"/>
          <w:u w:val="single"/>
        </w:rPr>
        <w:t>corridor intervention comparison register</w:t>
      </w:r>
      <w:r>
        <w:t>; thirty checks pass, including exact preservation of all comparison cells outside the four revised corridors.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476"/>
        <w:gridCol w:w="3918"/>
        <w:gridCol w:w="2966"/>
      </w:tblGrid>
      <w:tr>
        <w:trPr>
          <w:tblHeader w:val="true"/>
          <w:cantSplit w:val="true"/>
        </w:trPr>
        <w:tc>
          <w:tcPr>
            <w:tcW w:type="dxa" w:w="24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Intervention</w:t>
            </w:r>
          </w:p>
        </w:tc>
        <w:tc>
          <w:tcPr>
            <w:tcW w:type="dxa" w:w="391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Initial evidence-motivated routes</w:t>
            </w:r>
          </w:p>
        </w:tc>
        <w:tc>
          <w:tcPr>
            <w:tcW w:type="dxa" w:w="29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Intended educational contribution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quantitative catch-up</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Japanese, Ukrainian, Brazilian Portuguese, Filipino, Thai, Vietnamese, Central Khmer, Malaysian Malay, Central/West Asian and African profiles, and exact Indigenous-American/Pacific/circumpolar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Diagnostic, answer-supported work on numerical and algebraic prerequisites; language fit remains a route-specific condition.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learning and school re-entry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Urdu and Pakistan's regional languages; exact African, Haitian Creole, Quechua, Nahuatl, Maya, Guaraní, Cree/Ojibwe/Inuktut and Pacific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Age-appropriate reading/numeracy support, oral/audio explanation and short practice, rather than repurposing a college text as early learning.</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Subject-language transitions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Kiswahili/English, Hausa/French or English, Russian/Estonian, Ukrainian/host-language, Central Asian national-language/Russian/script, exact West African English/French, Indigenous-language/Spanish-English-French-Danish and Pacific bridge-language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Paired explanations plus practice in the teaching or assessment language.</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Tertiary-entry companions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Tamil, Telugu, Marathi, Central/West Asian, African, Indigenous-American, Pacific and circumpolar pathways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Prerequisites, teacher education, terminology and scientific-writing support that complement existing courses.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Statistics and practical skills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Prepared Chinese readers; Bangla, Hausa and Kiswahili routes; Ukrainian/Russian, Central/West Asian, African, Indigenous-American and Pacific finance/health/climate/land-marine/data alternatives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Reproducible analyses or specific financial, recordkeeping, health, environmental and planning tasks, with existing provision compared explicitly.</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Technical preparation and research access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recovery training; exact Ukrainian, Russian, Chinese, Japanese, Central/West Asian, African, Indigenous-American, Pacific, circumpolar and interlanguage research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Preparatory calculations, scientific writing, terminology or source-specific arguments, at stated prerequisites.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Displacement and stateless continuity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DRC, Afghan, Palestinian, Syrian, Rohingya, Sudanese, Somali, South Sudanese, Ukrainian school-continuity and Venezuelan portfolios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Complete multilingual continuity sequences versus smaller host/origin-language bridges, with offline resumption, credential navigation and exact language/script arms; 92 source-bound corridor-stage cells now define matched endpoints, while status-cohort totals remain context rather than language denominators.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Accessibility and delivery architecture</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language/content package, with exact user, locale, device and modality requirements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Six baseline and eleven conditional modes spanning semantic HTML, EPUB, MathML, descriptions, offline/low-bitrate delivery, audio, captions/transcripts, named sign languages, plain language/Easy Read, braille, tactile graphics and large print; kept in a separate non-additive comparison lane.</w:t>
            </w:r>
          </w:p>
        </w:tc>
      </w:tr>
    </w:tbl>
    <w:p>
      <w:pPr>
        <w:widowControl/>
        <w:spacing w:before="0" w:after="40"/>
      </w:pPr>
    </w:p>
    <w:p>
      <w:pPr>
        <w:widowControl/>
      </w:pPr>
      <w:r>
        <w:t>These are intervention recommendations for further comparative development, not a declaration that every listed package outranks every unlisted one. Source selection is concrete: relevant OpenStax topics, Open Logic/forall x and exact advanced open sources are starting points. The source package's learner assumptions, examples, complete-solution coverage and distribution terms are part of the comparison.</w:t>
      </w:r>
    </w:p>
    <w:p>
      <w:pPr>
        <w:widowControl/>
      </w:pPr>
      <w:r>
        <w:t>The secondary calculation illustrates the scale of the decision. Under its fixed-size text-traffic scenario, an Indonesian edition has higher additional access per traffic than a Japanese edition if its unknown incremental yield per learner exceeds approximately 3.45% of the Japanese route's yield. The conditional full-age-15 coverage envelopes widen this threshold to approximately 2.84-5.95%. These values concern one stage and endpoint, not total language priority.</w:t>
      </w:r>
    </w:p>
    <w:p>
      <w:pPr>
        <w:widowControl/>
      </w:pPr>
      <w:r>
        <w:t>Coverage can be decisive in a closer comparison. For Japanese and Ukrainian routes, the represented-cohort point threshold is approximately 0.559. Using Ukraine's national coverage envelope and Japan's full-age-15 envelope yields a range of approximately 0.325-2.414. Equal-yield scenarios can therefore imply different directions within those bounds. The national envelope does not copy the participating regions' observed rate to unassessed people.</w:t>
      </w:r>
    </w:p>
    <w:p>
      <w:pPr>
        <w:widowControl/>
      </w:pPr>
      <w:r>
        <w:t>The comparison fixes source population estimates and uses explicit subset assumptions. It does not identify actual package yields, complete physical production cost or future uptake. Its immediate contribution is a transparent threshold calculation with no silent population removal. The full route definitions, source identities, coverage conditions and sensitivity checks accompany the manuscript.</w:t>
      </w:r>
    </w:p>
    <w:p>
      <w:pPr>
        <w:widowControl/>
      </w:pPr>
      <w:r>
        <w:t xml:space="preserve">The first actual-source-scale comparison changes the earlier bookkeeping materially. A complete OpenStax prealgebra source is about 3.64 times the normalized 100,000-token canon used in the earlier table. For Indonesian, the scenario therefore rises from 1.34 million to 4.89 million token events before extra work. This is a correction to the </w:t>
      </w:r>
      <w:r>
        <w:rPr>
          <w:rFonts w:ascii="Calibri" w:hAnsi="Calibri" w:eastAsia="Calibri" w:cs="Calibri"/>
          <w:i/>
        </w:rPr>
        <w:t>package-size input</w:t>
      </w:r>
      <w:r>
        <w:t>, not a change in Indonesian need or eligibility. A selected six-chapter route is less than half the measured text, but it is preferable only if it retains enough benefit on the same outcome. A complete course remains a serious candidate when it substantially improves independent progression, supplies otherwise missing outcomes, or amortizes shared infrastructure across later units.</w:t>
      </w:r>
    </w:p>
    <w:p>
      <w:pPr>
        <w:widowControl/>
      </w:pPr>
      <w:r>
        <w:t xml:space="preserve">For the Bangladesh four-domain comparison, two deliberately broad design budgets make the unknowns visible. A twelve-item entry-and-feedback companion is represented by 2,720-7,840 English/source-reference tokens; a 24-unit explanatory and practice sequence by 12,800-30,400. Assuming the same per-token workflow and no unequal extra work, the small package's positive-yield threshold spans approximately </w:t>
      </w:r>
      <w:r>
        <w:rPr>
          <w:rFonts w:ascii="Calibri" w:hAnsi="Calibri" w:eastAsia="Calibri" w:cs="Calibri"/>
          <w:b/>
        </w:rPr>
        <w:t>8.9%-61.3%</w:t>
      </w:r>
      <w:r>
        <w:t xml:space="preserve"> of the fuller sequence's yield across the crossed budget extremes. These are planning bounds, not confidence intervals, observed Bangla lengths or instructional specifications. They cannot establish that the companion wins. Authoring, answer verification, formula checking, accessibility and audio/video work remain separate terms. The underlying 15.3-15.7 million national numeracy scenario is unchanged because prior production and package size do not alter population need.</w:t>
      </w:r>
    </w:p>
    <w:p>
      <w:pPr>
        <w:pStyle w:val="Heading1"/>
        <w:widowControl/>
      </w:pPr>
      <w:r>
        <w:rPr>
          <w:color w:val="000000"/>
        </w:rPr>
        <w:t>7 Remaining empirical synthesis</w:t>
      </w:r>
    </w:p>
    <w:p>
      <w:pPr>
        <w:pStyle w:val="Heading2"/>
        <w:widowControl/>
      </w:pPr>
      <w:r>
        <w:rPr>
          <w:color w:val="000000"/>
        </w:rPr>
        <w:t>7 1 What existing evaluations suggest about package design</w:t>
      </w:r>
    </w:p>
    <w:p>
      <w:pPr>
        <w:widowControl/>
      </w:pPr>
      <w:r>
        <w:t>One actionable hypothesis is that matching prerequisites and supplying useful feedback will often matter more than adding another undifferentiated textbook. In a Delhi lottery evaluation, an adaptive after-school programme increased independently assessed mathematics scores by 0.37 standard deviations and Hindi scores by 0.23 over 4.5 months. The programme combined computer activities with small-group instruction; it did not isolate a translation or a teacher-free resource (Muralidharan et al., 2019). The design implication to test is a diagnostic entry point, appropriately sequenced practice and explanations-not assigning every proposed publication those effects.</w:t>
      </w:r>
    </w:p>
    <w:p>
      <w:pPr>
        <w:widowControl/>
      </w:pPr>
      <w:r>
        <w:t>Two other evaluations help distinguish access to an object from access to learning. Conventional textbook provision in Kenyan primary schools did not establish an average test-score improvement, though initially stronger pupils benefited more; language and prerequisite mismatch were possible explanations, not separately randomized treatments (Glewwe et al., 2009). Peru's One Laptop per Child evaluation found increased computer use but no established mathematics or language test-score effect after 15 months (Cristia et al., 2017). Neither finding establishes that open material, offline delivery or translation is unhelpful. They make the package's usability a substantive research question.</w:t>
      </w:r>
    </w:p>
    <w:p>
      <w:pPr>
        <w:widowControl/>
      </w:pPr>
      <w:r>
        <w:t>These findings generate three explicit predictions for the proposed packages. First, catch-up resources should be more useful when their entry level matches the learner's prerequisites. Second, a subject-language bridge should supply practice and explanations, not just substitute terminology. Third, the benefit of an offline edition should depend on whether a learner can navigate, study and check work with the available device. The comparisons will preserve evidence that supports or weakens each prediction. Classroom findings can inform these mechanisms without making teachers a requirement for the autonomous-learning pathway.</w:t>
      </w:r>
    </w:p>
    <w:p>
      <w:pPr>
        <w:widowControl/>
      </w:pPr>
      <w:r>
        <w:t>The study keeps functional access and subsequent learning outcomes separate. A test-score standard deviation is not a percentage of people newly able to study. None of these evaluations supplies a universal translation-effect multiplier or a measure of AI production cost. The detailed evidence register also distinguishes the 2012 working-paper and 2017 published versions of the Peru evaluation. Their sample sizes and coefficients are not mixed.</w:t>
      </w:r>
    </w:p>
    <w:p>
      <w:pPr>
        <w:pStyle w:val="Heading2"/>
        <w:widowControl/>
      </w:pPr>
      <w:r>
        <w:rPr>
          <w:color w:val="000000"/>
        </w:rPr>
        <w:t>7 2 Work still needed for the global portfolio</w:t>
      </w:r>
    </w:p>
    <w:p>
      <w:pPr>
        <w:widowControl/>
      </w:pPr>
      <w:r>
        <w:t>The globally decisive portfolio is not yet complete. The current quantitative surface now has a 100-row worldwide potential-reach table and a distinct 100-row fixed-package workload proxy, alongside the bounded ten-program hedge and the nonordinal 100-profile research inventory. The two ranked tables answer real but deliberately conditional questions; the profile inventory does not. Required remaining work includes stage-specific addressable audiences; item-level comparisons of independently usable subject provision; measured incremental effects; standardized physical-compute scenarios; delivery and accessibility costs; beneficiary overlap; global omission and sensitivity tests; and comparisons against possible outrankers. Signed-language and accessibility interventions, smaller communities, and vocational and research opportunities remain substantive lanes rather than residual categories.</w:t>
      </w:r>
    </w:p>
    <w:p>
      <w:pPr>
        <w:widowControl/>
      </w:pPr>
      <w:r>
        <w:t>The present findings already distinguish useful package hypotheses from raw speaker-count priorities. The final synthesis must carry that distinction through every recommendation and remain understandable without knowledge of any particular translation project.</w:t>
      </w:r>
    </w:p>
    <w:p>
      <w:pPr>
        <w:pStyle w:val="Heading2"/>
        <w:widowControl/>
      </w:pPr>
      <w:r>
        <w:rPr>
          <w:color w:val="000000"/>
        </w:rPr>
        <w:t>7 3 A global synthesis universe replaces the population dominant shortcut</w:t>
      </w:r>
    </w:p>
    <w:p>
      <w:pPr>
        <w:widowControl/>
      </w:pPr>
      <w:r>
        <w:t>The current synthesis does not start from the languages for which convenient population figures happened to be available. It starts from 10,625 nonadditive analytical entities: all 8,618 Glottolog language-level identities; all 1,077 prior edition targets; the frozen 100-candidate hypothesis roster; 169 evidence challengers; 17 accessibility modes; 10 interlanguage or shared-register designs; 247 country and territory omission contexts; 209 displacement-origin contexts; and 178 displacement-host contexts. These rows overlap and are not people totals. Their purpose is to prevent a language, variety, modality or displaced route from vanishing while better evidence is sought.</w:t>
      </w:r>
    </w:p>
    <w:p>
      <w:pPr>
        <w:widowControl/>
      </w:pPr>
      <w:r>
        <w:t>Ten completed country or jurisdiction identity gates contain 2,966 assignments covering 2,854 distinct Glottocodes. That is progress in finding identities, not proof that those 2,854 languages have measured audiences or that the other 5,764 matter less. Country association does not establish present residence or use. A source label does not establish an exact variety. A prior edition target does not establish unmet need. An existing intervention route does not establish adequate supply or benefit.</w:t>
      </w:r>
    </w:p>
    <w:p>
      <w:pPr>
        <w:widowControl/>
      </w:pPr>
      <w:r>
        <w:t xml:space="preserve">The previous 186-row </w:t>
      </w:r>
      <w:r>
        <w:rPr>
          <w:rFonts w:ascii="Consolas" w:hAnsi="Consolas" w:eastAsia="Consolas" w:cs="Consolas"/>
          <w:color w:val="31465A"/>
          <w:sz w:val="21"/>
        </w:rPr>
        <w:t>GLOBAL_FUNDING_PORTFOLIO_v1.csv</w:t>
      </w:r>
      <w:r>
        <w:t xml:space="preserve"> is therefore historical evidence of the population-dominant shortcut, not an input to the replacement analysis. Its common-prior estimates and ordinal positions are not current recommendations. The replacement register gives every entity an evidence state and next research action while leaving funding rank empty. Every entity remains a possible outranker; missing population, need, supply, effect, compute or overlap evidence never becomes a zero or an ordinal penalty.</w:t>
      </w:r>
    </w:p>
    <w:p>
      <w:pPr>
        <w:widowControl/>
      </w:pPr>
      <w:r>
        <w:t>The robust global partial order currently has zero asserted dominance edges. That is not a finding that every intervention has equal value. A dominance claim requires the same educational endpoint, an exact addressable audience, current usable supply, an incremental-effect interval, standardized physical-compute and delivery costs, and a rule that counts overlapping beneficiaries once. Those quantities are not yet jointly bound for a global pair. Substituting common midpoints or putting unknown cases last would manufacture an order from evidence availability.</w:t>
      </w:r>
    </w:p>
    <w:p>
      <w:pPr>
        <w:widowControl/>
      </w:pPr>
      <w:r>
        <w:t>The requested Top 10 and Top 100 now exist in two explicitly conditional, ordinal senses. The reach order compares population plausibly helped under one common missing-data scenario. The fixed-package proxy divides that numerator by the modeled token-event workload for one identical package. Neither is the final package-specific funding order. Separately, the ten-program tranche is one feasible hedge across large audiences, regional depth, displacement, multiple scripts and practical subject needs, while the 100-profile set is a nonordinal communication and investigation inventory. Its member numbers are stable identifiers, not positions. The 169 current challengers and all entities outside those displays remain possible outrankers. Accessibility formats and interlanguages remain parallel, nonadditive design layers; all 209 origin and 178 host displacement contexts remain visible rather than being reduced to ten examples.</w:t>
      </w:r>
    </w:p>
    <w:p>
      <w:pPr>
        <w:widowControl/>
      </w:pPr>
      <w:r>
        <w:t>This universe passes 34 constructor checks, an independent 265,625-field CSV/JSON comparison with no mismatches, and two complete byte-identical rebuilds of all four outputs. The result establishes a safe global comparison boundary. It does not establish educational benefit, compute efficiency or a final allocation order.</w:t>
      </w:r>
    </w:p>
    <w:p>
      <w:pPr>
        <w:pStyle w:val="Heading2"/>
        <w:widowControl/>
      </w:pPr>
      <w:r>
        <w:rPr>
          <w:color w:val="000000"/>
        </w:rPr>
        <w:t>7 4 What is and is not comparable now</w:t>
      </w:r>
    </w:p>
    <w:p>
      <w:pPr>
        <w:widowControl/>
      </w:pPr>
      <w:r>
        <w:t>The replacement synthesis now has both a visible global screening layer and a route-level evidence funnel. The screening layer preserves 775 non-English language-and-script profiles, publishes the first 100 by potential reach, and compares the same fixed text package across all 775 using measured or common-envelope token-event workloads. The route layer preserves 1,022 proposed language-stage-package routes. Fifteen have a numeric need interval or point in a source-defined context; thirty-two have a declared base text-traffic scenario; and nine routes participate in thirty-six same-endpoint threshold comparisons. The global screening tables are useful conditional orders, and the route cells are useful conditional comparisons, but neither alone identifies global winners. A national cohort, census category or status population is not automatically the exact audience that can use one edition. A token-traffic scenario is not standardized physical compute, energy, money or achieved quality.</w:t>
      </w:r>
    </w:p>
    <w:p>
      <w:pPr>
        <w:widowControl/>
      </w:pPr>
      <w:r>
        <w:t xml:space="preserve">No current route jointly measures the six decisive elements: exact edition audience, independently usable baseline supply, incremental effect on a common educational endpoint, standardized physical compute, delivery/accessibility cost and portfolio overlap. In particular, all 1,022 incremental-yield fields remain unmeasured logical ranges, not effect estimates. The robust global dominance graph therefore still has zero edges. This does </w:t>
      </w:r>
      <w:r>
        <w:rPr>
          <w:rFonts w:ascii="Calibri" w:hAnsi="Calibri" w:eastAsia="Calibri" w:cs="Calibri"/>
          <w:b/>
        </w:rPr>
        <w:t>not</w:t>
      </w:r>
      <w:r>
        <w:t xml:space="preserve"> mean that all routes are equal, useless or low priority. It means that current evidence cannot honestly decide a global winner on compatible units.</w:t>
      </w:r>
    </w:p>
    <w:p>
      <w:pPr>
        <w:widowControl/>
      </w:pPr>
      <w:r>
        <w:t>The machine-readable readiness register assigns every route one of four states. Nine are conditional same-endpoint threshold cells with no winner. Six more contain a numeric context bound but lack comparable effect and compute. Nine hundred ninety-five contain a source-referenced package hypothesis but are not globally rankable. Twelve retain a route hypothesis without an embedded package design. Every row remains a possible outranker, has no funding rank and cannot be excluded because of missing evidence.</w:t>
      </w:r>
    </w:p>
    <w:p>
      <w:pPr>
        <w:widowControl/>
      </w:pPr>
      <w:r>
        <w:t>The source-and-package layer currently binds seventy design entries across thirteen country or jurisdiction checkpoints. These establish concrete questions about current supply, stages, subjects and full-versus-bounded packages. They do not award those places higher priority for having more documentation. The 100-profile forecast remains a communication portfolio: sixty-three profiles have at least one route and thirty-seven remain explicit research gaps, while 169 evidence challengers sit outside the forecast. All are eligible to displace a provisional selection when compatible evidence supports it.</w:t>
      </w:r>
    </w:p>
    <w:p>
      <w:pPr>
        <w:widowControl/>
      </w:pPr>
      <w:r>
        <w:t>The next allocation step is therefore specific, not vague: use the global reach and fixed-package tables as an omission-resistant screen; complete comparable cells for exact language/script/community × stage × subject × package × delivery interventions; estimate standalone and overlapping benefits; normalize the complete production and delivery workflow to physical compute; and then publish interval-supported dominance relations and budget frontiers. Every Top 10 or Top 100 must name the quantity being ordered, show its assumptions, identify candidates that can still outrank it and state the evidence most likely to change the result.</w:t>
      </w:r>
    </w:p>
    <w:p>
      <w:pPr>
        <w:widowControl/>
      </w:pPr>
      <w:r>
        <w:t xml:space="preserve">For clarity, </w:t>
      </w:r>
      <w:r>
        <w:rPr>
          <w:rFonts w:ascii="Calibri" w:hAnsi="Calibri" w:eastAsia="Calibri" w:cs="Calibri"/>
          <w:b/>
        </w:rPr>
        <w:t>P</w:t>
      </w:r>
      <w:r>
        <w:t xml:space="preserve"> means preschool/early childhood, </w:t>
      </w:r>
      <w:r>
        <w:rPr>
          <w:rFonts w:ascii="Calibri" w:hAnsi="Calibri" w:eastAsia="Calibri" w:cs="Calibri"/>
          <w:b/>
        </w:rPr>
        <w:t>F</w:t>
      </w:r>
      <w:r>
        <w:t xml:space="preserve"> foundational/primary, </w:t>
      </w:r>
      <w:r>
        <w:rPr>
          <w:rFonts w:ascii="Calibri" w:hAnsi="Calibri" w:eastAsia="Calibri" w:cs="Calibri"/>
          <w:b/>
        </w:rPr>
        <w:t>S</w:t>
      </w:r>
      <w:r>
        <w:t xml:space="preserve"> secondary, </w:t>
      </w:r>
      <w:r>
        <w:rPr>
          <w:rFonts w:ascii="Calibri" w:hAnsi="Calibri" w:eastAsia="Calibri" w:cs="Calibri"/>
          <w:b/>
        </w:rPr>
        <w:t>V</w:t>
      </w:r>
      <w:r>
        <w:t xml:space="preserve"> vocational/technical/practical, </w:t>
      </w:r>
      <w:r>
        <w:rPr>
          <w:rFonts w:ascii="Calibri" w:hAnsi="Calibri" w:eastAsia="Calibri" w:cs="Calibri"/>
          <w:b/>
        </w:rPr>
        <w:t>U</w:t>
      </w:r>
      <w:r>
        <w:t xml:space="preserve"> university/taught tertiary and </w:t>
      </w:r>
      <w:r>
        <w:rPr>
          <w:rFonts w:ascii="Calibri" w:hAnsi="Calibri" w:eastAsia="Calibri" w:cs="Calibri"/>
          <w:b/>
        </w:rPr>
        <w:t>R</w:t>
      </w:r>
      <w:r>
        <w:t xml:space="preserve"> postgraduate/research. These letters label educational endpoints, not scores or priority.</w:t>
      </w:r>
    </w:p>
    <w:p>
      <w:pPr>
        <w:pStyle w:val="Heading2"/>
        <w:widowControl/>
      </w:pPr>
      <w:r>
        <w:rPr>
          <w:color w:val="000000"/>
        </w:rPr>
        <w:t>7 5 The high reach evidence frontier</w:t>
      </w:r>
    </w:p>
    <w:p>
      <w:pPr>
        <w:widowControl/>
      </w:pPr>
      <w:r>
        <w:t>The first high-reach synthesis contains 83 deliberately separate evidence cells: 45 typed language-population bases, seven parallel or common-core package hypotheses, and 31 country omission sentinels. Fifty-two language or package cells remain possible outrankers. None has a funding rank or an exclusion disposition. The country cells are not translation candidates; they are alarms against silently overlooking large national contexts while the exact languages, varieties, scripts, displaced populations, signed languages and delivery formats inside them are resolved.</w:t>
      </w:r>
    </w:p>
    <w:p>
      <w:pPr>
        <w:widowControl/>
      </w:pPr>
      <w:r>
        <w:t>The largest rows demonstrate both the stakes and the danger of casual comparison. The register retains a mixed global English lower-bound estimate of 1.5 billion users; a Mainland Standard Written Chinese exposure ceiling of 1.412 billion; reported Putonghua communicative ability around 1.140 billion; a Spanish potential-user lower bound of 630 million and a separate 520 million native-domain estimate; 503 million people in an MSA educational-exposure aggregate; a 450 million Arabic umbrella context; 396 million institutionally estimated Francophones; 322.230 million raw Hindi mother-tongue returns; 280.404 million Mainland formal-education enrolments; 265 million Portuguese speakers; a 264.589-264.606 million Bangladesh-and-India Bangla/Bengali parallel-package context; more than 250 million Russian users; 248.502 million Indonesian users by the cited BPS conversational-ability definition; a 240.458 million Urdu national-exposure ceiling in Pakistan; and more than 200 million cross-border Kiswahili users. These are different measures, often overlapping. Their order of magnitude makes them impossible to dismiss; it does not make them a benefit ranking.</w:t>
      </w:r>
    </w:p>
    <w:p>
      <w:pPr>
        <w:widowControl/>
      </w:pPr>
      <w:r>
        <w:t>The distinction is substantive. Reported ability does not prove comfortable academic reading. A mother-tongue count does not measure current educational supply. Formal enrolment is an opportunity population, not unmet need. A territorial ceiling is not an exact edition audience. A world speaker estimate cannot be copied into one country, script or standard. Country learning, literacy, completion and connectivity indicators are ecological context and are never multiplied into a language total as if they were conditional language-specific rates.</w:t>
      </w:r>
    </w:p>
    <w:p>
      <w:pPr>
        <w:widowControl/>
      </w:pPr>
      <w:r>
        <w:t>The seven shared-work cells make possible efficiencies visible without awarding blanket interlanguage coverage. They include Bangladesh/India Bangla, Gurmukhi/Shahmukhi Punjabi, Hindi/Urdu, Iranian Persian/Dari/Tajik, six West African Pidgin profiles, multiscript Hausa and multistandard Kiswahili. Each is a hypothesis about parallel production, common terminology, reusable formal structure or a bounded shared register. A child language never inherits the package population. One shared text serves the whole context only if its exact users can actually understand and use it at the stated mathematical and linguistic prerequisites.</w:t>
      </w:r>
    </w:p>
    <w:p>
      <w:pPr>
        <w:widowControl/>
      </w:pPr>
      <w:r>
        <w:t xml:space="preserve">Every intervention cell is therefore expressed as </w:t>
      </w:r>
      <w:r>
        <w:rPr>
          <w:rFonts w:ascii="Consolas" w:hAnsi="Consolas" w:eastAsia="Consolas" w:cs="Consolas"/>
          <w:color w:val="31465A"/>
          <w:sz w:val="21"/>
        </w:rPr>
        <w:t>P × q</w:t>
      </w:r>
      <w:r>
        <w:t xml:space="preserve">, where </w:t>
      </w:r>
      <w:r>
        <w:rPr>
          <w:rFonts w:ascii="Consolas" w:hAnsi="Consolas" w:eastAsia="Consolas" w:cs="Consolas"/>
          <w:color w:val="31465A"/>
          <w:sz w:val="21"/>
        </w:rPr>
        <w:t>P</w:t>
      </w:r>
      <w:r>
        <w:t xml:space="preserve"> retains the source's typed population measure and </w:t>
      </w:r>
      <w:r>
        <w:rPr>
          <w:rFonts w:ascii="Consolas" w:hAnsi="Consolas" w:eastAsia="Consolas" w:cs="Consolas"/>
          <w:color w:val="31465A"/>
          <w:sz w:val="21"/>
        </w:rPr>
        <w:t>q</w:t>
      </w:r>
      <w:r>
        <w:t xml:space="preserve"> is the still-unmeasured expected per-person change in functional educational access. The attached 100,000-source-token text envelope-approximately 0.771 million, 1.575 million and 4.044 million fresh-equivalent token events under low, base and high scenarios-is a common traffic sensitivity test. It is not physical compute, energy, money, achieved quality or a target-specific production measurement.</w:t>
      </w:r>
    </w:p>
    <w:p>
      <w:pPr>
        <w:widowControl/>
      </w:pPr>
      <w:r>
        <w:t>This frontier changes the next research question. Large cohorts are now visible without being promoted for having convenient data. The next comparisons must bind, for one exact community and stage-subject-format package, an actual usable audience, existing open supply, delivery constraints, a common access endpoint, incremental effect, standardized physical compute and beneficiary overlap. Only then can intervals support a dominance relation or a conditional portfolio. Until then, Indonesia, Simplified Standard Written Chinese, Bangla, Hindi, Ukrainian and every other measured or unmeasured candidate remain eligible to displace a provisional choice.</w:t>
      </w:r>
    </w:p>
    <w:p>
      <w:pPr>
        <w:pStyle w:val="Heading2"/>
        <w:widowControl/>
      </w:pPr>
      <w:r>
        <w:rPr>
          <w:color w:val="000000"/>
        </w:rPr>
        <w:t>7 6 What the effect evidence changes and what it cannot decide</w:t>
      </w:r>
    </w:p>
    <w:p>
      <w:pPr>
        <w:widowControl/>
      </w:pPr>
      <w:r>
        <w:t>The access commitment is not an empirical hurdle placed in front of learners. This study treats inherited familiarity with academic language as an institutionally distributed advantage and treats a source-faithful translation into an audience-specified adult register as an eligible intervention whenever any credible nonzero educational benefit is plausible. The literature can help estimate the size and distribution of that benefit. It can show that a particular source, audience, register or delivery design was ineffective or counterproductive. It cannot convert family education, schooling history, income, racialization, disability, measured attainment or register familiarity into an innate-capacity judgment or a reason to withhold access.</w:t>
      </w:r>
    </w:p>
    <w:p>
      <w:pPr>
        <w:widowControl/>
      </w:pPr>
      <w:r>
        <w:t>The closest direct evidence is encouraging but narrow. Bälter et al. (2024) randomized 2,263 learners between Swedish and English versions of the same eight-module programming course. Among course starters, performance was 16.9 versus 14.3 correct answers, with a small Cliff's delta of .085; dropout was 57% in Swedish and 71% in English. In a four-arm trial with 111 Scandinavian family physicians, Gulbrandsen et al. (2002) found median recall of four of thirteen facts after reading in the mother tongue and three after reading in English; paper versus screen made no detected difference. These are unusually close to the proposed language-edition contrast, but they concern highly educated samples, short or bounded material and immediate or course-level outcomes. They are anchors, not global multipliers.</w:t>
      </w:r>
    </w:p>
    <w:p>
      <w:pPr>
        <w:widowControl/>
      </w:pPr>
      <w:r>
        <w:t>Adult intralingual register experiments show both meaningful gains and strong heterogeneity. Leroy et al. (2013) preserved source information while adding definitions and familiar wording. In a 99-person experiment, correct comprehension was 63% for the translated passages and 52% for the originals; learning gains were 18% and 9%, while free recall did not differ. Martínez, Mollica, and Gibson (2022) found a 5.8-percentage-point comprehension advantage for equivalent-meaning ordinary English over legalese in short contracts. Sayfi et al. (2024) found a 19.8-point advantage for a plain-language WHO recommendation but only 3.9 points for a CDC text, whose confidence interval included no effect. The large difference between two related sources is as important as either headline number: source structure, audience and the exact translation choices matter.</w:t>
      </w:r>
    </w:p>
    <w:p>
      <w:pPr>
        <w:widowControl/>
      </w:pPr>
      <w:r>
        <w:t>Null and adverse comparisons are therefore design information. They are not a vote on whether a language or social group is capable of using educational material. One bilingual physics comparison produced smaller gains than its German-only counterpart, while a paper-reading interface added perceived ease without a detected objective-comprehension gain. Such results require analysis of terminology, cognitive load, prerequisites, layout, teaching context and audience fit. They justify a different design or a smaller first deployment, not permanent ineligibility.</w:t>
      </w:r>
    </w:p>
    <w:p>
      <w:pPr>
        <w:widowControl/>
      </w:pPr>
      <w:r>
        <w:t>Open access, offline delivery and instructional support also answer different questions. Clinton and Khan's (2019) meta-analysis found essentially equal average learning outcomes for open and commercial textbooks (</w:t>
      </w:r>
      <w:r>
        <w:rPr>
          <w:rFonts w:ascii="Calibri" w:hAnsi="Calibri" w:eastAsia="Calibri" w:cs="Calibri"/>
          <w:i/>
        </w:rPr>
        <w:t>g</w:t>
      </w:r>
      <w:r>
        <w:t>=.01, 95% CI [-.16, .19]) and lower course-withdrawal odds for open-textbook conditions (OR=.71, 95% CI [.56, .90]). That comparison supports substituting free books for paid books without assuming an achievement penalty. It does not estimate the effect of a usable book versus no book, or the effect of translation. Likewise, making a file downloadable changes acquisition; making it reflowable, screen-reader-native, printable and offline changes practical usability; worked examples, retrieval practice, explanatory feedback, prerequisites and self-regulation support change learning conditional on use.</w:t>
      </w:r>
    </w:p>
    <w:p>
      <w:pPr>
        <w:widowControl/>
      </w:pPr>
      <w:r>
        <w:t>For planning, the analysis consequently separates four quantities:</w:t>
      </w:r>
    </w:p>
    <w:p>
      <w:pPr>
        <w:pStyle w:val="ProposalList"/>
        <w:widowControl/>
        <w:numPr>
          <w:ilvl w:val="0"/>
          <w:numId w:val="10"/>
        </w:numPr>
      </w:pPr>
      <w:r>
        <w:t>the population for whom the edition is relevant;</w:t>
      </w:r>
    </w:p>
    <w:p>
      <w:pPr>
        <w:pStyle w:val="ProposalList"/>
        <w:widowControl/>
        <w:numPr>
          <w:ilvl w:val="0"/>
          <w:numId w:val="10"/>
        </w:numPr>
      </w:pPr>
      <w:r>
        <w:t>the probability that the edition is reached, acquired and usable;</w:t>
      </w:r>
    </w:p>
    <w:p>
      <w:pPr>
        <w:pStyle w:val="ProposalList"/>
        <w:widowControl/>
        <w:numPr>
          <w:ilvl w:val="0"/>
          <w:numId w:val="10"/>
        </w:numPr>
      </w:pPr>
      <w:r>
        <w:t>the probability of sustained active use; and</w:t>
      </w:r>
    </w:p>
    <w:p>
      <w:pPr>
        <w:pStyle w:val="ProposalList"/>
        <w:widowControl/>
        <w:numPr>
          <w:ilvl w:val="0"/>
          <w:numId w:val="10"/>
        </w:numPr>
      </w:pPr>
      <w:r>
        <w:t>the effect among active users on a named endpoint.</w:t>
      </w:r>
    </w:p>
    <w:p>
      <w:pPr>
        <w:widowControl/>
      </w:pPr>
      <w:r>
        <w:t>For a passive release, those stages can be multiplied only when their conditions and denominators are compatible. They must not be multiplied into a study's intent-to-treat effect, which already includes uptake and nonuse. Nor may a comprehension percentage be multiplied directly by a worldwide language population without an exposure and use model.</w:t>
      </w:r>
    </w:p>
    <w:p>
      <w:pPr>
        <w:widowControl/>
      </w:pPr>
      <w:r>
        <w:t>The current evidence register therefore publishes scenarios rather than a single promised effect. For a well-audited full-content adult-register translation, the immediate-comprehension scenarios range from an adverse -3-to-0 percentage points, through near-null 0-to-3 and central 3-to-10, to a 10-to-20-point high-mismatch case. For an actively used static package with worked examples, retrieval, answers and explanatory feedback, the planning range is 0.05-0.25 standard deviations over roughly a term or year. A merely published file receives a 0-0.02 scenario. Preschool remains unmeasured rather than being assigned zero. These are stress tests assembled from distinct evidence classes, not confidence intervals, pooled global estimates or eligibility thresholds.</w:t>
      </w:r>
    </w:p>
    <w:p>
      <w:pPr>
        <w:widowControl/>
      </w:pPr>
      <w:r>
        <w:t xml:space="preserve">No controlled study located so far evaluates a complete, proposition-preserving mathematics curriculum translated into another language or adult register. That is a reason to measure the first well-audited editions carefully. It is not a reason to presume no benefit. The full 53-study evidence register, 18 planning scenarios, source-to-scenario transport rules and independent reproducibility checks are published in </w:t>
      </w:r>
      <w:r>
        <w:rPr>
          <w:rFonts w:ascii="Consolas" w:hAnsi="Consolas" w:eastAsia="Consolas" w:cs="Consolas"/>
          <w:color w:val="31465A"/>
          <w:sz w:val="21"/>
        </w:rPr>
        <w:t>INTERVENTION_EFFECT_EVIDENCE_v1.md</w:t>
      </w:r>
      <w:r>
        <w:t xml:space="preserve"> and its machine-readable companions.</w:t>
      </w:r>
    </w:p>
    <w:p>
      <w:pPr>
        <w:pStyle w:val="Heading2"/>
        <w:widowControl/>
      </w:pPr>
      <w:r>
        <w:rPr>
          <w:color w:val="000000"/>
        </w:rPr>
        <w:t>7 7 An actionable first tranche without pretending it is a world league table</w:t>
      </w:r>
    </w:p>
    <w:p>
      <w:pPr>
        <w:widowControl/>
      </w:pPr>
      <w:r>
        <w:t>A decision-maker may still need to act before every comparable cell is measured. The current response is a ten-program measurement-and-production tranche. It deliberately hedges across very large audiences, multilingual systems, multiple scripts, displacement, offline access, foundational learning, practical subjects and advanced study. Every program remains eligible independently of the evidence gathered so far. The evidence selects its first package and its scale; it does not decide whether its people count.</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641"/>
        <w:gridCol w:w="3360"/>
        <w:gridCol w:w="3359"/>
      </w:tblGrid>
      <w:tr>
        <w:trPr>
          <w:tblHeader w:val="true"/>
          <w:cantSplit w:val="true"/>
        </w:trPr>
        <w:tc>
          <w:tcPr>
            <w:tcW w:type="dxa" w:w="26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Program slot</w:t>
            </w:r>
          </w:p>
        </w:tc>
        <w:tc>
          <w:tcPr>
            <w:tcW w:type="dxa" w:w="336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Why it is in this hedge</w:t>
            </w:r>
          </w:p>
        </w:tc>
        <w:tc>
          <w:tcPr>
            <w:tcW w:type="dxa" w:w="335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First bounded package to compare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Bahasa Indonesia</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first- and additional-language reach, major measured secondary learning burdens and an unusually informative open-production case study</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 secondary mathematics/science prerequisite repair with exercises, solutions and offline/mobile use, followed by statistics, computing, finance/business and tertiary bridges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Bangladesh and India Bangla/Bengali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country-disjoint parallel context, severe foundational-learning evidence and potential reuse across two explicit national interfaces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 plus reading-supported mathematics, then secondary science, statistics, health and practical finance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 and Urdu</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Hundreds of millions across related but distinct educational standards and scripts, with potential shared formal work that must not erase either native output</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Separate Devanagari and Nastaliq foundational/secondary mathematics, science and finance, plus an optional measured shared mathematical layer</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Enormous written-standard and formal-enrolment opportunity alongside substantial existing provision, making targeted additionality more useful than a generic school-book assumption</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Audit and fill open, downloadable and accessible advanced mathematics, science and computing gaps; include semantic HTML/MathML, reflow and offline formats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Philippine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High country-level learning burdens and a sharply multilingual home-language landscape that one Filipino or English label cannot discharge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 numeracy and reading-supported mathematics, secondary science, health/disaster learning and financial capability across separately named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Ethiopian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Severe foundational, transition, connectivity and practical-learning questions across several large language communities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literacy/numeracy, secondary science, agriculture, health, technical and small-enterprise modules with offline delivery</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Democratic Republic of the Congo multilingual and displacement routes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population, severe learning/connectivity context and school-continuity needs that cross origin and host settings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Resumable mathematics/science, public health and livelihood modules with credential and continuity navigation</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in Boko and Ajami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very large cross-border community, meaningful script choice and practical subject reach</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numeracy/literacy, secondary science, health, agriculture, finance and enterprise in low-bandwidth text/audio and both literacy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Multistandard Kiswahili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cross-border L1/L2 reach and potential reuse across several education systems without assuming one uniform standard</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mathematics/science, statistics/computing, health, agriculture, finance and management with national terminology overlays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Modern Standard Arabic plus vernacular and displacement interfaces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large learned written register across many systems, with diglossic, local-language and displacement needs that an Arabic umbrella cannot collapse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Reading-supported bridges into MSA, mathematics/science, health, finance and management, plus advanced open sources and explicit vernacular interfaces</w:t>
            </w:r>
          </w:p>
        </w:tc>
      </w:tr>
    </w:tbl>
    <w:p>
      <w:pPr>
        <w:widowControl/>
        <w:spacing w:before="0" w:after="40"/>
      </w:pPr>
    </w:p>
    <w:p>
      <w:pPr>
        <w:widowControl/>
      </w:pPr>
      <w:r>
        <w:t>The shared measurement protocol uses a 100,000-source-token benchmark to learn target-specific production, quality-assurance, accessibility and delivery costs. That benchmark is not the first educational package and does not force every language into a 100,000-token book. The first packages above differ because the best available evidence points to different stages, subjects and delivery problems. Complete courses and smaller additions are compared at the same educational endpoint.</w:t>
      </w:r>
    </w:p>
    <w:p>
      <w:pPr>
        <w:widowControl/>
      </w:pPr>
      <w:r>
        <w:t>The wider 100-profile inventory is a communication set, not ranks 1-100. Its member numbers are record identifiers. This differs from the newly published 100-row potential-reach order and 100-row fixed-package workload proxy, whose columns are explicitly labelled as ordinal positions and whose quantities are fully stated. All analytical entities outside the profile inventory remain possible outrankers. The current target-specific partial order still contains zero robust global dominance edges because no pair jointly binds compatible audience, same-endpoint effect, measured physical compute and nonoverlapping beneficiaries. The tranche is therefore an expert-constructed feasible hedge, not the output of a falsely precise optimizer.</w:t>
      </w:r>
    </w:p>
    <w:p>
      <w:pPr>
        <w:widowControl/>
      </w:pPr>
      <w:r>
        <w:t xml:space="preserve">This is also why the list contains both very large educational languages and regional, signed, displacement and shared-register lanes. A population-only portfolio would suppress smaller high-severity and prestige-domain needs. A scarcity-only portfolio would suppress hundreds of millions of people in large languages. A documentation-readiness portfolio would reward communities that are already easiest to measure. The conditional portfolio keeps those failure modes visible and publishes the evidence that could change each slot. Its full Top 10 rationales, nonordinal Top 100, accessibility overlays, displacement portfolio, possible-outranker fields and deterministic checks are in </w:t>
      </w:r>
      <w:r>
        <w:rPr>
          <w:rFonts w:ascii="Consolas" w:hAnsi="Consolas" w:eastAsia="Consolas" w:cs="Consolas"/>
          <w:color w:val="31465A"/>
          <w:sz w:val="21"/>
        </w:rPr>
        <w:t>CONDITIONAL_GLOBAL_PORTFOLIOS_v1.md</w:t>
      </w:r>
      <w:r>
        <w:t xml:space="preserve"> and its CSV/JSON companions.</w:t>
      </w:r>
    </w:p>
    <w:p>
      <w:pPr>
        <w:pStyle w:val="Heading1"/>
        <w:widowControl/>
      </w:pPr>
      <w:r>
        <w:rPr>
          <w:color w:val="000000"/>
        </w:rPr>
        <w:t>References used in this draft</w:t>
      </w:r>
    </w:p>
    <w:p>
      <w:pPr>
        <w:widowControl/>
      </w:pPr>
      <w:r>
        <w:t xml:space="preserve">Bälter, O., Kann, V., Mutimukwe, C., &amp; Malmström, H. (2024). English-medium instruction and impact on academic performance: A randomized control study. </w:t>
      </w:r>
      <w:r>
        <w:rPr>
          <w:rFonts w:ascii="Calibri" w:hAnsi="Calibri" w:eastAsia="Calibri" w:cs="Calibri"/>
          <w:i/>
        </w:rPr>
        <w:t>Applied Linguistics Review, 15</w:t>
      </w:r>
      <w:r>
        <w:t xml:space="preserve">(6), 2373-2396. </w:t>
      </w:r>
      <w:hyperlink r:id="rId17">
        <w:r>
          <w:rPr>
            <w:rFonts w:ascii="Calibri" w:hAnsi="Calibri" w:eastAsia="Calibri" w:cs="Calibri"/>
            <w:color w:val="2E74B5"/>
            <w:u w:val="single"/>
          </w:rPr>
          <w:t xml:space="preserve">https://doi.org/10.1515/applirev-2022-0093</w:t>
        </w:r>
      </w:hyperlink>
    </w:p>
    <w:p>
      <w:pPr>
        <w:widowControl/>
      </w:pPr>
      <w:r>
        <w:t xml:space="preserve">Clinton, V., &amp; Khan, S. (2019). Efficacy of open textbook adoption on learning performance and course withdrawal rates: A meta-analysis. </w:t>
      </w:r>
      <w:r>
        <w:rPr>
          <w:rFonts w:ascii="Calibri" w:hAnsi="Calibri" w:eastAsia="Calibri" w:cs="Calibri"/>
          <w:i/>
        </w:rPr>
        <w:t>AERA Open, 5</w:t>
      </w:r>
      <w:r>
        <w:t xml:space="preserve">(3). </w:t>
      </w:r>
      <w:hyperlink r:id="rId18">
        <w:r>
          <w:rPr>
            <w:rFonts w:ascii="Calibri" w:hAnsi="Calibri" w:eastAsia="Calibri" w:cs="Calibri"/>
            <w:color w:val="2E74B5"/>
            <w:u w:val="single"/>
          </w:rPr>
          <w:t xml:space="preserve">https://doi.org/10.1177/2332858419872212</w:t>
        </w:r>
      </w:hyperlink>
    </w:p>
    <w:p>
      <w:pPr>
        <w:widowControl/>
      </w:pPr>
      <w:r>
        <w:t xml:space="preserve">Gulbrandsen, P., Schroeder, T. V., Milerad, J., &amp; Nylenna, M. (2002). Paper or screen, mother tongue or English: Which is better? </w:t>
      </w:r>
      <w:r>
        <w:rPr>
          <w:rFonts w:ascii="Calibri" w:hAnsi="Calibri" w:eastAsia="Calibri" w:cs="Calibri"/>
          <w:i/>
        </w:rPr>
        <w:t>JAMA, 287</w:t>
      </w:r>
      <w:r>
        <w:t xml:space="preserve">(21), 2851. </w:t>
      </w:r>
      <w:hyperlink r:id="rId19">
        <w:r>
          <w:rPr>
            <w:rFonts w:ascii="Calibri" w:hAnsi="Calibri" w:eastAsia="Calibri" w:cs="Calibri"/>
            <w:color w:val="2E74B5"/>
            <w:u w:val="single"/>
          </w:rPr>
          <w:t xml:space="preserve">https://doi.org/10.1001/jama.287.21.2851</w:t>
        </w:r>
      </w:hyperlink>
    </w:p>
    <w:p>
      <w:pPr>
        <w:widowControl/>
      </w:pPr>
      <w:r>
        <w:t xml:space="preserve">Hammarström, H., Forkel, R., Haspelmath, M., &amp; Bank, S. (2026). </w:t>
      </w:r>
      <w:r>
        <w:rPr>
          <w:rFonts w:ascii="Calibri" w:hAnsi="Calibri" w:eastAsia="Calibri" w:cs="Calibri"/>
          <w:i/>
        </w:rPr>
        <w:t>Glottolog 5.3</w:t>
      </w:r>
      <w:r>
        <w:t xml:space="preserve">. Max Planck Institute for Evolutionary Anthropology. </w:t>
      </w:r>
      <w:hyperlink r:id="rId20">
        <w:r>
          <w:rPr>
            <w:rFonts w:ascii="Calibri" w:hAnsi="Calibri" w:eastAsia="Calibri" w:cs="Calibri"/>
            <w:color w:val="2E74B5"/>
            <w:u w:val="single"/>
          </w:rPr>
          <w:t xml:space="preserve">https://doi.org/10.5281/zenodo.15525265</w:t>
        </w:r>
      </w:hyperlink>
    </w:p>
    <w:p>
      <w:pPr>
        <w:widowControl/>
      </w:pPr>
      <w:r>
        <w:t xml:space="preserve">Leroy, G., Endicott, J. E., Kauchak, D., Mouradi, O., &amp; Just, M. (2013). User evaluation of the effects of a text simplification algorithm using term familiarity on perception, understanding, learning, and information retention. </w:t>
      </w:r>
      <w:r>
        <w:rPr>
          <w:rFonts w:ascii="Calibri" w:hAnsi="Calibri" w:eastAsia="Calibri" w:cs="Calibri"/>
          <w:i/>
        </w:rPr>
        <w:t>Journal of Medical Internet Research, 15</w:t>
      </w:r>
      <w:r>
        <w:t xml:space="preserve">(7), e144. </w:t>
      </w:r>
      <w:hyperlink r:id="rId21">
        <w:r>
          <w:rPr>
            <w:rFonts w:ascii="Calibri" w:hAnsi="Calibri" w:eastAsia="Calibri" w:cs="Calibri"/>
            <w:color w:val="2E74B5"/>
            <w:u w:val="single"/>
          </w:rPr>
          <w:t xml:space="preserve">https://doi.org/10.2196/jmir.2569</w:t>
        </w:r>
      </w:hyperlink>
    </w:p>
    <w:p>
      <w:pPr>
        <w:widowControl/>
      </w:pPr>
      <w:r>
        <w:t xml:space="preserve">Martínez, E., Mollica, F., &amp; Gibson, E. (2022). Poor writing, not specialized concepts, drives processing difficulty in legal language. </w:t>
      </w:r>
      <w:r>
        <w:rPr>
          <w:rFonts w:ascii="Calibri" w:hAnsi="Calibri" w:eastAsia="Calibri" w:cs="Calibri"/>
          <w:i/>
        </w:rPr>
        <w:t>Cognition, 224</w:t>
      </w:r>
      <w:r>
        <w:t xml:space="preserve">, 105070. </w:t>
      </w:r>
      <w:hyperlink r:id="rId22">
        <w:r>
          <w:rPr>
            <w:rFonts w:ascii="Calibri" w:hAnsi="Calibri" w:eastAsia="Calibri" w:cs="Calibri"/>
            <w:color w:val="2E74B5"/>
            <w:u w:val="single"/>
          </w:rPr>
          <w:t xml:space="preserve">https://doi.org/10.1016/j.cognition.2022.105070</w:t>
        </w:r>
      </w:hyperlink>
    </w:p>
    <w:p>
      <w:pPr>
        <w:widowControl/>
      </w:pPr>
      <w:r>
        <w:t xml:space="preserve">Martínez, E., Mollica, F., &amp; Gibson, E. (2023). Even lawyers do not like legalese. </w:t>
      </w:r>
      <w:r>
        <w:rPr>
          <w:rFonts w:ascii="Calibri" w:hAnsi="Calibri" w:eastAsia="Calibri" w:cs="Calibri"/>
          <w:i/>
        </w:rPr>
        <w:t>Proceedings of the National Academy of Sciences, 120</w:t>
      </w:r>
      <w:r>
        <w:t xml:space="preserve">(23), e2302672120. </w:t>
      </w:r>
      <w:hyperlink r:id="rId23">
        <w:r>
          <w:rPr>
            <w:rFonts w:ascii="Calibri" w:hAnsi="Calibri" w:eastAsia="Calibri" w:cs="Calibri"/>
            <w:color w:val="2E74B5"/>
            <w:u w:val="single"/>
          </w:rPr>
          <w:t xml:space="preserve">https://doi.org/10.1073/pnas.2302672120</w:t>
        </w:r>
      </w:hyperlink>
    </w:p>
    <w:p>
      <w:pPr>
        <w:widowControl/>
      </w:pPr>
      <w:r>
        <w:t xml:space="preserve">Sayfi, S., Charide, R., Elliott, S. A., Hartling, L., Munan, M., Stallwood, L., et al. (2024). A multimethods randomized trial found that plain language versions improved adults' understanding of health recommendations. </w:t>
      </w:r>
      <w:r>
        <w:rPr>
          <w:rFonts w:ascii="Calibri" w:hAnsi="Calibri" w:eastAsia="Calibri" w:cs="Calibri"/>
          <w:i/>
        </w:rPr>
        <w:t>Journal of Clinical Epidemiology, 165</w:t>
      </w:r>
      <w:r>
        <w:t xml:space="preserve">, 111219. </w:t>
      </w:r>
      <w:hyperlink r:id="rId24">
        <w:r>
          <w:rPr>
            <w:rFonts w:ascii="Calibri" w:hAnsi="Calibri" w:eastAsia="Calibri" w:cs="Calibri"/>
            <w:color w:val="2E74B5"/>
            <w:u w:val="single"/>
          </w:rPr>
          <w:t xml:space="preserve">https://doi.org/10.1016/j.jclinepi.2023.11.009</w:t>
        </w:r>
      </w:hyperlink>
    </w:p>
    <w:p>
      <w:pPr>
        <w:widowControl/>
      </w:pPr>
      <w:r>
        <w:t xml:space="preserve">China Disabled Persons' Federation. (2021). </w:t>
      </w:r>
      <w:r>
        <w:rPr>
          <w:rFonts w:ascii="Calibri" w:hAnsi="Calibri" w:eastAsia="Calibri" w:cs="Calibri"/>
          <w:i/>
        </w:rPr>
        <w:t>14th Five-Year Plan for the Protection and Development of Disabled People</w:t>
      </w:r>
      <w:r>
        <w:t xml:space="preserve">. </w:t>
      </w:r>
      <w:hyperlink r:id="rId25">
        <w:r>
          <w:rPr>
            <w:rFonts w:ascii="Calibri" w:hAnsi="Calibri" w:eastAsia="Calibri" w:cs="Calibri"/>
            <w:color w:val="2E74B5"/>
            <w:u w:val="single"/>
          </w:rPr>
          <w:t xml:space="preserve">https://www.cdpf.org.cn/zwgk/ghjh/af85c8a4edd744159b1a60f659a36d9b.htm</w:t>
        </w:r>
      </w:hyperlink>
    </w:p>
    <w:p>
      <w:pPr>
        <w:widowControl/>
      </w:pPr>
      <w:r>
        <w:t xml:space="preserve">Ministry of Education of the People's Republic of China. (2021). </w:t>
      </w:r>
      <w:r>
        <w:rPr>
          <w:rFonts w:ascii="Calibri" w:hAnsi="Calibri" w:eastAsia="Calibri" w:cs="Calibri"/>
          <w:i/>
        </w:rPr>
        <w:t>Overview of China's language and script situation</w:t>
      </w:r>
      <w:r>
        <w:t xml:space="preserve">. </w:t>
      </w:r>
      <w:hyperlink r:id="rId26">
        <w:r>
          <w:rPr>
            <w:rFonts w:ascii="Calibri" w:hAnsi="Calibri" w:eastAsia="Calibri" w:cs="Calibri"/>
            <w:color w:val="2E74B5"/>
            <w:u w:val="single"/>
          </w:rPr>
          <w:t xml:space="preserve">https://hudong.moe.gov.cn/jyb_sjzl/wenzi/202108/t20210827_554992.html</w:t>
        </w:r>
      </w:hyperlink>
    </w:p>
    <w:p>
      <w:pPr>
        <w:widowControl/>
      </w:pPr>
      <w:r>
        <w:t xml:space="preserve">Ministry of Education of the People's Republic of China. (2025). </w:t>
      </w:r>
      <w:r>
        <w:rPr>
          <w:rFonts w:ascii="Calibri" w:hAnsi="Calibri" w:eastAsia="Calibri" w:cs="Calibri"/>
          <w:i/>
        </w:rPr>
        <w:t>National Smart Education Public Service Platform inventory and users</w:t>
      </w:r>
      <w:r>
        <w:t xml:space="preserve">. </w:t>
      </w:r>
      <w:hyperlink r:id="rId27">
        <w:r>
          <w:rPr>
            <w:rFonts w:ascii="Calibri" w:hAnsi="Calibri" w:eastAsia="Calibri" w:cs="Calibri"/>
            <w:color w:val="2E74B5"/>
            <w:u w:val="single"/>
          </w:rPr>
          <w:t xml:space="preserve">https://www.moe.gov.cn/fbh/live/2025/77791/mtbd/202512/t20251231_1425330.html</w:t>
        </w:r>
      </w:hyperlink>
    </w:p>
    <w:p>
      <w:pPr>
        <w:widowControl/>
      </w:pPr>
      <w:r>
        <w:t xml:space="preserve">Ministry of Education of the People's Republic of China. (2026). </w:t>
      </w:r>
      <w:r>
        <w:rPr>
          <w:rFonts w:ascii="Calibri" w:hAnsi="Calibri" w:eastAsia="Calibri" w:cs="Calibri"/>
          <w:i/>
        </w:rPr>
        <w:t>2025 National Education Development Statistical Communique</w:t>
      </w:r>
      <w:r>
        <w:t xml:space="preserve">. </w:t>
      </w:r>
      <w:hyperlink r:id="rId28">
        <w:r>
          <w:rPr>
            <w:rFonts w:ascii="Calibri" w:hAnsi="Calibri" w:eastAsia="Calibri" w:cs="Calibri"/>
            <w:color w:val="2E74B5"/>
            <w:u w:val="single"/>
          </w:rPr>
          <w:t xml:space="preserve">https://www.moe.gov.cn/jyb_sjzl/sjzl_fztjgb/202607/t20260706_1442870.html</w:t>
        </w:r>
      </w:hyperlink>
    </w:p>
    <w:p>
      <w:pPr>
        <w:widowControl/>
      </w:pPr>
      <w:r>
        <w:t xml:space="preserve">National Bureau of Statistics of China. (2026a). </w:t>
      </w:r>
      <w:r>
        <w:rPr>
          <w:rFonts w:ascii="Calibri" w:hAnsi="Calibri" w:eastAsia="Calibri" w:cs="Calibri"/>
          <w:i/>
        </w:rPr>
        <w:t>Communique of the 2025 national 1 percent population sample survey</w:t>
      </w:r>
      <w:r>
        <w:t xml:space="preserve">. </w:t>
      </w:r>
      <w:hyperlink r:id="rId29">
        <w:r>
          <w:rPr>
            <w:rFonts w:ascii="Calibri" w:hAnsi="Calibri" w:eastAsia="Calibri" w:cs="Calibri"/>
            <w:color w:val="2E74B5"/>
            <w:u w:val="single"/>
          </w:rPr>
          <w:t xml:space="preserve">https://www.stats.gov.cn/english/PressRelease/202605/t20260522_1963789.html</w:t>
        </w:r>
      </w:hyperlink>
    </w:p>
    <w:p>
      <w:pPr>
        <w:widowControl/>
      </w:pPr>
      <w:r>
        <w:t xml:space="preserve">National Bureau of Statistics of China. (2026b). </w:t>
      </w:r>
      <w:r>
        <w:rPr>
          <w:rFonts w:ascii="Calibri" w:hAnsi="Calibri" w:eastAsia="Calibri" w:cs="Calibri"/>
          <w:i/>
        </w:rPr>
        <w:t>2025 National Migrant Worker Monitoring Survey Report</w:t>
      </w:r>
      <w:r>
        <w:t xml:space="preserve">. </w:t>
      </w:r>
      <w:hyperlink r:id="rId30">
        <w:r>
          <w:rPr>
            <w:rFonts w:ascii="Calibri" w:hAnsi="Calibri" w:eastAsia="Calibri" w:cs="Calibri"/>
            <w:color w:val="2E74B5"/>
            <w:u w:val="single"/>
          </w:rPr>
          <w:t xml:space="preserve">https://www.stats.gov.cn/sj/zxfb/202604/t20260430_1963472.html</w:t>
        </w:r>
      </w:hyperlink>
    </w:p>
    <w:p>
      <w:pPr>
        <w:widowControl/>
      </w:pPr>
      <w:r>
        <w:t xml:space="preserve">National Bureau of Statistics of China, UNICEF, &amp; UNFPA. (2023). </w:t>
      </w:r>
      <w:r>
        <w:rPr>
          <w:rFonts w:ascii="Calibri" w:hAnsi="Calibri" w:eastAsia="Calibri" w:cs="Calibri"/>
          <w:i/>
        </w:rPr>
        <w:t>What the 2020 Census Can Tell Us About Children in China</w:t>
      </w:r>
      <w:r>
        <w:t xml:space="preserve">. </w:t>
      </w:r>
      <w:hyperlink r:id="rId31">
        <w:r>
          <w:rPr>
            <w:rFonts w:ascii="Calibri" w:hAnsi="Calibri" w:eastAsia="Calibri" w:cs="Calibri"/>
            <w:color w:val="2E74B5"/>
            <w:u w:val="single"/>
          </w:rPr>
          <w:t xml:space="preserve">https://www.stats.gov.cn/zs/tjwh/tjkw/tjzl/202304/P020230419425666818737.pdf</w:t>
        </w:r>
      </w:hyperlink>
    </w:p>
    <w:p>
      <w:pPr>
        <w:widowControl/>
      </w:pPr>
      <w:r>
        <w:t xml:space="preserve">National Press and Publication Administration. (2026). </w:t>
      </w:r>
      <w:r>
        <w:rPr>
          <w:rFonts w:ascii="Calibri" w:hAnsi="Calibri" w:eastAsia="Calibri" w:cs="Calibri"/>
          <w:i/>
        </w:rPr>
        <w:t>Accessible reading resources for people with visual and hearing disabilities</w:t>
      </w:r>
      <w:r>
        <w:t xml:space="preserve">. </w:t>
      </w:r>
      <w:hyperlink r:id="rId32">
        <w:r>
          <w:rPr>
            <w:rFonts w:ascii="Calibri" w:hAnsi="Calibri" w:eastAsia="Calibri" w:cs="Calibri"/>
            <w:color w:val="2E74B5"/>
            <w:u w:val="single"/>
          </w:rPr>
          <w:t xml:space="preserve">https://www.nppa.gov.cn/xxfb/ywdt/202607/t20260709_998348.html</w:t>
        </w:r>
      </w:hyperlink>
    </w:p>
    <w:p>
      <w:pPr>
        <w:widowControl/>
      </w:pPr>
      <w:r>
        <w:t xml:space="preserve">Wang, et al. (2025). English academic writing needs of Chinese science and engineering academics. </w:t>
      </w:r>
      <w:r>
        <w:rPr>
          <w:rFonts w:ascii="Calibri" w:hAnsi="Calibri" w:eastAsia="Calibri" w:cs="Calibri"/>
          <w:i/>
        </w:rPr>
        <w:t>PLOS One</w:t>
      </w:r>
      <w:r>
        <w:t xml:space="preserve">. </w:t>
      </w:r>
      <w:hyperlink r:id="rId33">
        <w:r>
          <w:rPr>
            <w:rFonts w:ascii="Calibri" w:hAnsi="Calibri" w:eastAsia="Calibri" w:cs="Calibri"/>
            <w:color w:val="2E74B5"/>
            <w:u w:val="single"/>
          </w:rPr>
          <w:t xml:space="preserve">https://doi.org/10.1371/journal.pone.0324760</w:t>
        </w:r>
      </w:hyperlink>
    </w:p>
    <w:p>
      <w:pPr>
        <w:widowControl/>
      </w:pPr>
      <w:r>
        <w:t xml:space="preserve">Agence Nationale de la Statistique et de la Démographie du Sénégal. (2025). </w:t>
      </w:r>
      <w:r>
        <w:rPr>
          <w:rFonts w:ascii="Calibri" w:hAnsi="Calibri" w:eastAsia="Calibri" w:cs="Calibri"/>
          <w:i/>
        </w:rPr>
        <w:t>RGPH-5 2023, Thème II: Alphabétisation, scolarisation, niveau d’instruction et formation professionnelle</w:t>
      </w:r>
      <w:r>
        <w:t xml:space="preserve">. </w:t>
      </w:r>
      <w:hyperlink r:id="rId34">
        <w:r>
          <w:rPr>
            <w:rFonts w:ascii="Calibri" w:hAnsi="Calibri" w:eastAsia="Calibri" w:cs="Calibri"/>
            <w:color w:val="2E74B5"/>
            <w:u w:val="single"/>
          </w:rPr>
          <w:t xml:space="preserve">https://anads.ansd.sn/index.php/catalog/311/download/3095</w:t>
        </w:r>
      </w:hyperlink>
    </w:p>
    <w:p>
      <w:pPr>
        <w:widowControl/>
      </w:pPr>
      <w:r>
        <w:t xml:space="preserve">Federal Ministry of Information and National Orientation, Nigeria. (2025, November 13). </w:t>
      </w:r>
      <w:r>
        <w:rPr>
          <w:rFonts w:ascii="Calibri" w:hAnsi="Calibri" w:eastAsia="Calibri" w:cs="Calibri"/>
          <w:i/>
        </w:rPr>
        <w:t>FG reaffirms English as medium of instruction, launches inclusive language policy</w:t>
      </w:r>
      <w:r>
        <w:t xml:space="preserve">. </w:t>
      </w:r>
      <w:hyperlink r:id="rId35">
        <w:r>
          <w:rPr>
            <w:rFonts w:ascii="Calibri" w:hAnsi="Calibri" w:eastAsia="Calibri" w:cs="Calibri"/>
            <w:color w:val="2E74B5"/>
            <w:u w:val="single"/>
          </w:rPr>
          <w:t xml:space="preserve">https://fmino.gov.ng/fg-reaffirms-english-as-medium-of-instruction-launches-inclusive-language-policy-to-promote-national-unity-2/</w:t>
        </w:r>
      </w:hyperlink>
    </w:p>
    <w:p>
      <w:pPr>
        <w:widowControl/>
      </w:pPr>
      <w:r>
        <w:t xml:space="preserve">Ghana Statistical Service. (2021a). </w:t>
      </w:r>
      <w:r>
        <w:rPr>
          <w:rFonts w:ascii="Calibri" w:hAnsi="Calibri" w:eastAsia="Calibri" w:cs="Calibri"/>
          <w:i/>
        </w:rPr>
        <w:t>2021 Population and Housing Census General Report, Volume 3C: Background characteristics</w:t>
      </w:r>
      <w:r>
        <w:t xml:space="preserve">. </w:t>
      </w:r>
      <w:hyperlink r:id="rId36">
        <w:r>
          <w:rPr>
            <w:rFonts w:ascii="Calibri" w:hAnsi="Calibri" w:eastAsia="Calibri" w:cs="Calibri"/>
            <w:color w:val="2E74B5"/>
            <w:u w:val="single"/>
          </w:rPr>
          <w:t xml:space="preserve">https://census2021.statsghana.gov.gh/</w:t>
        </w:r>
      </w:hyperlink>
    </w:p>
    <w:p>
      <w:pPr>
        <w:widowControl/>
      </w:pPr>
      <w:r>
        <w:t xml:space="preserve">Ghana Statistical Service. (2021b). </w:t>
      </w:r>
      <w:r>
        <w:rPr>
          <w:rFonts w:ascii="Calibri" w:hAnsi="Calibri" w:eastAsia="Calibri" w:cs="Calibri"/>
          <w:i/>
        </w:rPr>
        <w:t>2021 Population and Housing Census General Report, Volume 3D: Literacy and education</w:t>
      </w:r>
      <w:r>
        <w:t xml:space="preserve">. </w:t>
      </w:r>
      <w:hyperlink r:id="rId36">
        <w:r>
          <w:rPr>
            <w:rFonts w:ascii="Calibri" w:hAnsi="Calibri" w:eastAsia="Calibri" w:cs="Calibri"/>
            <w:color w:val="2E74B5"/>
            <w:u w:val="single"/>
          </w:rPr>
          <w:t xml:space="preserve">https://census2021.statsghana.gov.gh/</w:t>
        </w:r>
      </w:hyperlink>
    </w:p>
    <w:p>
      <w:pPr>
        <w:widowControl/>
      </w:pPr>
      <w:r>
        <w:t xml:space="preserve">Ghana Statistical Service. (2021c). </w:t>
      </w:r>
      <w:r>
        <w:rPr>
          <w:rFonts w:ascii="Calibri" w:hAnsi="Calibri" w:eastAsia="Calibri" w:cs="Calibri"/>
          <w:i/>
        </w:rPr>
        <w:t>2021 PHC-1B questionnaire</w:t>
      </w:r>
      <w:r>
        <w:t xml:space="preserve">. </w:t>
      </w:r>
      <w:hyperlink r:id="rId36">
        <w:r>
          <w:rPr>
            <w:rFonts w:ascii="Calibri" w:hAnsi="Calibri" w:eastAsia="Calibri" w:cs="Calibri"/>
            <w:color w:val="2E74B5"/>
            <w:u w:val="single"/>
          </w:rPr>
          <w:t xml:space="preserve">https://census2021.statsghana.gov.gh/</w:t>
        </w:r>
      </w:hyperlink>
    </w:p>
    <w:p>
      <w:pPr>
        <w:widowControl/>
      </w:pPr>
      <w:r>
        <w:t xml:space="preserve">Institut National de la Statistique du Mali. (2025). </w:t>
      </w:r>
      <w:r>
        <w:rPr>
          <w:rFonts w:ascii="Calibri" w:hAnsi="Calibri" w:eastAsia="Calibri" w:cs="Calibri"/>
          <w:i/>
        </w:rPr>
        <w:t>RGPH5 2022: Scolarisation, instruction et alphabétisation</w:t>
      </w:r>
      <w:r>
        <w:t xml:space="preserve">. </w:t>
      </w:r>
      <w:hyperlink r:id="rId37">
        <w:r>
          <w:rPr>
            <w:rFonts w:ascii="Calibri" w:hAnsi="Calibri" w:eastAsia="Calibri" w:cs="Calibri"/>
            <w:color w:val="2E74B5"/>
            <w:u w:val="single"/>
          </w:rPr>
          <w:t xml:space="preserve">https://www.instat-mali.org/laravel-filemanager/files/shares/rgph/rapport-scolarisation-instruction-alphabetisation-rgph5_rgph.pdf</w:t>
        </w:r>
      </w:hyperlink>
    </w:p>
    <w:p>
      <w:pPr>
        <w:widowControl/>
      </w:pPr>
      <w:r>
        <w:t xml:space="preserve">National Bureau of Statistics of Nigeria, &amp; UNICEF. (2022). </w:t>
      </w:r>
      <w:r>
        <w:rPr>
          <w:rFonts w:ascii="Calibri" w:hAnsi="Calibri" w:eastAsia="Calibri" w:cs="Calibri"/>
          <w:i/>
        </w:rPr>
        <w:t>2021 Nigeria Multiple Indicator Cluster Survey and National Immunization Coverage Survey: Statistical snapshots report</w:t>
      </w:r>
      <w:r>
        <w:t xml:space="preserve">. </w:t>
      </w:r>
      <w:hyperlink r:id="rId38">
        <w:r>
          <w:rPr>
            <w:rFonts w:ascii="Calibri" w:hAnsi="Calibri" w:eastAsia="Calibri" w:cs="Calibri"/>
            <w:color w:val="2E74B5"/>
            <w:u w:val="single"/>
          </w:rPr>
          <w:t xml:space="preserve">https://www.nigerianstat.gov.ng/pdfuploads/2021%20MICS%20Statistical%20Snapshots%20Report.pdf</w:t>
        </w:r>
      </w:hyperlink>
    </w:p>
    <w:p>
      <w:pPr>
        <w:widowControl/>
      </w:pPr>
      <w:r>
        <w:t xml:space="preserve">Evans, L. P., &amp; Warren-Rothlin, A. (2018). </w:t>
      </w:r>
      <w:r>
        <w:rPr>
          <w:rFonts w:ascii="Calibri" w:hAnsi="Calibri" w:eastAsia="Calibri" w:cs="Calibri"/>
          <w:i/>
        </w:rPr>
        <w:t>Proposal to encode additional Arabic script characters for Hausa to the UCS</w:t>
      </w:r>
      <w:r>
        <w:t xml:space="preserve"> (Unicode L2/18-094). Unicode Consortium. </w:t>
      </w:r>
      <w:hyperlink r:id="rId39">
        <w:r>
          <w:rPr>
            <w:rFonts w:ascii="Calibri" w:hAnsi="Calibri" w:eastAsia="Calibri" w:cs="Calibri"/>
            <w:color w:val="2E74B5"/>
            <w:u w:val="single"/>
          </w:rPr>
          <w:t xml:space="preserve">https://www.unicode.org/L2/L2018/18094-arabic-hausa.pdf</w:t>
        </w:r>
      </w:hyperlink>
    </w:p>
    <w:p>
      <w:pPr>
        <w:widowControl/>
      </w:pPr>
      <w:r>
        <w:t xml:space="preserve">IFRA-Nigeria. (n.d.). </w:t>
      </w:r>
      <w:r>
        <w:rPr>
          <w:rFonts w:ascii="Calibri" w:hAnsi="Calibri" w:eastAsia="Calibri" w:cs="Calibri"/>
          <w:i/>
        </w:rPr>
        <w:t>Guide to standard Naijá orthography: An NLA harmonized writing system for common Naijá publications</w:t>
      </w:r>
      <w:r>
        <w:t xml:space="preserve">. Retrieved September 5, 2026, from </w:t>
      </w:r>
      <w:hyperlink r:id="rId40">
        <w:r>
          <w:rPr>
            <w:rFonts w:ascii="Calibri" w:hAnsi="Calibri" w:eastAsia="Calibri" w:cs="Calibri"/>
            <w:color w:val="2E74B5"/>
            <w:u w:val="single"/>
          </w:rPr>
          <w:t xml:space="preserve">https://ifra-nigeria.org/research/former-projects/89-guide-to-standard-naija-orthography-an-nla-harmonized-writing-system-for-common-naija-publications</w:t>
        </w:r>
      </w:hyperlink>
    </w:p>
    <w:p>
      <w:pPr>
        <w:widowControl/>
      </w:pPr>
      <w:r>
        <w:t xml:space="preserve">National Board for Technical Education. (n.d.). </w:t>
      </w:r>
      <w:r>
        <w:rPr>
          <w:rFonts w:ascii="Calibri" w:hAnsi="Calibri" w:eastAsia="Calibri" w:cs="Calibri"/>
          <w:i/>
        </w:rPr>
        <w:t>Digest of statistics of TVET institutions in Nigeria</w:t>
      </w:r>
      <w:r>
        <w:t xml:space="preserve">. Retrieved September 5, 2026, from </w:t>
      </w:r>
      <w:hyperlink r:id="rId41">
        <w:r>
          <w:rPr>
            <w:rFonts w:ascii="Calibri" w:hAnsi="Calibri" w:eastAsia="Calibri" w:cs="Calibri"/>
            <w:color w:val="2E74B5"/>
            <w:u w:val="single"/>
          </w:rPr>
          <w:t xml:space="preserve">https://www.nbte.gov.ng/nbte/digest%20of%20statistics</w:t>
        </w:r>
      </w:hyperlink>
    </w:p>
    <w:p>
      <w:pPr>
        <w:widowControl/>
      </w:pPr>
      <w:r>
        <w:t xml:space="preserve">Nigerian Educational Research and Development Council. (n.d.-a). </w:t>
      </w:r>
      <w:r>
        <w:rPr>
          <w:rFonts w:ascii="Calibri" w:hAnsi="Calibri" w:eastAsia="Calibri" w:cs="Calibri"/>
          <w:i/>
        </w:rPr>
        <w:t>Language Development Centre: Achievements recorded</w:t>
      </w:r>
      <w:r>
        <w:t xml:space="preserve">. Retrieved September 5, 2026, from </w:t>
      </w:r>
      <w:hyperlink r:id="rId42">
        <w:r>
          <w:rPr>
            <w:rFonts w:ascii="Calibri" w:hAnsi="Calibri" w:eastAsia="Calibri" w:cs="Calibri"/>
            <w:color w:val="2E74B5"/>
            <w:u w:val="single"/>
          </w:rPr>
          <w:t xml:space="preserve">https://www.nerdc.gov.ng/content_manager/ldc_achievements.html</w:t>
        </w:r>
      </w:hyperlink>
    </w:p>
    <w:p>
      <w:pPr>
        <w:widowControl/>
      </w:pPr>
      <w:r>
        <w:t xml:space="preserve">Nigerian Educational Research and Development Council. (n.d.-b). </w:t>
      </w:r>
      <w:r>
        <w:rPr>
          <w:rFonts w:ascii="Calibri" w:hAnsi="Calibri" w:eastAsia="Calibri" w:cs="Calibri"/>
          <w:i/>
        </w:rPr>
        <w:t>Curriculum Development Services: Scope of service and achievements</w:t>
      </w:r>
      <w:r>
        <w:t xml:space="preserve">. Retrieved September 5, 2026, from </w:t>
      </w:r>
      <w:hyperlink r:id="rId43">
        <w:r>
          <w:rPr>
            <w:rFonts w:ascii="Calibri" w:hAnsi="Calibri" w:eastAsia="Calibri" w:cs="Calibri"/>
            <w:color w:val="2E74B5"/>
            <w:u w:val="single"/>
          </w:rPr>
          <w:t xml:space="preserve">https://www.nerdc.gov.ng/content_manager/cd.html</w:t>
        </w:r>
      </w:hyperlink>
    </w:p>
    <w:p>
      <w:pPr>
        <w:widowControl/>
      </w:pPr>
      <w:r>
        <w:t xml:space="preserve">Tertiary Education Trust Fund. (n.d.). </w:t>
      </w:r>
      <w:r>
        <w:rPr>
          <w:rFonts w:ascii="Calibri" w:hAnsi="Calibri" w:eastAsia="Calibri" w:cs="Calibri"/>
          <w:i/>
        </w:rPr>
        <w:t>TERAS services</w:t>
      </w:r>
      <w:r>
        <w:t xml:space="preserve">. Retrieved September 5, 2026, from </w:t>
      </w:r>
      <w:hyperlink r:id="rId44">
        <w:r>
          <w:rPr>
            <w:rFonts w:ascii="Calibri" w:hAnsi="Calibri" w:eastAsia="Calibri" w:cs="Calibri"/>
            <w:color w:val="2E74B5"/>
            <w:u w:val="single"/>
          </w:rPr>
          <w:t xml:space="preserve">https://teras.tetfund.gov.ng/services</w:t>
        </w:r>
      </w:hyperlink>
    </w:p>
    <w:p>
      <w:pPr>
        <w:widowControl/>
      </w:pPr>
      <w:r>
        <w:t xml:space="preserve">UNICEF Nigeria. (2023). </w:t>
      </w:r>
      <w:r>
        <w:rPr>
          <w:rFonts w:ascii="Calibri" w:hAnsi="Calibri" w:eastAsia="Calibri" w:cs="Calibri"/>
          <w:i/>
        </w:rPr>
        <w:t>Nigeria education fact sheets: Analyses for learning and equity using MICS data</w:t>
      </w:r>
      <w:r>
        <w:t xml:space="preserve">. </w:t>
      </w:r>
      <w:hyperlink r:id="rId45">
        <w:r>
          <w:rPr>
            <w:rFonts w:ascii="Calibri" w:hAnsi="Calibri" w:eastAsia="Calibri" w:cs="Calibri"/>
            <w:color w:val="2E74B5"/>
            <w:u w:val="single"/>
          </w:rPr>
          <w:t xml:space="preserve">https://www.unicef.org/nigeria/media/9211/file/Nigeria%20Education%20Fact%20Sheets.pdf</w:t>
        </w:r>
      </w:hyperlink>
    </w:p>
    <w:p>
      <w:pPr>
        <w:widowControl/>
      </w:pPr>
      <w:r>
        <w:t xml:space="preserve">Universal Basic Education Commission, &amp; UNICEF. (2025). </w:t>
      </w:r>
      <w:r>
        <w:rPr>
          <w:rFonts w:ascii="Calibri" w:hAnsi="Calibri" w:eastAsia="Calibri" w:cs="Calibri"/>
          <w:i/>
        </w:rPr>
        <w:t>National Assessment of Learning Achievement in Basic Education: NALABE 2022 report</w:t>
      </w:r>
      <w:r>
        <w:t xml:space="preserve">. </w:t>
      </w:r>
      <w:hyperlink r:id="rId46">
        <w:r>
          <w:rPr>
            <w:rFonts w:ascii="Calibri" w:hAnsi="Calibri" w:eastAsia="Calibri" w:cs="Calibri"/>
            <w:color w:val="2E74B5"/>
            <w:u w:val="single"/>
          </w:rPr>
          <w:t xml:space="preserve">https://www.unicef.org/nigeria/reports/national-assessment-learning-achievement-basic-education</w:t>
        </w:r>
      </w:hyperlink>
    </w:p>
    <w:p>
      <w:pPr>
        <w:widowControl/>
      </w:pPr>
      <w:r>
        <w:t xml:space="preserve">World Bank. (2026a). </w:t>
      </w:r>
      <w:r>
        <w:rPr>
          <w:rFonts w:ascii="Calibri" w:hAnsi="Calibri" w:eastAsia="Calibri" w:cs="Calibri"/>
          <w:i/>
        </w:rPr>
        <w:t>World Development Indicators: Nigeria</w:t>
      </w:r>
      <w:r>
        <w:t xml:space="preserve"> [Data set]. Retrieved September 5, 2026, from </w:t>
      </w:r>
      <w:hyperlink r:id="rId47">
        <w:r>
          <w:rPr>
            <w:rFonts w:ascii="Calibri" w:hAnsi="Calibri" w:eastAsia="Calibri" w:cs="Calibri"/>
            <w:color w:val="2E74B5"/>
            <w:u w:val="single"/>
          </w:rPr>
          <w:t xml:space="preserve">https://data.worldbank.org/country/nigeria</w:t>
        </w:r>
      </w:hyperlink>
    </w:p>
    <w:p>
      <w:pPr>
        <w:widowControl/>
      </w:pPr>
      <w:r>
        <w:t xml:space="preserve">World Bank. (2026b). </w:t>
      </w:r>
      <w:r>
        <w:rPr>
          <w:rFonts w:ascii="Calibri" w:hAnsi="Calibri" w:eastAsia="Calibri" w:cs="Calibri"/>
          <w:i/>
        </w:rPr>
        <w:t>World Development Indicators: Pakistan</w:t>
      </w:r>
      <w:r>
        <w:t xml:space="preserve"> [Data set]. Retrieved September 5, 2026, from </w:t>
      </w:r>
      <w:hyperlink r:id="rId48">
        <w:r>
          <w:rPr>
            <w:rFonts w:ascii="Calibri" w:hAnsi="Calibri" w:eastAsia="Calibri" w:cs="Calibri"/>
            <w:color w:val="2E74B5"/>
            <w:u w:val="single"/>
          </w:rPr>
          <w:t xml:space="preserve">https://data.worldbank.org/country/pakistan</w:t>
        </w:r>
      </w:hyperlink>
    </w:p>
    <w:p>
      <w:pPr>
        <w:widowControl/>
      </w:pPr>
      <w:r>
        <w:t xml:space="preserve">World Bank. (2026c). </w:t>
      </w:r>
      <w:r>
        <w:rPr>
          <w:rFonts w:ascii="Calibri" w:hAnsi="Calibri" w:eastAsia="Calibri" w:cs="Calibri"/>
          <w:i/>
        </w:rPr>
        <w:t>World Development Indicators: Ukraine</w:t>
      </w:r>
      <w:r>
        <w:t xml:space="preserve"> [Data set]. Retrieved September 5, 2026, from </w:t>
      </w:r>
      <w:hyperlink r:id="rId49">
        <w:r>
          <w:rPr>
            <w:rFonts w:ascii="Calibri" w:hAnsi="Calibri" w:eastAsia="Calibri" w:cs="Calibri"/>
            <w:color w:val="2E74B5"/>
            <w:u w:val="single"/>
          </w:rPr>
          <w:t xml:space="preserve">https://data.worldbank.org/country/ukraine</w:t>
        </w:r>
      </w:hyperlink>
    </w:p>
    <w:p>
      <w:pPr>
        <w:widowControl/>
      </w:pPr>
      <w:r>
        <w:t xml:space="preserve">World Bank. (2026d). </w:t>
      </w:r>
      <w:r>
        <w:rPr>
          <w:rFonts w:ascii="Calibri" w:hAnsi="Calibri" w:eastAsia="Calibri" w:cs="Calibri"/>
          <w:i/>
        </w:rPr>
        <w:t>World Development Indicators: Russian Federation</w:t>
      </w:r>
      <w:r>
        <w:t xml:space="preserve"> [Data set]. Retrieved September 5, 2026, from </w:t>
      </w:r>
      <w:hyperlink r:id="rId50">
        <w:r>
          <w:rPr>
            <w:rFonts w:ascii="Calibri" w:hAnsi="Calibri" w:eastAsia="Calibri" w:cs="Calibri"/>
            <w:color w:val="2E74B5"/>
            <w:u w:val="single"/>
          </w:rPr>
          <w:t xml:space="preserve">https://data.worldbank.org/country/russian-federation</w:t>
        </w:r>
      </w:hyperlink>
    </w:p>
    <w:p>
      <w:pPr>
        <w:widowControl/>
      </w:pPr>
      <w:r>
        <w:t xml:space="preserve">OpenStax. (2026a). </w:t>
      </w:r>
      <w:r>
        <w:rPr>
          <w:rFonts w:ascii="Calibri" w:hAnsi="Calibri" w:eastAsia="Calibri" w:cs="Calibri"/>
          <w:i/>
        </w:rPr>
        <w:t>Prealgebra 2e source collection</w:t>
      </w:r>
      <w:r>
        <w:t xml:space="preserve"> (Git commit </w:t>
      </w:r>
      <w:r>
        <w:rPr>
          <w:rFonts w:ascii="Consolas" w:hAnsi="Consolas" w:eastAsia="Consolas" w:cs="Consolas"/>
          <w:color w:val="31465A"/>
          <w:sz w:val="21"/>
        </w:rPr>
        <w:t>38cae454e644abf9f0a623e876994553881597c9</w:t>
      </w:r>
      <w:r>
        <w:t xml:space="preserve">) [CNXML source]. GitHub. </w:t>
      </w:r>
      <w:hyperlink r:id="rId51">
        <w:r>
          <w:rPr>
            <w:rFonts w:ascii="Calibri" w:hAnsi="Calibri" w:eastAsia="Calibri" w:cs="Calibri"/>
            <w:color w:val="2E74B5"/>
            <w:u w:val="single"/>
          </w:rPr>
          <w:t xml:space="preserve">https://github.com/openstax/osbooks-prealgebra-bundle/tree/38cae454e644abf9f0a623e876994553881597c9</w:t>
        </w:r>
      </w:hyperlink>
    </w:p>
    <w:p>
      <w:pPr>
        <w:widowControl/>
      </w:pPr>
      <w:r>
        <w:t xml:space="preserve">OpenStax. (2026b). </w:t>
      </w:r>
      <w:r>
        <w:rPr>
          <w:rFonts w:ascii="Calibri" w:hAnsi="Calibri" w:eastAsia="Calibri" w:cs="Calibri"/>
          <w:i/>
        </w:rPr>
        <w:t>Introductory Statistics 2e source collection</w:t>
      </w:r>
      <w:r>
        <w:t xml:space="preserve"> (Git commit </w:t>
      </w:r>
      <w:r>
        <w:rPr>
          <w:rFonts w:ascii="Consolas" w:hAnsi="Consolas" w:eastAsia="Consolas" w:cs="Consolas"/>
          <w:color w:val="31465A"/>
          <w:sz w:val="21"/>
        </w:rPr>
        <w:t>1f6a35825395bb4aa2834cf1eca37512655f920c</w:t>
      </w:r>
      <w:r>
        <w:t xml:space="preserve">) [CNXML source]. GitHub. </w:t>
      </w:r>
      <w:hyperlink r:id="rId52">
        <w:r>
          <w:rPr>
            <w:rFonts w:ascii="Calibri" w:hAnsi="Calibri" w:eastAsia="Calibri" w:cs="Calibri"/>
            <w:color w:val="2E74B5"/>
            <w:u w:val="single"/>
          </w:rPr>
          <w:t xml:space="preserve">https://github.com/openstax/osbooks-introductory-statistics-bundle/tree/1f6a35825395bb4aa2834cf1eca37512655f920c</w:t>
        </w:r>
      </w:hyperlink>
    </w:p>
    <w:p>
      <w:pPr>
        <w:widowControl/>
      </w:pPr>
      <w:r>
        <w:t xml:space="preserve">OpenStax. (2026c). </w:t>
      </w:r>
      <w:r>
        <w:rPr>
          <w:rFonts w:ascii="Calibri" w:hAnsi="Calibri" w:eastAsia="Calibri" w:cs="Calibri"/>
          <w:i/>
        </w:rPr>
        <w:t>Biology 2e source collection</w:t>
      </w:r>
      <w:r>
        <w:t xml:space="preserve"> (Git commit </w:t>
      </w:r>
      <w:r>
        <w:rPr>
          <w:rFonts w:ascii="Consolas" w:hAnsi="Consolas" w:eastAsia="Consolas" w:cs="Consolas"/>
          <w:color w:val="31465A"/>
          <w:sz w:val="21"/>
        </w:rPr>
        <w:t>63f8b6f8d129dd1582989bb755011e9a6d523471</w:t>
      </w:r>
      <w:r>
        <w:t xml:space="preserve">) [CNXML source]. GitHub. </w:t>
      </w:r>
      <w:hyperlink r:id="rId53">
        <w:r>
          <w:rPr>
            <w:rFonts w:ascii="Calibri" w:hAnsi="Calibri" w:eastAsia="Calibri" w:cs="Calibri"/>
            <w:color w:val="2E74B5"/>
            <w:u w:val="single"/>
          </w:rPr>
          <w:t xml:space="preserve">https://github.com/openstax/osbooks-biology-bundle/tree/63f8b6f8d129dd1582989bb755011e9a6d523471</w:t>
        </w:r>
      </w:hyperlink>
    </w:p>
    <w:p>
      <w:pPr>
        <w:widowControl/>
      </w:pPr>
      <w:r>
        <w:t xml:space="preserve">OpenStax. (2026d). </w:t>
      </w:r>
      <w:r>
        <w:rPr>
          <w:rFonts w:ascii="Calibri" w:hAnsi="Calibri" w:eastAsia="Calibri" w:cs="Calibri"/>
          <w:i/>
        </w:rPr>
        <w:t>Chemistry 2e source collection</w:t>
      </w:r>
      <w:r>
        <w:t xml:space="preserve"> (Git commit </w:t>
      </w:r>
      <w:r>
        <w:rPr>
          <w:rFonts w:ascii="Consolas" w:hAnsi="Consolas" w:eastAsia="Consolas" w:cs="Consolas"/>
          <w:color w:val="31465A"/>
          <w:sz w:val="21"/>
        </w:rPr>
        <w:t>3be4b60ff501f29a445f0cacf003e5f5cc16244d</w:t>
      </w:r>
      <w:r>
        <w:t xml:space="preserve">) [CNXML source]. GitHub. </w:t>
      </w:r>
      <w:hyperlink r:id="rId54">
        <w:r>
          <w:rPr>
            <w:rFonts w:ascii="Calibri" w:hAnsi="Calibri" w:eastAsia="Calibri" w:cs="Calibri"/>
            <w:color w:val="2E74B5"/>
            <w:u w:val="single"/>
          </w:rPr>
          <w:t xml:space="preserve">https://github.com/openstax/osbooks-chemistry-bundle/tree/3be4b60ff501f29a445f0cacf003e5f5cc16244d</w:t>
        </w:r>
      </w:hyperlink>
    </w:p>
    <w:p>
      <w:pPr>
        <w:widowControl/>
      </w:pPr>
      <w:r>
        <w:t xml:space="preserve">OpenStax. (2026e). </w:t>
      </w:r>
      <w:r>
        <w:rPr>
          <w:rFonts w:ascii="Calibri" w:hAnsi="Calibri" w:eastAsia="Calibri" w:cs="Calibri"/>
          <w:i/>
        </w:rPr>
        <w:t>College Physics 2e source collection</w:t>
      </w:r>
      <w:r>
        <w:t xml:space="preserve"> (Git commit </w:t>
      </w:r>
      <w:r>
        <w:rPr>
          <w:rFonts w:ascii="Consolas" w:hAnsi="Consolas" w:eastAsia="Consolas" w:cs="Consolas"/>
          <w:color w:val="31465A"/>
          <w:sz w:val="21"/>
        </w:rPr>
        <w:t>fd1b25dfd5d8c6580c6e2b2b34a19e29cc69ada9</w:t>
      </w:r>
      <w:r>
        <w:t xml:space="preserve">) [CNXML source]. GitHub. </w:t>
      </w:r>
      <w:hyperlink r:id="rId55">
        <w:r>
          <w:rPr>
            <w:rFonts w:ascii="Calibri" w:hAnsi="Calibri" w:eastAsia="Calibri" w:cs="Calibri"/>
            <w:color w:val="2E74B5"/>
            <w:u w:val="single"/>
          </w:rPr>
          <w:t xml:space="preserve">https://github.com/openstax/osbooks-college-physics-bundle/tree/fd1b25dfd5d8c6580c6e2b2b34a19e29cc69ada9</w:t>
        </w:r>
      </w:hyperlink>
    </w:p>
    <w:p>
      <w:pPr>
        <w:widowControl/>
      </w:pPr>
      <w:r>
        <w:t xml:space="preserve">OpenStax. (2026f). </w:t>
      </w:r>
      <w:r>
        <w:rPr>
          <w:rFonts w:ascii="Calibri" w:hAnsi="Calibri" w:eastAsia="Calibri" w:cs="Calibri"/>
          <w:i/>
        </w:rPr>
        <w:t>Principles of Management source collection</w:t>
      </w:r>
      <w:r>
        <w:t xml:space="preserve"> (Git commit </w:t>
      </w:r>
      <w:r>
        <w:rPr>
          <w:rFonts w:ascii="Consolas" w:hAnsi="Consolas" w:eastAsia="Consolas" w:cs="Consolas"/>
          <w:color w:val="31465A"/>
          <w:sz w:val="21"/>
        </w:rPr>
        <w:t>f2b749648a176dbe114dbc4e35ec20c030be4713</w:t>
      </w:r>
      <w:r>
        <w:t xml:space="preserve">) [CNXML source]. GitHub. </w:t>
      </w:r>
      <w:hyperlink r:id="rId56">
        <w:r>
          <w:rPr>
            <w:rFonts w:ascii="Calibri" w:hAnsi="Calibri" w:eastAsia="Calibri" w:cs="Calibri"/>
            <w:color w:val="2E74B5"/>
            <w:u w:val="single"/>
          </w:rPr>
          <w:t xml:space="preserve">https://github.com/openstax/osbooks-principles-of-management-bundle/tree/f2b749648a176dbe114dbc4e35ec20c030be4713</w:t>
        </w:r>
      </w:hyperlink>
    </w:p>
    <w:p>
      <w:pPr>
        <w:widowControl/>
      </w:pPr>
      <w:r>
        <w:t xml:space="preserve">OpenStax. (2026g). </w:t>
      </w:r>
      <w:r>
        <w:rPr>
          <w:rFonts w:ascii="Calibri" w:hAnsi="Calibri" w:eastAsia="Calibri" w:cs="Calibri"/>
          <w:i/>
        </w:rPr>
        <w:t>Principles of Finance 2e source collection</w:t>
      </w:r>
      <w:r>
        <w:t xml:space="preserve"> (Git commit </w:t>
      </w:r>
      <w:r>
        <w:rPr>
          <w:rFonts w:ascii="Consolas" w:hAnsi="Consolas" w:eastAsia="Consolas" w:cs="Consolas"/>
          <w:color w:val="31465A"/>
          <w:sz w:val="21"/>
        </w:rPr>
        <w:t>e3e5135ae36e21282d7afb4cccd5ce09f421d830</w:t>
      </w:r>
      <w:r>
        <w:t xml:space="preserve">) [CNXML source]. GitHub. </w:t>
      </w:r>
      <w:hyperlink r:id="rId57">
        <w:r>
          <w:rPr>
            <w:rFonts w:ascii="Calibri" w:hAnsi="Calibri" w:eastAsia="Calibri" w:cs="Calibri"/>
            <w:color w:val="2E74B5"/>
            <w:u w:val="single"/>
          </w:rPr>
          <w:t xml:space="preserve">https://github.com/openstax/osbooks-principles-finance/tree/e3e5135ae36e21282d7afb4cccd5ce09f421d830</w:t>
        </w:r>
      </w:hyperlink>
    </w:p>
    <w:p>
      <w:pPr>
        <w:widowControl/>
      </w:pPr>
      <w:r>
        <w:t xml:space="preserve">OpenStax. (2026h). </w:t>
      </w:r>
      <w:r>
        <w:rPr>
          <w:rFonts w:ascii="Calibri" w:hAnsi="Calibri" w:eastAsia="Calibri" w:cs="Calibri"/>
          <w:i/>
        </w:rPr>
        <w:t>Anatomy and Physiology 2e source collection</w:t>
      </w:r>
      <w:r>
        <w:t xml:space="preserve"> (Git commit </w:t>
      </w:r>
      <w:r>
        <w:rPr>
          <w:rFonts w:ascii="Consolas" w:hAnsi="Consolas" w:eastAsia="Consolas" w:cs="Consolas"/>
          <w:color w:val="31465A"/>
          <w:sz w:val="21"/>
        </w:rPr>
        <w:t>716383a4c6c16037b14d75a156c65145e75e895e</w:t>
      </w:r>
      <w:r>
        <w:t xml:space="preserve">) [CNXML source]. GitHub. </w:t>
      </w:r>
      <w:hyperlink r:id="rId58">
        <w:r>
          <w:rPr>
            <w:rFonts w:ascii="Calibri" w:hAnsi="Calibri" w:eastAsia="Calibri" w:cs="Calibri"/>
            <w:color w:val="2E74B5"/>
            <w:u w:val="single"/>
          </w:rPr>
          <w:t xml:space="preserve">https://github.com/openstax/osbooks-anatomy-physiology/tree/716383a4c6c16037b14d75a156c65145e75e895e</w:t>
        </w:r>
      </w:hyperlink>
    </w:p>
    <w:p>
      <w:pPr>
        <w:widowControl/>
      </w:pPr>
      <w:r>
        <w:t xml:space="preserve">OpenStax. (2026i). </w:t>
      </w:r>
      <w:r>
        <w:rPr>
          <w:rFonts w:ascii="Calibri" w:hAnsi="Calibri" w:eastAsia="Calibri" w:cs="Calibri"/>
          <w:i/>
        </w:rPr>
        <w:t>Introduction to Python Programming source collection</w:t>
      </w:r>
      <w:r>
        <w:t xml:space="preserve"> (Git commit </w:t>
      </w:r>
      <w:r>
        <w:rPr>
          <w:rFonts w:ascii="Consolas" w:hAnsi="Consolas" w:eastAsia="Consolas" w:cs="Consolas"/>
          <w:color w:val="31465A"/>
          <w:sz w:val="21"/>
        </w:rPr>
        <w:t>d215dd3b99c33db855c49315152ebd5fbadc8534</w:t>
      </w:r>
      <w:r>
        <w:t xml:space="preserve">) [CNXML source]. GitHub. </w:t>
      </w:r>
      <w:hyperlink r:id="rId59">
        <w:r>
          <w:rPr>
            <w:rFonts w:ascii="Calibri" w:hAnsi="Calibri" w:eastAsia="Calibri" w:cs="Calibri"/>
            <w:color w:val="2E74B5"/>
            <w:u w:val="single"/>
          </w:rPr>
          <w:t xml:space="preserve">https://github.com/openstax/osbooks-introduction-python-programming/tree/d215dd3b99c33db855c49315152ebd5fbadc8534</w:t>
        </w:r>
      </w:hyperlink>
    </w:p>
    <w:p>
      <w:pPr>
        <w:widowControl/>
      </w:pPr>
      <w:r>
        <w:t xml:space="preserve">Houston Independent School District. (2022). </w:t>
      </w:r>
      <w:r>
        <w:rPr>
          <w:rFonts w:ascii="Calibri" w:hAnsi="Calibri" w:eastAsia="Calibri" w:cs="Calibri"/>
          <w:i/>
        </w:rPr>
        <w:t>Immigrant student program evaluation report 2021-2022</w:t>
      </w:r>
      <w:r>
        <w:t xml:space="preserve">. </w:t>
      </w:r>
      <w:hyperlink r:id="rId60">
        <w:r>
          <w:rPr>
            <w:rFonts w:ascii="Calibri" w:hAnsi="Calibri" w:eastAsia="Calibri" w:cs="Calibri"/>
            <w:color w:val="2E74B5"/>
            <w:u w:val="single"/>
          </w:rPr>
          <w:t xml:space="preserve">https://www.houstonisd.org/fs/resource-manager/view/a76fe050-7086-4b96-9bdc-540738502595</w:t>
        </w:r>
      </w:hyperlink>
    </w:p>
    <w:p>
      <w:pPr>
        <w:widowControl/>
      </w:pPr>
      <w:r>
        <w:t xml:space="preserve">Houston Independent School District. (n.d.-a). </w:t>
      </w:r>
      <w:r>
        <w:rPr>
          <w:rFonts w:ascii="Calibri" w:hAnsi="Calibri" w:eastAsia="Calibri" w:cs="Calibri"/>
          <w:i/>
        </w:rPr>
        <w:t>Multilingual program models</w:t>
      </w:r>
      <w:r>
        <w:t xml:space="preserve">. Retrieved September 5, 2026, from </w:t>
      </w:r>
      <w:hyperlink r:id="rId61">
        <w:r>
          <w:rPr>
            <w:rFonts w:ascii="Calibri" w:hAnsi="Calibri" w:eastAsia="Calibri" w:cs="Calibri"/>
            <w:color w:val="2E74B5"/>
            <w:u w:val="single"/>
          </w:rPr>
          <w:t xml:space="preserve">https://www.houstonisd.org/schools-academics/academics/multilingual/multilingual-program-models</w:t>
        </w:r>
      </w:hyperlink>
    </w:p>
    <w:p>
      <w:pPr>
        <w:widowControl/>
      </w:pPr>
      <w:r>
        <w:t xml:space="preserve">Houston Independent School District. (n.d.-b). </w:t>
      </w:r>
      <w:r>
        <w:rPr>
          <w:rFonts w:ascii="Calibri" w:hAnsi="Calibri" w:eastAsia="Calibri" w:cs="Calibri"/>
          <w:i/>
        </w:rPr>
        <w:t>Testing &amp; identification</w:t>
      </w:r>
      <w:r>
        <w:t xml:space="preserve">. Retrieved September 5, 2026, from </w:t>
      </w:r>
      <w:hyperlink r:id="rId62">
        <w:r>
          <w:rPr>
            <w:rFonts w:ascii="Calibri" w:hAnsi="Calibri" w:eastAsia="Calibri" w:cs="Calibri"/>
            <w:color w:val="2E74B5"/>
            <w:u w:val="single"/>
          </w:rPr>
          <w:t xml:space="preserve">https://www.houstonisd.org/schools-academics/academics/multilingual/testing-identification</w:t>
        </w:r>
      </w:hyperlink>
    </w:p>
    <w:p>
      <w:pPr>
        <w:widowControl/>
      </w:pPr>
      <w:r>
        <w:t xml:space="preserve">Texas Education Agency. (n.d.-a). </w:t>
      </w:r>
      <w:r>
        <w:rPr>
          <w:rFonts w:ascii="Calibri" w:hAnsi="Calibri" w:eastAsia="Calibri" w:cs="Calibri"/>
          <w:i/>
        </w:rPr>
        <w:t>Bluebonnet Learning: K-5 math and secondary mathematics</w:t>
      </w:r>
      <w:r>
        <w:t xml:space="preserve">. Retrieved September 5, 2026, from </w:t>
      </w:r>
      <w:hyperlink r:id="rId63">
        <w:r>
          <w:rPr>
            <w:rFonts w:ascii="Calibri" w:hAnsi="Calibri" w:eastAsia="Calibri" w:cs="Calibri"/>
            <w:color w:val="2E74B5"/>
            <w:u w:val="single"/>
          </w:rPr>
          <w:t xml:space="preserve">https://tea.texas.gov/curriculum-and-instruction/instructional-materials/bluebonnet-learning/bluebonnet-learning-k-5-math-and-secondary-mathematics</w:t>
        </w:r>
      </w:hyperlink>
    </w:p>
    <w:p>
      <w:pPr>
        <w:widowControl/>
      </w:pPr>
      <w:r>
        <w:t xml:space="preserve">Texas Education Agency. (n.d.-b). </w:t>
      </w:r>
      <w:r>
        <w:rPr>
          <w:rFonts w:ascii="Calibri" w:hAnsi="Calibri" w:eastAsia="Calibri" w:cs="Calibri"/>
          <w:i/>
        </w:rPr>
        <w:t>Texas Essential Knowledge and Skills in Spanish</w:t>
      </w:r>
      <w:r>
        <w:t xml:space="preserve">. Retrieved September 5, 2026, from </w:t>
      </w:r>
      <w:hyperlink r:id="rId64">
        <w:r>
          <w:rPr>
            <w:rFonts w:ascii="Calibri" w:hAnsi="Calibri" w:eastAsia="Calibri" w:cs="Calibri"/>
            <w:color w:val="2E74B5"/>
            <w:u w:val="single"/>
          </w:rPr>
          <w:t xml:space="preserve">https://tea.texas.gov/laws-and-rules/state-board-education/teks/texas-essential-knowledge-and-skills-spanish</w:t>
        </w:r>
      </w:hyperlink>
    </w:p>
    <w:p>
      <w:pPr>
        <w:widowControl/>
      </w:pPr>
      <w:r>
        <w:t xml:space="preserve">Wharton K-8 Dual Language Academy. (n.d.). </w:t>
      </w:r>
      <w:r>
        <w:rPr>
          <w:rFonts w:ascii="Calibri" w:hAnsi="Calibri" w:eastAsia="Calibri" w:cs="Calibri"/>
          <w:i/>
        </w:rPr>
        <w:t>Academic offerings</w:t>
      </w:r>
      <w:r>
        <w:t xml:space="preserve">. Retrieved September 5, 2026, from </w:t>
      </w:r>
      <w:hyperlink r:id="rId65">
        <w:r>
          <w:rPr>
            <w:rFonts w:ascii="Calibri" w:hAnsi="Calibri" w:eastAsia="Calibri" w:cs="Calibri"/>
            <w:color w:val="2E74B5"/>
            <w:u w:val="single"/>
          </w:rPr>
          <w:t xml:space="preserve">https://wharton.houstonisd.org/academics-programs/academic-offerings</w:t>
        </w:r>
      </w:hyperlink>
    </w:p>
    <w:p>
      <w:pPr>
        <w:widowControl/>
      </w:pPr>
      <w:r>
        <w:t xml:space="preserve">World Bank. (n.d.). </w:t>
      </w:r>
      <w:r>
        <w:rPr>
          <w:rFonts w:ascii="Calibri" w:hAnsi="Calibri" w:eastAsia="Calibri" w:cs="Calibri"/>
          <w:i/>
        </w:rPr>
        <w:t>Fostering foundational skills in Thailand: From a skills crisis to a learning society</w:t>
      </w:r>
      <w:r>
        <w:t xml:space="preserve">. </w:t>
      </w:r>
      <w:hyperlink r:id="rId66">
        <w:r>
          <w:rPr>
            <w:rFonts w:ascii="Calibri" w:hAnsi="Calibri" w:eastAsia="Calibri" w:cs="Calibri"/>
            <w:color w:val="2E74B5"/>
            <w:u w:val="single"/>
          </w:rPr>
          <w:t xml:space="preserve">https://www.worldbank.org/en/country/thailand/publication/fostering-foundational-skills-in-thailand</w:t>
        </w:r>
      </w:hyperlink>
    </w:p>
    <w:p>
      <w:pPr>
        <w:widowControl/>
      </w:pPr>
      <w:r>
        <w:t xml:space="preserve">UNICEF Myanmar. (n.d.). </w:t>
      </w:r>
      <w:r>
        <w:rPr>
          <w:rFonts w:ascii="Calibri" w:hAnsi="Calibri" w:eastAsia="Calibri" w:cs="Calibri"/>
          <w:i/>
        </w:rPr>
        <w:t>Learning</w:t>
      </w:r>
      <w:r>
        <w:t xml:space="preserve">. Retrieved September 4, 2026, from </w:t>
      </w:r>
      <w:hyperlink r:id="rId67">
        <w:r>
          <w:rPr>
            <w:rFonts w:ascii="Calibri" w:hAnsi="Calibri" w:eastAsia="Calibri" w:cs="Calibri"/>
            <w:color w:val="2E74B5"/>
            <w:u w:val="single"/>
          </w:rPr>
          <w:t xml:space="preserve">https://www.unicef.org/myanmar/learning</w:t>
        </w:r>
      </w:hyperlink>
    </w:p>
    <w:p>
      <w:pPr>
        <w:widowControl/>
      </w:pPr>
      <w:r>
        <w:t xml:space="preserve">Universidad Nacional Autónoma de México. (n.d.). </w:t>
      </w:r>
      <w:r>
        <w:rPr>
          <w:rFonts w:ascii="Calibri" w:hAnsi="Calibri" w:eastAsia="Calibri" w:cs="Calibri"/>
          <w:i/>
        </w:rPr>
        <w:t>MOOC UNAM: Catálogo de cursos</w:t>
      </w:r>
      <w:r>
        <w:t xml:space="preserve">. Retrieved September 4, 2026, from </w:t>
      </w:r>
      <w:hyperlink r:id="rId68">
        <w:r>
          <w:rPr>
            <w:rFonts w:ascii="Calibri" w:hAnsi="Calibri" w:eastAsia="Calibri" w:cs="Calibri"/>
            <w:color w:val="2E74B5"/>
            <w:u w:val="single"/>
          </w:rPr>
          <w:t xml:space="preserve">https://mooc.unam.mx/</w:t>
        </w:r>
      </w:hyperlink>
    </w:p>
    <w:p>
      <w:pPr>
        <w:widowControl/>
      </w:pPr>
      <w:r>
        <w:t xml:space="preserve">Badan Pusat Statistik. (2022a). </w:t>
      </w:r>
      <w:r>
        <w:rPr>
          <w:rFonts w:ascii="Calibri" w:hAnsi="Calibri" w:eastAsia="Calibri" w:cs="Calibri"/>
          <w:i/>
        </w:rPr>
        <w:t>Kemampuan berbahasa Indonesia: Long Form SP2020 tables</w:t>
      </w:r>
      <w:r>
        <w:t xml:space="preserve">. </w:t>
      </w:r>
      <w:hyperlink r:id="rId69">
        <w:r>
          <w:rPr>
            <w:rFonts w:ascii="Calibri" w:hAnsi="Calibri" w:eastAsia="Calibri" w:cs="Calibri"/>
            <w:color w:val="2E74B5"/>
            <w:u w:val="single"/>
          </w:rPr>
          <w:t xml:space="preserve">https://sensus.bps.go.id/topik/tabular/sp2022/196/1/0</w:t>
        </w:r>
      </w:hyperlink>
    </w:p>
    <w:p>
      <w:pPr>
        <w:widowControl/>
      </w:pPr>
      <w:r>
        <w:t xml:space="preserve">Badan Pusat Statistik. (2022b). </w:t>
      </w:r>
      <w:r>
        <w:rPr>
          <w:rFonts w:ascii="Calibri" w:hAnsi="Calibri" w:eastAsia="Calibri" w:cs="Calibri"/>
          <w:i/>
        </w:rPr>
        <w:t>Bahasa pertama: Long Form SP2020 tables</w:t>
      </w:r>
      <w:r>
        <w:t xml:space="preserve">. </w:t>
      </w:r>
      <w:hyperlink r:id="rId70">
        <w:r>
          <w:rPr>
            <w:rFonts w:ascii="Calibri" w:hAnsi="Calibri" w:eastAsia="Calibri" w:cs="Calibri"/>
            <w:color w:val="2E74B5"/>
            <w:u w:val="single"/>
          </w:rPr>
          <w:t xml:space="preserve">https://sensus.bps.go.id/topik/tabular/sp2022/197/0/0</w:t>
        </w:r>
      </w:hyperlink>
    </w:p>
    <w:p>
      <w:pPr>
        <w:widowControl/>
      </w:pPr>
      <w:r>
        <w:t xml:space="preserve">Badan Pemeriksa Keuangan. (2003). </w:t>
      </w:r>
      <w:r>
        <w:rPr>
          <w:rFonts w:ascii="Calibri" w:hAnsi="Calibri" w:eastAsia="Calibri" w:cs="Calibri"/>
          <w:i/>
        </w:rPr>
        <w:t>Undang-Undang Republik Indonesia Nomor 20 Tahun 2003 tentang Sistem Pendidikan Nasional</w:t>
      </w:r>
      <w:r>
        <w:t xml:space="preserve">. </w:t>
      </w:r>
      <w:hyperlink r:id="rId71">
        <w:r>
          <w:rPr>
            <w:rFonts w:ascii="Calibri" w:hAnsi="Calibri" w:eastAsia="Calibri" w:cs="Calibri"/>
            <w:color w:val="2E74B5"/>
            <w:u w:val="single"/>
          </w:rPr>
          <w:t xml:space="preserve">https://peraturan.bpk.go.id/Download/32160/UU%20Nomor%2020%20Tahun%202003.pdf</w:t>
        </w:r>
      </w:hyperlink>
    </w:p>
    <w:p>
      <w:pPr>
        <w:widowControl/>
      </w:pPr>
      <w:r>
        <w:t xml:space="preserve">Badan Pusat Statistik. (2025). </w:t>
      </w:r>
      <w:r>
        <w:rPr>
          <w:rFonts w:ascii="Calibri" w:hAnsi="Calibri" w:eastAsia="Calibri" w:cs="Calibri"/>
          <w:i/>
        </w:rPr>
        <w:t>Telecommunication statistics in Indonesia 2024</w:t>
      </w:r>
      <w:r>
        <w:t xml:space="preserve">. </w:t>
      </w:r>
      <w:hyperlink r:id="rId72">
        <w:r>
          <w:rPr>
            <w:rFonts w:ascii="Calibri" w:hAnsi="Calibri" w:eastAsia="Calibri" w:cs="Calibri"/>
            <w:color w:val="2E74B5"/>
            <w:u w:val="single"/>
          </w:rPr>
          <w:t xml:space="preserve">https://www.bps.go.id/id/publication/2025/08/29/beaa2be400eda6ce6c636ef8/telecommunication-statistics-in-indonesia-2024.html</w:t>
        </w:r>
      </w:hyperlink>
    </w:p>
    <w:p>
      <w:pPr>
        <w:widowControl/>
      </w:pPr>
      <w:r>
        <w:t xml:space="preserve">Kementerian Pendidikan Dasar dan Menengah. (n.d.). </w:t>
      </w:r>
      <w:r>
        <w:rPr>
          <w:rFonts w:ascii="Calibri" w:hAnsi="Calibri" w:eastAsia="Calibri" w:cs="Calibri"/>
          <w:i/>
        </w:rPr>
        <w:t>Sistem Informasi Perbukuan Indonesia: Katalog buku</w:t>
      </w:r>
      <w:r>
        <w:t xml:space="preserve">. Retrieved September 5, 2026, from </w:t>
      </w:r>
      <w:hyperlink r:id="rId73">
        <w:r>
          <w:rPr>
            <w:rFonts w:ascii="Calibri" w:hAnsi="Calibri" w:eastAsia="Calibri" w:cs="Calibri"/>
            <w:color w:val="2E74B5"/>
            <w:u w:val="single"/>
          </w:rPr>
          <w:t xml:space="preserve">https://buku.kemendikdasmen.go.id/katalog</w:t>
        </w:r>
      </w:hyperlink>
    </w:p>
    <w:p>
      <w:pPr>
        <w:widowControl/>
      </w:pPr>
      <w:r>
        <w:t xml:space="preserve">Pusat Standar dan Kebijakan Pendidikan. (2023). </w:t>
      </w:r>
      <w:r>
        <w:rPr>
          <w:rFonts w:ascii="Calibri" w:hAnsi="Calibri" w:eastAsia="Calibri" w:cs="Calibri"/>
          <w:i/>
        </w:rPr>
        <w:t>Optimising the use of local languages in early grades</w:t>
      </w:r>
      <w:r>
        <w:t xml:space="preserve"> (Policy Brief No. 1). </w:t>
      </w:r>
      <w:hyperlink r:id="rId74">
        <w:r>
          <w:rPr>
            <w:rFonts w:ascii="Calibri" w:hAnsi="Calibri" w:eastAsia="Calibri" w:cs="Calibri"/>
            <w:color w:val="2E74B5"/>
            <w:u w:val="single"/>
          </w:rPr>
          <w:t xml:space="preserve">https://pskp.kemendikdasmen.go.id/assets_front/images/produk/1-gtk/kebijakan/Policy_Brief-Optimising_the_Use_of_Local_Languages_in_Early_Grades_FIN_%281%29.pdf</w:t>
        </w:r>
      </w:hyperlink>
    </w:p>
    <w:p>
      <w:pPr>
        <w:widowControl/>
      </w:pPr>
      <w:r>
        <w:t xml:space="preserve">Bangladesh Open University. (n.d.). </w:t>
      </w:r>
      <w:r>
        <w:rPr>
          <w:rFonts w:ascii="Calibri" w:hAnsi="Calibri" w:eastAsia="Calibri" w:cs="Calibri"/>
          <w:i/>
        </w:rPr>
        <w:t>BBA course materials, third-level course contents</w:t>
      </w:r>
      <w:r>
        <w:t xml:space="preserve">. </w:t>
      </w:r>
      <w:hyperlink r:id="rId75">
        <w:r>
          <w:rPr>
            <w:rFonts w:ascii="Calibri" w:hAnsi="Calibri" w:eastAsia="Calibri" w:cs="Calibri"/>
            <w:color w:val="2E74B5"/>
            <w:u w:val="single"/>
          </w:rPr>
          <w:t xml:space="preserve">https://www.ebookbou.edu.bd/wp/OS/osbba3_1.php</w:t>
        </w:r>
      </w:hyperlink>
    </w:p>
    <w:p>
      <w:pPr>
        <w:widowControl/>
      </w:pPr>
      <w:r>
        <w:t xml:space="preserve">Bangladesh Bureau of Educational Information and Statistics. (2026). </w:t>
      </w:r>
      <w:r>
        <w:rPr>
          <w:rFonts w:ascii="Calibri" w:hAnsi="Calibri" w:eastAsia="Calibri" w:cs="Calibri"/>
          <w:i/>
        </w:rPr>
        <w:t>Bangladesh education statistics 2024</w:t>
      </w:r>
      <w:r>
        <w:t xml:space="preserve">. </w:t>
      </w:r>
      <w:hyperlink r:id="rId76">
        <w:r>
          <w:rPr>
            <w:rFonts w:ascii="Calibri" w:hAnsi="Calibri" w:eastAsia="Calibri" w:cs="Calibri"/>
            <w:color w:val="2E74B5"/>
            <w:u w:val="single"/>
          </w:rPr>
          <w:t xml:space="preserve">https://banbeis.gov.bd/pages/static-pages/6a338d7fcb6cb358ff185b6c</w:t>
        </w:r>
      </w:hyperlink>
    </w:p>
    <w:p>
      <w:pPr>
        <w:widowControl/>
      </w:pPr>
      <w:r>
        <w:t xml:space="preserve">Bangladesh Bureau of Statistics. (2026). </w:t>
      </w:r>
      <w:r>
        <w:rPr>
          <w:rFonts w:ascii="Calibri" w:hAnsi="Calibri" w:eastAsia="Calibri" w:cs="Calibri"/>
          <w:i/>
        </w:rPr>
        <w:t>ICT access and use by households and individuals survey 2024-25</w:t>
      </w:r>
      <w:r>
        <w:t xml:space="preserve">. </w:t>
      </w:r>
      <w:hyperlink r:id="rId77">
        <w:r>
          <w:rPr>
            <w:rFonts w:ascii="Calibri" w:hAnsi="Calibri" w:eastAsia="Calibri" w:cs="Calibri"/>
            <w:color w:val="2E74B5"/>
            <w:u w:val="single"/>
          </w:rPr>
          <w:t xml:space="preserve">https://bbs.gov.bd/pages/files/6a609418b859b8767ff841e0</w:t>
        </w:r>
      </w:hyperlink>
    </w:p>
    <w:p>
      <w:pPr>
        <w:widowControl/>
      </w:pPr>
      <w:r>
        <w:t xml:space="preserve">Islam, M. T., Hasan, M. K., &amp; Akhand, M. M. (2025). Challenges in English-medium instruction classes among engineering major students at Bangladeshi private universities. </w:t>
      </w:r>
      <w:r>
        <w:rPr>
          <w:rFonts w:ascii="Calibri" w:hAnsi="Calibri" w:eastAsia="Calibri" w:cs="Calibri"/>
          <w:i/>
        </w:rPr>
        <w:t>Studies in English Language and Education, 12</w:t>
      </w:r>
      <w:r>
        <w:t xml:space="preserve">(1), 285-300. </w:t>
      </w:r>
      <w:hyperlink r:id="rId78">
        <w:r>
          <w:rPr>
            <w:rFonts w:ascii="Calibri" w:hAnsi="Calibri" w:eastAsia="Calibri" w:cs="Calibri"/>
            <w:color w:val="2E74B5"/>
            <w:u w:val="single"/>
          </w:rPr>
          <w:t xml:space="preserve">https://doi.org/10.24815/siele.v12i1.38407</w:t>
        </w:r>
      </w:hyperlink>
    </w:p>
    <w:p>
      <w:pPr>
        <w:widowControl/>
      </w:pPr>
      <w:r>
        <w:t xml:space="preserve">Karim, A., Kabilan, M. K., Ahmed, Z., Reshmin, L., &amp; Rahman, M. M. (2023). The medium of instruction in Bangladeshi higher education institutions: Bangla, English, or both? </w:t>
      </w:r>
      <w:r>
        <w:rPr>
          <w:rFonts w:ascii="Calibri" w:hAnsi="Calibri" w:eastAsia="Calibri" w:cs="Calibri"/>
          <w:i/>
        </w:rPr>
        <w:t>Journal of Language, Identity &amp; Education, 22</w:t>
      </w:r>
      <w:r>
        <w:t xml:space="preserve">(3), 232-246. </w:t>
      </w:r>
      <w:hyperlink r:id="rId79">
        <w:r>
          <w:rPr>
            <w:rFonts w:ascii="Calibri" w:hAnsi="Calibri" w:eastAsia="Calibri" w:cs="Calibri"/>
            <w:color w:val="2E74B5"/>
            <w:u w:val="single"/>
          </w:rPr>
          <w:t xml:space="preserve">https://doi.org/10.1080/15348458.2020.1871353</w:t>
        </w:r>
      </w:hyperlink>
    </w:p>
    <w:p>
      <w:pPr>
        <w:widowControl/>
      </w:pPr>
      <w:r>
        <w:t xml:space="preserve">Sultana, S., &amp; Fang, F. (2024). English as the medium of instruction and mother-tongue-based translanguaging: Challenges and prospects for tertiary education in Bangladesh and China. </w:t>
      </w:r>
      <w:r>
        <w:rPr>
          <w:rFonts w:ascii="Calibri" w:hAnsi="Calibri" w:eastAsia="Calibri" w:cs="Calibri"/>
          <w:i/>
        </w:rPr>
        <w:t>International Journal of Educational Development, 104</w:t>
      </w:r>
      <w:r>
        <w:t xml:space="preserve">, 102951. </w:t>
      </w:r>
      <w:hyperlink r:id="rId80">
        <w:r>
          <w:rPr>
            <w:rFonts w:ascii="Calibri" w:hAnsi="Calibri" w:eastAsia="Calibri" w:cs="Calibri"/>
            <w:color w:val="2E74B5"/>
            <w:u w:val="single"/>
          </w:rPr>
          <w:t xml:space="preserve">https://doi.org/10.1016/j.ijedudev.2023.102951</w:t>
        </w:r>
      </w:hyperlink>
    </w:p>
    <w:p>
      <w:pPr>
        <w:widowControl/>
      </w:pPr>
      <w:r>
        <w:t xml:space="preserve">OECD. (2023a). </w:t>
      </w:r>
      <w:r>
        <w:rPr>
          <w:rFonts w:ascii="Calibri" w:hAnsi="Calibri" w:eastAsia="Calibri" w:cs="Calibri"/>
          <w:i/>
        </w:rPr>
        <w:t>PISA 2022 results (Volume I): The state of learning and equity in education</w:t>
      </w:r>
      <w:r>
        <w:t xml:space="preserve">. </w:t>
      </w:r>
      <w:hyperlink r:id="rId81">
        <w:r>
          <w:rPr>
            <w:rFonts w:ascii="Calibri" w:hAnsi="Calibri" w:eastAsia="Calibri" w:cs="Calibri"/>
            <w:color w:val="2E74B5"/>
            <w:u w:val="single"/>
          </w:rPr>
          <w:t xml:space="preserve">https://doi.org/10.1787/53f23881-en</w:t>
        </w:r>
      </w:hyperlink>
    </w:p>
    <w:p>
      <w:pPr>
        <w:widowControl/>
      </w:pPr>
      <w:r>
        <w:t xml:space="preserve">OECD. (2023b). </w:t>
      </w:r>
      <w:r>
        <w:rPr>
          <w:rFonts w:ascii="Calibri" w:hAnsi="Calibri" w:eastAsia="Calibri" w:cs="Calibri"/>
          <w:i/>
        </w:rPr>
        <w:t>PISA 2022 statistical tables: Annex A2 and Chapter 3</w:t>
      </w:r>
      <w:r>
        <w:t xml:space="preserve">. </w:t>
      </w:r>
      <w:hyperlink r:id="rId82">
        <w:r>
          <w:rPr>
            <w:rFonts w:ascii="Calibri" w:hAnsi="Calibri" w:eastAsia="Calibri" w:cs="Calibri"/>
            <w:color w:val="2E74B5"/>
            <w:u w:val="single"/>
          </w:rPr>
          <w:t xml:space="preserve">https://stat.link/hpg9nd</w:t>
        </w:r>
      </w:hyperlink>
      <w:r>
        <w:t xml:space="preserve"> ; </w:t>
      </w:r>
      <w:hyperlink r:id="rId83">
        <w:r>
          <w:rPr>
            <w:rFonts w:ascii="Calibri" w:hAnsi="Calibri" w:eastAsia="Calibri" w:cs="Calibri"/>
            <w:color w:val="2E74B5"/>
            <w:u w:val="single"/>
          </w:rPr>
          <w:t xml:space="preserve">https://stat.link/znxau8</w:t>
        </w:r>
      </w:hyperlink>
    </w:p>
    <w:p>
      <w:pPr>
        <w:widowControl/>
      </w:pPr>
      <w:r>
        <w:t xml:space="preserve">OECD. (2023c). </w:t>
      </w:r>
      <w:r>
        <w:rPr>
          <w:rFonts w:ascii="Calibri" w:hAnsi="Calibri" w:eastAsia="Calibri" w:cs="Calibri"/>
          <w:i/>
        </w:rPr>
        <w:t>PISA 2022 results: Ukrainian regions (18 of 27) country note</w:t>
      </w:r>
      <w:r>
        <w:t xml:space="preserve">. </w:t>
      </w:r>
      <w:hyperlink r:id="rId84">
        <w:r>
          <w:rPr>
            <w:rFonts w:ascii="Calibri" w:hAnsi="Calibri" w:eastAsia="Calibri" w:cs="Calibri"/>
            <w:color w:val="2E74B5"/>
            <w:u w:val="single"/>
          </w:rPr>
          <w:t xml:space="preserve">https://www.oecd.org/content/dam/oecd/en/publications/reports/2023/11/pisa-2022-results-volume-i-and-ii-country-notes_2fca04b9/ukrainian-regions-18-of-27_de3ad3b1/78043794-en.pdf</w:t>
        </w:r>
      </w:hyperlink>
    </w:p>
    <w:p>
      <w:pPr>
        <w:widowControl/>
      </w:pPr>
      <w:r>
        <w:t xml:space="preserve">Eurostat. (2026, August 11). </w:t>
      </w:r>
      <w:r>
        <w:rPr>
          <w:rFonts w:ascii="Calibri" w:hAnsi="Calibri" w:eastAsia="Calibri" w:cs="Calibri"/>
          <w:i/>
        </w:rPr>
        <w:t>4.41 million under temporary protection in June 2026</w:t>
      </w:r>
      <w:r>
        <w:t xml:space="preserve">. </w:t>
      </w:r>
      <w:hyperlink r:id="rId85">
        <w:r>
          <w:rPr>
            <w:rFonts w:ascii="Calibri" w:hAnsi="Calibri" w:eastAsia="Calibri" w:cs="Calibri"/>
            <w:color w:val="2E74B5"/>
            <w:u w:val="single"/>
          </w:rPr>
          <w:t xml:space="preserve">https://ec.europa.eu/eurostat/web/products-eurostat-news/w/ddn-20260811-1</w:t>
        </w:r>
      </w:hyperlink>
    </w:p>
    <w:p>
      <w:pPr>
        <w:widowControl/>
      </w:pPr>
      <w:r>
        <w:t xml:space="preserve">HSE University Institute for Statistical Studies and Economics of Knowledge. (2025). </w:t>
      </w:r>
      <w:r>
        <w:rPr>
          <w:rFonts w:ascii="Calibri" w:hAnsi="Calibri" w:eastAsia="Calibri" w:cs="Calibri"/>
          <w:i/>
        </w:rPr>
        <w:t>Education in figures: 2025</w:t>
      </w:r>
      <w:r>
        <w:t xml:space="preserve">. </w:t>
      </w:r>
      <w:hyperlink r:id="rId86">
        <w:r>
          <w:rPr>
            <w:rFonts w:ascii="Calibri" w:hAnsi="Calibri" w:eastAsia="Calibri" w:cs="Calibri"/>
            <w:color w:val="2E74B5"/>
            <w:u w:val="single"/>
          </w:rPr>
          <w:t xml:space="preserve">https://www.hse.ru/en/primarydata/oc2025</w:t>
        </w:r>
      </w:hyperlink>
    </w:p>
    <w:p>
      <w:pPr>
        <w:widowControl/>
      </w:pPr>
      <w:r>
        <w:t xml:space="preserve">Kyiv International Institute of Sociology. (2026, June 15). </w:t>
      </w:r>
      <w:r>
        <w:rPr>
          <w:rFonts w:ascii="Calibri" w:hAnsi="Calibri" w:eastAsia="Calibri" w:cs="Calibri"/>
          <w:i/>
        </w:rPr>
        <w:t>Dynamics of attitude to the status of the Russian language in Ukraine during 1997-2026</w:t>
      </w:r>
      <w:r>
        <w:t xml:space="preserve">. </w:t>
      </w:r>
      <w:hyperlink r:id="rId87">
        <w:r>
          <w:rPr>
            <w:rFonts w:ascii="Calibri" w:hAnsi="Calibri" w:eastAsia="Calibri" w:cs="Calibri"/>
            <w:color w:val="2E74B5"/>
            <w:u w:val="single"/>
          </w:rPr>
          <w:t xml:space="preserve">https://www.kiis.com.ua/?cat=reports&amp;id=1619&amp;lang=eng&amp;page=1</w:t>
        </w:r>
      </w:hyperlink>
    </w:p>
    <w:p>
      <w:pPr>
        <w:widowControl/>
      </w:pPr>
      <w:r>
        <w:t xml:space="preserve">National Audit Office of Estonia. (2023, June 1). </w:t>
      </w:r>
      <w:r>
        <w:rPr>
          <w:rFonts w:ascii="Calibri" w:hAnsi="Calibri" w:eastAsia="Calibri" w:cs="Calibri"/>
          <w:i/>
        </w:rPr>
        <w:t>Estonian language training in a Russian-language basic school</w:t>
      </w:r>
      <w:r>
        <w:t xml:space="preserve">. </w:t>
      </w:r>
      <w:hyperlink r:id="rId88">
        <w:r>
          <w:rPr>
            <w:rFonts w:ascii="Calibri" w:hAnsi="Calibri" w:eastAsia="Calibri" w:cs="Calibri"/>
            <w:color w:val="2E74B5"/>
            <w:u w:val="single"/>
          </w:rPr>
          <w:t xml:space="preserve">https://www.riigikontroll.ee/en/audits/estonian-language-training-russian-language-basic-school</w:t>
        </w:r>
      </w:hyperlink>
    </w:p>
    <w:p>
      <w:pPr>
        <w:widowControl/>
      </w:pPr>
      <w:r>
        <w:t xml:space="preserve">State Statistics Committee of Ukraine. (2001). </w:t>
      </w:r>
      <w:r>
        <w:rPr>
          <w:rFonts w:ascii="Calibri" w:hAnsi="Calibri" w:eastAsia="Calibri" w:cs="Calibri"/>
          <w:i/>
        </w:rPr>
        <w:t>All-Ukrainian population census 2001: Results</w:t>
      </w:r>
      <w:r>
        <w:t xml:space="preserve">. </w:t>
      </w:r>
      <w:hyperlink r:id="rId89">
        <w:r>
          <w:rPr>
            <w:rFonts w:ascii="Calibri" w:hAnsi="Calibri" w:eastAsia="Calibri" w:cs="Calibri"/>
            <w:color w:val="2E74B5"/>
            <w:u w:val="single"/>
          </w:rPr>
          <w:t xml:space="preserve">https://2001.ukrcensus.gov.ua/d/mono_eng.pdf</w:t>
        </w:r>
      </w:hyperlink>
    </w:p>
    <w:p>
      <w:pPr>
        <w:widowControl/>
      </w:pPr>
      <w:r>
        <w:t xml:space="preserve">UNESCO, &amp; United Nations Ukraine. (2024, March 11). </w:t>
      </w:r>
      <w:r>
        <w:rPr>
          <w:rFonts w:ascii="Calibri" w:hAnsi="Calibri" w:eastAsia="Calibri" w:cs="Calibri"/>
          <w:i/>
        </w:rPr>
        <w:t>Analysis of war damage to the Ukrainian science sector and its consequences</w:t>
      </w:r>
      <w:r>
        <w:t xml:space="preserve">. </w:t>
      </w:r>
      <w:hyperlink r:id="rId90">
        <w:r>
          <w:rPr>
            <w:rFonts w:ascii="Calibri" w:hAnsi="Calibri" w:eastAsia="Calibri" w:cs="Calibri"/>
            <w:color w:val="2E74B5"/>
            <w:u w:val="single"/>
          </w:rPr>
          <w:t xml:space="preserve">https://ukraine.un.org/en/262987-analysis-war-damage-ukrainian-science-sector-and-its-consequences</w:t>
        </w:r>
      </w:hyperlink>
    </w:p>
    <w:p>
      <w:pPr>
        <w:widowControl/>
      </w:pPr>
      <w:r>
        <w:t xml:space="preserve">Pakistan Bureau of Statistics. (2026). </w:t>
      </w:r>
      <w:r>
        <w:rPr>
          <w:rFonts w:ascii="Calibri" w:hAnsi="Calibri" w:eastAsia="Calibri" w:cs="Calibri"/>
          <w:i/>
        </w:rPr>
        <w:t>Household Integrated Economic Survey 2024-25: Social report</w:t>
      </w:r>
      <w:r>
        <w:t xml:space="preserve">. </w:t>
      </w:r>
      <w:hyperlink r:id="rId91">
        <w:r>
          <w:rPr>
            <w:rFonts w:ascii="Calibri" w:hAnsi="Calibri" w:eastAsia="Calibri" w:cs="Calibri"/>
            <w:color w:val="2E74B5"/>
            <w:u w:val="single"/>
          </w:rPr>
          <w:t xml:space="preserve">https://www.pbs.gov.pk/wp-content/uploads/2020/07/PSLM_Report_2024-25-janurary-26-Social-Reportupdated.pdf</w:t>
        </w:r>
      </w:hyperlink>
    </w:p>
    <w:p>
      <w:pPr>
        <w:widowControl/>
      </w:pPr>
      <w:r>
        <w:t xml:space="preserve">UNICEF Bangladesh. (2026). </w:t>
      </w:r>
      <w:r>
        <w:rPr>
          <w:rFonts w:ascii="Calibri" w:hAnsi="Calibri" w:eastAsia="Calibri" w:cs="Calibri"/>
          <w:i/>
        </w:rPr>
        <w:t>Data on the situation of children in Bangladesh: MICS 2025 indicators</w:t>
      </w:r>
      <w:r>
        <w:t xml:space="preserve">. </w:t>
      </w:r>
      <w:hyperlink r:id="rId92">
        <w:r>
          <w:rPr>
            <w:rFonts w:ascii="Calibri" w:hAnsi="Calibri" w:eastAsia="Calibri" w:cs="Calibri"/>
            <w:color w:val="2E74B5"/>
            <w:u w:val="single"/>
          </w:rPr>
          <w:t xml:space="preserve">https://www.unicef.org/bangladesh/en/data-situation-children-bangladesh</w:t>
        </w:r>
      </w:hyperlink>
    </w:p>
    <w:p>
      <w:pPr>
        <w:widowControl/>
      </w:pPr>
      <w:r>
        <w:t xml:space="preserve">Virtual University of Pakistan. (n.d.). </w:t>
      </w:r>
      <w:r>
        <w:rPr>
          <w:rFonts w:ascii="Calibri" w:hAnsi="Calibri" w:eastAsia="Calibri" w:cs="Calibri"/>
          <w:i/>
        </w:rPr>
        <w:t>Open courseware: Mathematics</w:t>
      </w:r>
      <w:r>
        <w:t xml:space="preserve">. </w:t>
      </w:r>
      <w:hyperlink r:id="rId93">
        <w:r>
          <w:rPr>
            <w:rFonts w:ascii="Calibri" w:hAnsi="Calibri" w:eastAsia="Calibri" w:cs="Calibri"/>
            <w:color w:val="2E74B5"/>
            <w:u w:val="single"/>
          </w:rPr>
          <w:t xml:space="preserve">https://ocw.vu.edu.pk/Courses.aspx?cat=Mathematics</w:t>
        </w:r>
      </w:hyperlink>
    </w:p>
    <w:p>
      <w:pPr>
        <w:widowControl/>
      </w:pPr>
      <w:r>
        <w:t xml:space="preserve">University of Tokyo. (n.d.). </w:t>
      </w:r>
      <w:r>
        <w:rPr>
          <w:rFonts w:ascii="Calibri" w:hAnsi="Calibri" w:eastAsia="Calibri" w:cs="Calibri"/>
          <w:i/>
        </w:rPr>
        <w:t>Pythonプログラミング入門 [Introduction to Python programming]</w:t>
      </w:r>
      <w:r>
        <w:t xml:space="preserve">. </w:t>
      </w:r>
      <w:hyperlink r:id="rId94">
        <w:r>
          <w:rPr>
            <w:rFonts w:ascii="Calibri" w:hAnsi="Calibri" w:eastAsia="Calibri" w:cs="Calibri"/>
            <w:color w:val="2E74B5"/>
            <w:u w:val="single"/>
          </w:rPr>
          <w:t xml:space="preserve">https://utokyo-ipp.github.io/</w:t>
        </w:r>
      </w:hyperlink>
    </w:p>
    <w:p>
      <w:pPr>
        <w:widowControl/>
      </w:pPr>
      <w:r>
        <w:t xml:space="preserve">Xu, Z. (2023). </w:t>
      </w:r>
      <w:r>
        <w:rPr>
          <w:rFonts w:ascii="Calibri" w:hAnsi="Calibri" w:eastAsia="Calibri" w:cs="Calibri"/>
          <w:i/>
        </w:rPr>
        <w:t>概率统计与Python解法 [Probability and statistics with Python solutions]</w:t>
      </w:r>
      <w:r>
        <w:t xml:space="preserve">. Tsinghua University Press. </w:t>
      </w:r>
      <w:hyperlink r:id="rId95">
        <w:r>
          <w:rPr>
            <w:rFonts w:ascii="Calibri" w:hAnsi="Calibri" w:eastAsia="Calibri" w:cs="Calibri"/>
            <w:color w:val="2E74B5"/>
            <w:u w:val="single"/>
          </w:rPr>
          <w:t xml:space="preserve">https://www.tup.tsinghua.edu.cn/booksCenter/book_09529801.html</w:t>
        </w:r>
      </w:hyperlink>
    </w:p>
    <w:p>
      <w:pPr>
        <w:widowControl/>
      </w:pPr>
      <w:r>
        <w:t xml:space="preserve">Golubović, J., &amp; Gooskens, C. (2015). Mutual intelligibility between West and South Slavic languages. </w:t>
      </w:r>
      <w:r>
        <w:rPr>
          <w:rFonts w:ascii="Calibri" w:hAnsi="Calibri" w:eastAsia="Calibri" w:cs="Calibri"/>
          <w:i/>
        </w:rPr>
        <w:t>Russian Linguistics</w:t>
      </w:r>
      <w:r>
        <w:t xml:space="preserve">. </w:t>
      </w:r>
      <w:hyperlink r:id="rId96">
        <w:r>
          <w:rPr>
            <w:rFonts w:ascii="Calibri" w:hAnsi="Calibri" w:eastAsia="Calibri" w:cs="Calibri"/>
            <w:color w:val="2E74B5"/>
            <w:u w:val="single"/>
          </w:rPr>
          <w:t xml:space="preserve">https://doi.org/10.1007/s11185-015-9150-9</w:t>
        </w:r>
      </w:hyperlink>
    </w:p>
    <w:p>
      <w:pPr>
        <w:widowControl/>
      </w:pPr>
      <w:r>
        <w:t xml:space="preserve">Österholm, M. (2006). Characterizing reading comprehension of mathematical texts. </w:t>
      </w:r>
      <w:r>
        <w:rPr>
          <w:rFonts w:ascii="Calibri" w:hAnsi="Calibri" w:eastAsia="Calibri" w:cs="Calibri"/>
          <w:i/>
        </w:rPr>
        <w:t>Educational Studies in Mathematics, 63</w:t>
      </w:r>
      <w:r>
        <w:t xml:space="preserve">, 325-346. </w:t>
      </w:r>
      <w:hyperlink r:id="rId97">
        <w:r>
          <w:rPr>
            <w:rFonts w:ascii="Calibri" w:hAnsi="Calibri" w:eastAsia="Calibri" w:cs="Calibri"/>
            <w:color w:val="2E74B5"/>
            <w:u w:val="single"/>
          </w:rPr>
          <w:t xml:space="preserve">https://www.diva-portal.org/smash/get/diva2:22664/FULLTEXT01.pdf</w:t>
        </w:r>
      </w:hyperlink>
    </w:p>
    <w:p>
      <w:pPr>
        <w:widowControl/>
      </w:pPr>
      <w:r>
        <w:t xml:space="preserve">Cristia, J., Ibarrarán, P., Cueto, S., Santiago, A., &amp; Severín, E. (2017). Technology and child development: Evidence from the One Laptop per Child program. </w:t>
      </w:r>
      <w:r>
        <w:rPr>
          <w:rFonts w:ascii="Calibri" w:hAnsi="Calibri" w:eastAsia="Calibri" w:cs="Calibri"/>
          <w:i/>
        </w:rPr>
        <w:t>American Economic Journal: Applied Economics, 9</w:t>
      </w:r>
      <w:r>
        <w:t xml:space="preserve">(3), 295-320. </w:t>
      </w:r>
      <w:hyperlink r:id="rId98">
        <w:r>
          <w:rPr>
            <w:rFonts w:ascii="Calibri" w:hAnsi="Calibri" w:eastAsia="Calibri" w:cs="Calibri"/>
            <w:color w:val="2E74B5"/>
            <w:u w:val="single"/>
          </w:rPr>
          <w:t xml:space="preserve">https://doi.org/10.1257/app.20150385</w:t>
        </w:r>
      </w:hyperlink>
    </w:p>
    <w:p>
      <w:pPr>
        <w:widowControl/>
      </w:pPr>
      <w:r>
        <w:t xml:space="preserve">Glewwe, P., Kremer, M., &amp; Moulin, S. (2009). Many children left behind? Textbooks and test scores in Kenya. </w:t>
      </w:r>
      <w:r>
        <w:rPr>
          <w:rFonts w:ascii="Calibri" w:hAnsi="Calibri" w:eastAsia="Calibri" w:cs="Calibri"/>
          <w:i/>
        </w:rPr>
        <w:t>American Economic Journal: Applied Economics, 1</w:t>
      </w:r>
      <w:r>
        <w:t xml:space="preserve">(1), 112-135. </w:t>
      </w:r>
      <w:hyperlink r:id="rId99">
        <w:r>
          <w:rPr>
            <w:rFonts w:ascii="Calibri" w:hAnsi="Calibri" w:eastAsia="Calibri" w:cs="Calibri"/>
            <w:color w:val="2E74B5"/>
            <w:u w:val="single"/>
          </w:rPr>
          <w:t xml:space="preserve">https://doi.org/10.1257/app.1.1.112</w:t>
        </w:r>
      </w:hyperlink>
    </w:p>
    <w:p>
      <w:pPr>
        <w:widowControl/>
      </w:pPr>
      <w:r>
        <w:t xml:space="preserve">Muralidharan, K., Singh, A., &amp; Ganimian, A. J. (2019). Disrupting education? Experimental evidence on technology-aided instruction in India. </w:t>
      </w:r>
      <w:r>
        <w:rPr>
          <w:rFonts w:ascii="Calibri" w:hAnsi="Calibri" w:eastAsia="Calibri" w:cs="Calibri"/>
          <w:i/>
        </w:rPr>
        <w:t>American Economic Review, 109</w:t>
      </w:r>
      <w:r>
        <w:t xml:space="preserve">(4), 1426-1460. </w:t>
      </w:r>
      <w:hyperlink r:id="rId100">
        <w:r>
          <w:rPr>
            <w:rFonts w:ascii="Calibri" w:hAnsi="Calibri" w:eastAsia="Calibri" w:cs="Calibri"/>
            <w:color w:val="2E74B5"/>
            <w:u w:val="single"/>
          </w:rPr>
          <w:t xml:space="preserve">https://doi.org/10.1257/aer.20171112</w:t>
        </w:r>
      </w:hyperlink>
    </w:p>
    <w:p>
      <w:pPr>
        <w:widowControl/>
      </w:pPr>
      <w:r>
        <w:t xml:space="preserve">Bangladesh Bureau of Statistics, &amp; UNICEF Bangladesh. (2026). </w:t>
      </w:r>
      <w:r>
        <w:rPr>
          <w:rFonts w:ascii="Calibri" w:hAnsi="Calibri" w:eastAsia="Calibri" w:cs="Calibri"/>
          <w:i/>
        </w:rPr>
        <w:t>Bangladesh Multiple Indicator Cluster Survey 2025: Final report</w:t>
      </w:r>
      <w:r>
        <w:t xml:space="preserve">. </w:t>
      </w:r>
      <w:hyperlink r:id="rId101">
        <w:r>
          <w:rPr>
            <w:rFonts w:ascii="Calibri" w:hAnsi="Calibri" w:eastAsia="Calibri" w:cs="Calibri"/>
            <w:color w:val="2E74B5"/>
            <w:u w:val="single"/>
          </w:rPr>
          <w:t xml:space="preserve">https://www.unicef.org/bangladesh/en/reports/bangladesh-multiple-indicator-cluster-survey-2025-0</w:t>
        </w:r>
      </w:hyperlink>
    </w:p>
    <w:p>
      <w:pPr>
        <w:widowControl/>
      </w:pPr>
      <w:r>
        <w:t xml:space="preserve">UNICEF Data. (n.d.). </w:t>
      </w:r>
      <w:r>
        <w:rPr>
          <w:rFonts w:ascii="Calibri" w:hAnsi="Calibri" w:eastAsia="Calibri" w:cs="Calibri"/>
          <w:i/>
        </w:rPr>
        <w:t>Child-related SDG progress assessment for Bangladesh: Population overview</w:t>
      </w:r>
      <w:r>
        <w:t xml:space="preserve">. Retrieved September 4, 2026, from </w:t>
      </w:r>
      <w:hyperlink r:id="rId102">
        <w:r>
          <w:rPr>
            <w:rFonts w:ascii="Calibri" w:hAnsi="Calibri" w:eastAsia="Calibri" w:cs="Calibri"/>
            <w:color w:val="2E74B5"/>
            <w:u w:val="single"/>
          </w:rPr>
          <w:t xml:space="preserve">https://data.unicef.org/sdgs/country/bgd/</w:t>
        </w:r>
      </w:hyperlink>
    </w:p>
    <w:p>
      <w:pPr>
        <w:widowControl/>
      </w:pPr>
      <w:r>
        <w:t xml:space="preserve">Ministry of Statistics and Programme Implementation. (2020). </w:t>
      </w:r>
      <w:r>
        <w:rPr>
          <w:rFonts w:ascii="Calibri" w:hAnsi="Calibri" w:eastAsia="Calibri" w:cs="Calibri"/>
          <w:i/>
        </w:rPr>
        <w:t>Household social consumption on education in India: NSS 75th Round, July 2017-June 2018</w:t>
      </w:r>
      <w:r>
        <w:t xml:space="preserve"> (Report No. 585). </w:t>
      </w:r>
      <w:hyperlink r:id="rId103">
        <w:r>
          <w:rPr>
            <w:rFonts w:ascii="Calibri" w:hAnsi="Calibri" w:eastAsia="Calibri" w:cs="Calibri"/>
            <w:color w:val="2E74B5"/>
            <w:u w:val="single"/>
          </w:rPr>
          <w:t xml:space="preserve">https://mospi.gov.in/sites/default/files/publication_reports/Report_585_75th_round_Education_final_1507_0.pdf</w:t>
        </w:r>
      </w:hyperlink>
    </w:p>
    <w:p>
      <w:pPr>
        <w:widowControl/>
      </w:pPr>
      <w:r>
        <w:t xml:space="preserve">ASER Centre. (2025). </w:t>
      </w:r>
      <w:r>
        <w:rPr>
          <w:rFonts w:ascii="Calibri" w:hAnsi="Calibri" w:eastAsia="Calibri" w:cs="Calibri"/>
          <w:i/>
        </w:rPr>
        <w:t>ASER 2024 national findings</w:t>
      </w:r>
      <w:r>
        <w:t xml:space="preserve">. </w:t>
      </w:r>
      <w:hyperlink r:id="rId104">
        <w:r>
          <w:rPr>
            <w:rFonts w:ascii="Calibri" w:hAnsi="Calibri" w:eastAsia="Calibri" w:cs="Calibri"/>
            <w:color w:val="2E74B5"/>
            <w:u w:val="single"/>
          </w:rPr>
          <w:t xml:space="preserve">https://asercentre.org/wp-content/uploads/2022/12/ASER-2024-National-findings.pdf</w:t>
        </w:r>
      </w:hyperlink>
    </w:p>
    <w:p>
      <w:pPr>
        <w:widowControl/>
      </w:pPr>
      <w:r>
        <w:t xml:space="preserve">Department of Higher Education, Ministry of Education, Government of India. (2026). </w:t>
      </w:r>
      <w:r>
        <w:rPr>
          <w:rFonts w:ascii="Calibri" w:hAnsi="Calibri" w:eastAsia="Calibri" w:cs="Calibri"/>
          <w:i/>
        </w:rPr>
        <w:t>All India Survey on Higher Education 2023-24: Final report</w:t>
      </w:r>
      <w:r>
        <w:t xml:space="preserve">. </w:t>
      </w:r>
      <w:hyperlink r:id="rId105">
        <w:r>
          <w:rPr>
            <w:rFonts w:ascii="Calibri" w:hAnsi="Calibri" w:eastAsia="Calibri" w:cs="Calibri"/>
            <w:color w:val="2E74B5"/>
            <w:u w:val="single"/>
          </w:rPr>
          <w:t xml:space="preserve">https://cdnbbsr.s3waas.gov.in/s392049debbe566ca5782a3045cf300a3c/uploads/2026/07/202607131602421770.pdf</w:t>
        </w:r>
      </w:hyperlink>
    </w:p>
    <w:p>
      <w:pPr>
        <w:widowControl/>
      </w:pPr>
      <w:r>
        <w:t xml:space="preserve">Department of School Education &amp; Literacy, Ministry of Education, Government of India. (2025). </w:t>
      </w:r>
      <w:r>
        <w:rPr>
          <w:rFonts w:ascii="Calibri" w:hAnsi="Calibri" w:eastAsia="Calibri" w:cs="Calibri"/>
          <w:i/>
        </w:rPr>
        <w:t>UDISE+ report 2024-25: NEP structure</w:t>
      </w:r>
      <w:r>
        <w:t xml:space="preserve">. </w:t>
      </w:r>
      <w:hyperlink r:id="rId106">
        <w:r>
          <w:rPr>
            <w:rFonts w:ascii="Calibri" w:hAnsi="Calibri" w:eastAsia="Calibri" w:cs="Calibri"/>
            <w:color w:val="2E74B5"/>
            <w:u w:val="single"/>
          </w:rPr>
          <w:t xml:space="preserve">https://www.dsel-education.gov.in/statistics</w:t>
        </w:r>
      </w:hyperlink>
    </w:p>
    <w:p>
      <w:pPr>
        <w:widowControl/>
      </w:pPr>
      <w:r>
        <w:t xml:space="preserve">DIKSHA. (n.d.). </w:t>
      </w:r>
      <w:r>
        <w:rPr>
          <w:rFonts w:ascii="Calibri" w:hAnsi="Calibri" w:eastAsia="Calibri" w:cs="Calibri"/>
          <w:i/>
        </w:rPr>
        <w:t>Features and supported languages</w:t>
      </w:r>
      <w:r>
        <w:t xml:space="preserve">. Retrieved September 5, 2026, from </w:t>
      </w:r>
      <w:hyperlink r:id="rId107">
        <w:r>
          <w:rPr>
            <w:rFonts w:ascii="Calibri" w:hAnsi="Calibri" w:eastAsia="Calibri" w:cs="Calibri"/>
            <w:color w:val="2E74B5"/>
            <w:u w:val="single"/>
          </w:rPr>
          <w:t xml:space="preserve">https://diksha.gov.in/help/faqs/user/features.html</w:t>
        </w:r>
      </w:hyperlink>
    </w:p>
    <w:p>
      <w:pPr>
        <w:widowControl/>
      </w:pPr>
      <w:r>
        <w:t xml:space="preserve">Indian Sign Language Research and Training Centre. (n.d.). </w:t>
      </w:r>
      <w:r>
        <w:rPr>
          <w:rFonts w:ascii="Calibri" w:hAnsi="Calibri" w:eastAsia="Calibri" w:cs="Calibri"/>
          <w:i/>
        </w:rPr>
        <w:t>Frequently asked questions: ISL Dictionary</w:t>
      </w:r>
      <w:r>
        <w:t xml:space="preserve">. Retrieved September 5, 2026, from </w:t>
      </w:r>
      <w:hyperlink r:id="rId108">
        <w:r>
          <w:rPr>
            <w:rFonts w:ascii="Calibri" w:hAnsi="Calibri" w:eastAsia="Calibri" w:cs="Calibri"/>
            <w:color w:val="2E74B5"/>
            <w:u w:val="single"/>
          </w:rPr>
          <w:t xml:space="preserve">https://islrtc.nic.in/faq/</w:t>
        </w:r>
      </w:hyperlink>
    </w:p>
    <w:p>
      <w:pPr>
        <w:widowControl/>
      </w:pPr>
      <w:r>
        <w:t xml:space="preserve">National Council of Educational Research and Training. (n.d.). </w:t>
      </w:r>
      <w:r>
        <w:rPr>
          <w:rFonts w:ascii="Calibri" w:hAnsi="Calibri" w:eastAsia="Calibri" w:cs="Calibri"/>
          <w:i/>
        </w:rPr>
        <w:t>Indian-language primers</w:t>
      </w:r>
      <w:r>
        <w:t xml:space="preserve">. Retrieved September 5, 2026, from </w:t>
      </w:r>
      <w:hyperlink r:id="rId109">
        <w:r>
          <w:rPr>
            <w:rFonts w:ascii="Calibri" w:hAnsi="Calibri" w:eastAsia="Calibri" w:cs="Calibri"/>
            <w:color w:val="2E74B5"/>
            <w:u w:val="single"/>
          </w:rPr>
          <w:t xml:space="preserve">https://ncert.nic.in/primers.php</w:t>
        </w:r>
      </w:hyperlink>
    </w:p>
    <w:p>
      <w:pPr>
        <w:widowControl/>
      </w:pPr>
      <w:r>
        <w:t xml:space="preserve">National Statistical Office. (2025). </w:t>
      </w:r>
      <w:r>
        <w:rPr>
          <w:rFonts w:ascii="Calibri" w:hAnsi="Calibri" w:eastAsia="Calibri" w:cs="Calibri"/>
          <w:i/>
        </w:rPr>
        <w:t>Comprehensive Modular Survey: Telecom, 2025</w:t>
      </w:r>
      <w:r>
        <w:t xml:space="preserve"> (NSS Report No. 593). </w:t>
      </w:r>
      <w:hyperlink r:id="rId110">
        <w:r>
          <w:rPr>
            <w:rFonts w:ascii="Calibri" w:hAnsi="Calibri" w:eastAsia="Calibri" w:cs="Calibri"/>
            <w:color w:val="2E74B5"/>
            <w:u w:val="single"/>
          </w:rPr>
          <w:t xml:space="preserve">https://mospi.gov.in/sites/default/files/publication_reports/CMST_report_m.pdf</w:t>
        </w:r>
      </w:hyperlink>
    </w:p>
    <w:p>
      <w:pPr>
        <w:widowControl/>
      </w:pPr>
      <w:r>
        <w:t xml:space="preserve">NPTEL. (n.d.). </w:t>
      </w:r>
      <w:r>
        <w:rPr>
          <w:rFonts w:ascii="Calibri" w:hAnsi="Calibri" w:eastAsia="Calibri" w:cs="Calibri"/>
          <w:i/>
        </w:rPr>
        <w:t>Translation programme and translated books</w:t>
      </w:r>
      <w:r>
        <w:t xml:space="preserve">. </w:t>
      </w:r>
      <w:hyperlink r:id="rId111">
        <w:r>
          <w:rPr>
            <w:rFonts w:ascii="Calibri" w:hAnsi="Calibri" w:eastAsia="Calibri" w:cs="Calibri"/>
            <w:color w:val="2E74B5"/>
            <w:u w:val="single"/>
          </w:rPr>
          <w:t xml:space="preserve">https://nptel.ac.in/translation</w:t>
        </w:r>
      </w:hyperlink>
    </w:p>
    <w:p>
      <w:pPr>
        <w:widowControl/>
      </w:pPr>
      <w:r>
        <w:t xml:space="preserve">Agency for Cultural Affairs, Japan. (n.d.). </w:t>
      </w:r>
      <w:r>
        <w:rPr>
          <w:rFonts w:ascii="Calibri" w:hAnsi="Calibri" w:eastAsia="Calibri" w:cs="Calibri"/>
          <w:i/>
        </w:rPr>
        <w:t>Languages and dialects in critical situations</w:t>
      </w:r>
      <w:r>
        <w:t xml:space="preserve">. Retrieved September 5, 2026, from </w:t>
      </w:r>
      <w:hyperlink r:id="rId112">
        <w:r>
          <w:rPr>
            <w:rFonts w:ascii="Calibri" w:hAnsi="Calibri" w:eastAsia="Calibri" w:cs="Calibri"/>
            <w:color w:val="2E74B5"/>
            <w:u w:val="single"/>
          </w:rPr>
          <w:t xml:space="preserve">https://www.bunka.go.jp/seisaku/kokugo_nihongo/kokugo_shisaku/kikigengo/</w:t>
        </w:r>
      </w:hyperlink>
    </w:p>
    <w:p>
      <w:pPr>
        <w:widowControl/>
      </w:pPr>
      <w:r>
        <w:t xml:space="preserve">Cabinet Office, Japan. (2025). </w:t>
      </w:r>
      <w:r>
        <w:rPr>
          <w:rFonts w:ascii="Calibri" w:hAnsi="Calibri" w:eastAsia="Calibri" w:cs="Calibri"/>
          <w:i/>
        </w:rPr>
        <w:t>Promotion of measures concerning sign language</w:t>
      </w:r>
      <w:r>
        <w:t xml:space="preserve">. </w:t>
      </w:r>
      <w:hyperlink r:id="rId113">
        <w:r>
          <w:rPr>
            <w:rFonts w:ascii="Calibri" w:hAnsi="Calibri" w:eastAsia="Calibri" w:cs="Calibri"/>
            <w:color w:val="2E74B5"/>
            <w:u w:val="single"/>
          </w:rPr>
          <w:t xml:space="preserve">https://www8.cao.go.jp/shougai/suishin/jsl.html</w:t>
        </w:r>
      </w:hyperlink>
    </w:p>
    <w:p>
      <w:pPr>
        <w:widowControl/>
      </w:pPr>
      <w:r>
        <w:t xml:space="preserve">Japan Science and Technology Agency. (n.d.). </w:t>
      </w:r>
      <w:r>
        <w:rPr>
          <w:rFonts w:ascii="Calibri" w:hAnsi="Calibri" w:eastAsia="Calibri" w:cs="Calibri"/>
          <w:i/>
        </w:rPr>
        <w:t>J-STAGE overview</w:t>
      </w:r>
      <w:r>
        <w:t xml:space="preserve">. Retrieved September 5, 2026, from </w:t>
      </w:r>
      <w:hyperlink r:id="rId114">
        <w:r>
          <w:rPr>
            <w:rFonts w:ascii="Calibri" w:hAnsi="Calibri" w:eastAsia="Calibri" w:cs="Calibri"/>
            <w:color w:val="2E74B5"/>
            <w:u w:val="single"/>
          </w:rPr>
          <w:t xml:space="preserve">https://www.jstage.jst.go.jp/static/pages/JstageOverview/-char/en</w:t>
        </w:r>
      </w:hyperlink>
    </w:p>
    <w:p>
      <w:pPr>
        <w:widowControl/>
      </w:pPr>
      <w:r>
        <w:t xml:space="preserve">Ministry of Education, Culture, Sports, Science and Technology, Japan. (2024a). </w:t>
      </w:r>
      <w:r>
        <w:rPr>
          <w:rFonts w:ascii="Calibri" w:hAnsi="Calibri" w:eastAsia="Calibri" w:cs="Calibri"/>
          <w:i/>
        </w:rPr>
        <w:t>Statistical abstract 2024: School education and science-and-technology tables</w:t>
      </w:r>
      <w:r>
        <w:t xml:space="preserve"> [Data set]. </w:t>
      </w:r>
      <w:hyperlink r:id="rId115">
        <w:r>
          <w:rPr>
            <w:rFonts w:ascii="Calibri" w:hAnsi="Calibri" w:eastAsia="Calibri" w:cs="Calibri"/>
            <w:color w:val="2E74B5"/>
            <w:u w:val="single"/>
          </w:rPr>
          <w:t xml:space="preserve">https://www.mext.go.jp/b_menu/toukei/002/002b/1417059_00009.htm</w:t>
        </w:r>
      </w:hyperlink>
    </w:p>
    <w:p>
      <w:pPr>
        <w:widowControl/>
      </w:pPr>
      <w:r>
        <w:t xml:space="preserve">Ministry of Education, Culture, Sports, Science and Technology, Japan. (2024b). </w:t>
      </w:r>
      <w:r>
        <w:rPr>
          <w:rFonts w:ascii="Calibri" w:hAnsi="Calibri" w:eastAsia="Calibri" w:cs="Calibri"/>
          <w:i/>
        </w:rPr>
        <w:t>Results of the 2023 survey on the acceptance of students requiring Japanese-language instruction</w:t>
      </w:r>
      <w:r>
        <w:t xml:space="preserve">. </w:t>
      </w:r>
      <w:hyperlink r:id="rId116">
        <w:r>
          <w:rPr>
            <w:rFonts w:ascii="Calibri" w:hAnsi="Calibri" w:eastAsia="Calibri" w:cs="Calibri"/>
            <w:color w:val="2E74B5"/>
            <w:u w:val="single"/>
          </w:rPr>
          <w:t xml:space="preserve">https://www.mext.go.jp/content/20240808-mxt_kyokoku-000037366_4.pdf</w:t>
        </w:r>
      </w:hyperlink>
    </w:p>
    <w:p>
      <w:pPr>
        <w:widowControl/>
      </w:pPr>
      <w:r>
        <w:t xml:space="preserve">Ministry of Education, Culture, Sports, Science and Technology, Japan. (2024c). </w:t>
      </w:r>
      <w:r>
        <w:rPr>
          <w:rFonts w:ascii="Calibri" w:hAnsi="Calibri" w:eastAsia="Calibri" w:cs="Calibri"/>
          <w:i/>
        </w:rPr>
        <w:t>Japan's student performance for PISA 2022</w:t>
      </w:r>
      <w:r>
        <w:t xml:space="preserve">. </w:t>
      </w:r>
      <w:hyperlink r:id="rId117">
        <w:r>
          <w:rPr>
            <w:rFonts w:ascii="Calibri" w:hAnsi="Calibri" w:eastAsia="Calibri" w:cs="Calibri"/>
            <w:color w:val="2E74B5"/>
            <w:u w:val="single"/>
          </w:rPr>
          <w:t xml:space="preserve">https://www.mext.go.jp/content/20240524-mxt_chousa02-100002205_2.pdf</w:t>
        </w:r>
      </w:hyperlink>
    </w:p>
    <w:p>
      <w:pPr>
        <w:widowControl/>
      </w:pPr>
      <w:r>
        <w:t xml:space="preserve">Ministry of Education, Culture, Sports, Science and Technology, Japan. (2024d). </w:t>
      </w:r>
      <w:r>
        <w:rPr>
          <w:rFonts w:ascii="Calibri" w:hAnsi="Calibri" w:eastAsia="Calibri" w:cs="Calibri"/>
          <w:i/>
        </w:rPr>
        <w:t>The fourth basic plan for the promotion of education</w:t>
      </w:r>
      <w:r>
        <w:t xml:space="preserve"> [English translation]. </w:t>
      </w:r>
      <w:hyperlink r:id="rId118">
        <w:r>
          <w:rPr>
            <w:rFonts w:ascii="Calibri" w:hAnsi="Calibri" w:eastAsia="Calibri" w:cs="Calibri"/>
            <w:color w:val="2E74B5"/>
            <w:u w:val="single"/>
          </w:rPr>
          <w:t xml:space="preserve">https://www.mext.go.jp/content/20240228-soseisk02-100000597_09.pdf</w:t>
        </w:r>
      </w:hyperlink>
    </w:p>
    <w:p>
      <w:pPr>
        <w:widowControl/>
      </w:pPr>
      <w:r>
        <w:t xml:space="preserve">National Institute of Science and Technology Policy. (2016). </w:t>
      </w:r>
      <w:r>
        <w:rPr>
          <w:rFonts w:ascii="Calibri" w:hAnsi="Calibri" w:eastAsia="Calibri" w:cs="Calibri"/>
          <w:i/>
        </w:rPr>
        <w:t>Characteristics of research-article publication in major countries, focusing on journals</w:t>
      </w:r>
      <w:r>
        <w:t xml:space="preserve"> (Research Material No. 254, press summary). </w:t>
      </w:r>
      <w:hyperlink r:id="rId119">
        <w:r>
          <w:rPr>
            <w:rFonts w:ascii="Calibri" w:hAnsi="Calibri" w:eastAsia="Calibri" w:cs="Calibri"/>
            <w:color w:val="2E74B5"/>
            <w:u w:val="single"/>
          </w:rPr>
          <w:t xml:space="preserve">https://www.nistep.go.jp/wp/wp-content/uploads/NISTEP-RM254-PressJ.pdf</w:t>
        </w:r>
      </w:hyperlink>
    </w:p>
    <w:p>
      <w:pPr>
        <w:widowControl/>
      </w:pPr>
      <w:r>
        <w:t xml:space="preserve">World Bank. (2026e). </w:t>
      </w:r>
      <w:r>
        <w:rPr>
          <w:rFonts w:ascii="Calibri" w:hAnsi="Calibri" w:eastAsia="Calibri" w:cs="Calibri"/>
          <w:i/>
        </w:rPr>
        <w:t>World Development Indicators: Japan</w:t>
      </w:r>
      <w:r>
        <w:t xml:space="preserve"> [Data set]. Retrieved September 5, 2026, from </w:t>
      </w:r>
      <w:hyperlink r:id="rId120">
        <w:r>
          <w:rPr>
            <w:rFonts w:ascii="Calibri" w:hAnsi="Calibri" w:eastAsia="Calibri" w:cs="Calibri"/>
            <w:color w:val="2E74B5"/>
            <w:u w:val="single"/>
          </w:rPr>
          <w:t xml:space="preserve">https://data.worldbank.org/country/japan</w:t>
        </w:r>
      </w:hyperlink>
    </w:p>
    <w:p>
      <w:pPr>
        <w:widowControl/>
      </w:pPr>
      <w:r>
        <w:t xml:space="preserve">Office of the Registrar General &amp; Census Commissioner, India. (2011a). </w:t>
      </w:r>
      <w:r>
        <w:rPr>
          <w:rFonts w:ascii="Calibri" w:hAnsi="Calibri" w:eastAsia="Calibri" w:cs="Calibri"/>
          <w:i/>
        </w:rPr>
        <w:t>C-16 population by mother tongue</w:t>
      </w:r>
      <w:r>
        <w:t xml:space="preserve">. </w:t>
      </w:r>
      <w:hyperlink r:id="rId121">
        <w:r>
          <w:rPr>
            <w:rFonts w:ascii="Calibri" w:hAnsi="Calibri" w:eastAsia="Calibri" w:cs="Calibri"/>
            <w:color w:val="2E74B5"/>
            <w:u w:val="single"/>
          </w:rPr>
          <w:t xml:space="preserve">https://censusindia.gov.in/nada/index.php/catalog/10191</w:t>
        </w:r>
      </w:hyperlink>
    </w:p>
    <w:p>
      <w:pPr>
        <w:widowControl/>
      </w:pPr>
      <w:r>
        <w:t xml:space="preserve">Office of the Registrar General &amp; Census Commissioner, India. (2011b). </w:t>
      </w:r>
      <w:r>
        <w:rPr>
          <w:rFonts w:ascii="Calibri" w:hAnsi="Calibri" w:eastAsia="Calibri" w:cs="Calibri"/>
          <w:i/>
        </w:rPr>
        <w:t>C-17 population by bilingualism and trilingualism</w:t>
      </w:r>
      <w:r>
        <w:t xml:space="preserve">. </w:t>
      </w:r>
      <w:hyperlink r:id="rId122">
        <w:r>
          <w:rPr>
            <w:rFonts w:ascii="Calibri" w:hAnsi="Calibri" w:eastAsia="Calibri" w:cs="Calibri"/>
            <w:color w:val="2E74B5"/>
            <w:u w:val="single"/>
          </w:rPr>
          <w:t xml:space="preserve">https://censusindia.gov.in/nada/index.php/catalog/10262</w:t>
        </w:r>
      </w:hyperlink>
    </w:p>
    <w:p>
      <w:pPr>
        <w:widowControl/>
      </w:pPr>
      <w:r>
        <w:t xml:space="preserve">Department of Education, Republic of the Philippines. (n.d.-a). </w:t>
      </w:r>
      <w:r>
        <w:rPr>
          <w:rFonts w:ascii="Calibri" w:hAnsi="Calibri" w:eastAsia="Calibri" w:cs="Calibri"/>
          <w:i/>
        </w:rPr>
        <w:t>ALS learning materials</w:t>
      </w:r>
      <w:r>
        <w:t xml:space="preserve">. </w:t>
      </w:r>
      <w:hyperlink r:id="rId123">
        <w:r>
          <w:rPr>
            <w:rFonts w:ascii="Calibri" w:hAnsi="Calibri" w:eastAsia="Calibri" w:cs="Calibri"/>
            <w:color w:val="2E74B5"/>
            <w:u w:val="single"/>
          </w:rPr>
          <w:t xml:space="preserve">https://www.deped.gov.ph/als-learning-materials/</w:t>
        </w:r>
      </w:hyperlink>
    </w:p>
    <w:p>
      <w:pPr>
        <w:widowControl/>
      </w:pPr>
      <w:r>
        <w:t xml:space="preserve">Department of Education, Republic of the Philippines. (n.d.-b). </w:t>
      </w:r>
      <w:r>
        <w:rPr>
          <w:rFonts w:ascii="Calibri" w:hAnsi="Calibri" w:eastAsia="Calibri" w:cs="Calibri"/>
          <w:i/>
        </w:rPr>
        <w:t>Learning Resources Management and Development System</w:t>
      </w:r>
      <w:r>
        <w:t xml:space="preserve">. Retrieved September 5, 2026, from </w:t>
      </w:r>
      <w:hyperlink r:id="rId124">
        <w:r>
          <w:rPr>
            <w:rFonts w:ascii="Calibri" w:hAnsi="Calibri" w:eastAsia="Calibri" w:cs="Calibri"/>
            <w:color w:val="2E74B5"/>
            <w:u w:val="single"/>
          </w:rPr>
          <w:t xml:space="preserve">https://lrmds.deped.gov.ph/k_to_12</w:t>
        </w:r>
      </w:hyperlink>
    </w:p>
    <w:p>
      <w:pPr>
        <w:widowControl/>
      </w:pPr>
      <w:r>
        <w:t xml:space="preserve">Department of Education, Republic of the Philippines. (2025). </w:t>
      </w:r>
      <w:r>
        <w:rPr>
          <w:rFonts w:ascii="Calibri" w:hAnsi="Calibri" w:eastAsia="Calibri" w:cs="Calibri"/>
          <w:i/>
        </w:rPr>
        <w:t>Policy on the medium of instruction for Kindergarten to Grade 3 effective school year 2025-2026</w:t>
      </w:r>
      <w:r>
        <w:t xml:space="preserve"> (DepEd Order No. 020, s. 2025). </w:t>
      </w:r>
      <w:hyperlink r:id="rId125">
        <w:r>
          <w:rPr>
            <w:rFonts w:ascii="Calibri" w:hAnsi="Calibri" w:eastAsia="Calibri" w:cs="Calibri"/>
            <w:color w:val="2E74B5"/>
            <w:u w:val="single"/>
          </w:rPr>
          <w:t xml:space="preserve">https://www.deped.gov.ph/wp-content/uploads/DO_s2025_020r_8.pdf</w:t>
        </w:r>
      </w:hyperlink>
    </w:p>
    <w:p>
      <w:pPr>
        <w:widowControl/>
      </w:pPr>
      <w:r>
        <w:t xml:space="preserve">Philippine Statistics Authority. (2023a). </w:t>
      </w:r>
      <w:r>
        <w:rPr>
          <w:rFonts w:ascii="Calibri" w:hAnsi="Calibri" w:eastAsia="Calibri" w:cs="Calibri"/>
          <w:i/>
        </w:rPr>
        <w:t>Tagalog is the most widely spoken language at home (2020 Census of Population and Housing)</w:t>
      </w:r>
      <w:r>
        <w:t xml:space="preserve"> (Reference No. 2023-42). </w:t>
      </w:r>
      <w:hyperlink r:id="rId126">
        <w:r>
          <w:rPr>
            <w:rFonts w:ascii="Calibri" w:hAnsi="Calibri" w:eastAsia="Calibri" w:cs="Calibri"/>
            <w:color w:val="2E74B5"/>
            <w:u w:val="single"/>
          </w:rPr>
          <w:t xml:space="preserve">https://psa.gov.ph/content/tagalog-most-widely-spoken-language-home-2020-census-population-and-housing</w:t>
        </w:r>
      </w:hyperlink>
    </w:p>
    <w:p>
      <w:pPr>
        <w:widowControl/>
      </w:pPr>
      <w:r>
        <w:t xml:space="preserve">Philippine Statistics Authority. (2023b). </w:t>
      </w:r>
      <w:r>
        <w:rPr>
          <w:rFonts w:ascii="Calibri" w:hAnsi="Calibri" w:eastAsia="Calibri" w:cs="Calibri"/>
          <w:i/>
        </w:rPr>
        <w:t>More than 50 million have access to the Internet (2020 Census of Population and Housing)</w:t>
      </w:r>
      <w:r>
        <w:t xml:space="preserve"> (Reference No. 2023-73). </w:t>
      </w:r>
      <w:hyperlink r:id="rId127">
        <w:r>
          <w:rPr>
            <w:rFonts w:ascii="Calibri" w:hAnsi="Calibri" w:eastAsia="Calibri" w:cs="Calibri"/>
            <w:color w:val="2E74B5"/>
            <w:u w:val="single"/>
          </w:rPr>
          <w:t xml:space="preserve">https://psa.gov.ph/content/more-50-million-have-access-internet-2020-census-population-and-housing</w:t>
        </w:r>
      </w:hyperlink>
    </w:p>
    <w:p>
      <w:pPr>
        <w:widowControl/>
      </w:pPr>
      <w:r>
        <w:t xml:space="preserve">Philippine Statistics Authority. (2025a). </w:t>
      </w:r>
      <w:r>
        <w:rPr>
          <w:rFonts w:ascii="Calibri" w:hAnsi="Calibri" w:eastAsia="Calibri" w:cs="Calibri"/>
          <w:i/>
        </w:rPr>
        <w:t>For every 10 Filipinos, 9 have basic literacy, while 7 have functional literacy</w:t>
      </w:r>
      <w:r>
        <w:t xml:space="preserve"> (Reference No. 2025-118). </w:t>
      </w:r>
      <w:hyperlink r:id="rId128">
        <w:r>
          <w:rPr>
            <w:rFonts w:ascii="Calibri" w:hAnsi="Calibri" w:eastAsia="Calibri" w:cs="Calibri"/>
            <w:color w:val="2E74B5"/>
            <w:u w:val="single"/>
          </w:rPr>
          <w:t xml:space="preserve">https://psa.gov.ph/content/every-10-filipinos-9-have-basic-literacy-while-7-have-functional-literacy</w:t>
        </w:r>
      </w:hyperlink>
    </w:p>
    <w:p>
      <w:pPr>
        <w:widowControl/>
      </w:pPr>
      <w:r>
        <w:t xml:space="preserve">Philippine Statistics Authority. (2025b). </w:t>
      </w:r>
      <w:r>
        <w:rPr>
          <w:rFonts w:ascii="Calibri" w:hAnsi="Calibri" w:eastAsia="Calibri" w:cs="Calibri"/>
          <w:i/>
        </w:rPr>
        <w:t>Percentage of households with internet connection increased to 48.8 percent in 2024; two in every three individuals aged 10 years and over used the internet</w:t>
      </w:r>
      <w:r>
        <w:t xml:space="preserve">. </w:t>
      </w:r>
      <w:hyperlink r:id="rId129">
        <w:r>
          <w:rPr>
            <w:rFonts w:ascii="Calibri" w:hAnsi="Calibri" w:eastAsia="Calibri" w:cs="Calibri"/>
            <w:color w:val="2E74B5"/>
            <w:u w:val="single"/>
          </w:rPr>
          <w:t xml:space="preserve">https://psa.gov.ph/content/percentage-households-internet-connection-increased-488-percent-2024-two-every-three</w:t>
        </w:r>
      </w:hyperlink>
    </w:p>
    <w:p>
      <w:pPr>
        <w:widowControl/>
      </w:pPr>
      <w:r>
        <w:t xml:space="preserve">Bureau of National Statistics of Kazakhstan. (2021). </w:t>
      </w:r>
      <w:r>
        <w:rPr>
          <w:rFonts w:ascii="Calibri" w:hAnsi="Calibri" w:eastAsia="Calibri" w:cs="Calibri"/>
          <w:i/>
        </w:rPr>
        <w:t>National composition, religion and language proficiency in the Republic of Kazakhstan</w:t>
      </w:r>
      <w:r>
        <w:t xml:space="preserve">. </w:t>
      </w:r>
      <w:hyperlink r:id="rId130">
        <w:r>
          <w:rPr>
            <w:rFonts w:ascii="Calibri" w:hAnsi="Calibri" w:eastAsia="Calibri" w:cs="Calibri"/>
            <w:color w:val="2E74B5"/>
            <w:u w:val="single"/>
          </w:rPr>
          <w:t xml:space="preserve">https://stat.gov.kz/en/national/2021/</w:t>
        </w:r>
      </w:hyperlink>
    </w:p>
    <w:p>
      <w:pPr>
        <w:widowControl/>
      </w:pPr>
      <w:r>
        <w:t xml:space="preserve">Government of Mongolia. (2020). </w:t>
      </w:r>
      <w:r>
        <w:rPr>
          <w:rFonts w:ascii="Calibri" w:hAnsi="Calibri" w:eastAsia="Calibri" w:cs="Calibri"/>
          <w:i/>
        </w:rPr>
        <w:t>Mongolian State Report on the implementation of the 1960 Convention and Recommendation against Discrimination in Education</w:t>
      </w:r>
      <w:r>
        <w:t xml:space="preserve">. </w:t>
      </w:r>
      <w:hyperlink r:id="rId131">
        <w:r>
          <w:rPr>
            <w:rFonts w:ascii="Calibri" w:hAnsi="Calibri" w:eastAsia="Calibri" w:cs="Calibri"/>
            <w:color w:val="2E74B5"/>
            <w:u w:val="single"/>
          </w:rPr>
          <w:t xml:space="preserve">https://media.unesco.org/sites/default/files/webform/r2e002/mongolian-state-report-on-the-implementation-of-the-1960-convention-and-recommendation-against-discrimination-in-education-15-nov-2020.pdf</w:t>
        </w:r>
      </w:hyperlink>
    </w:p>
    <w:p>
      <w:pPr>
        <w:widowControl/>
      </w:pPr>
      <w:r>
        <w:t xml:space="preserve">National Statistical Committee of the Kyrgyz Republic. (2024). </w:t>
      </w:r>
      <w:r>
        <w:rPr>
          <w:rFonts w:ascii="Calibri" w:hAnsi="Calibri" w:eastAsia="Calibri" w:cs="Calibri"/>
          <w:i/>
        </w:rPr>
        <w:t>Students in daytime general educational organizations by language of instruction</w:t>
      </w:r>
      <w:r>
        <w:t xml:space="preserve">. </w:t>
      </w:r>
      <w:hyperlink r:id="rId132">
        <w:r>
          <w:rPr>
            <w:rFonts w:ascii="Calibri" w:hAnsi="Calibri" w:eastAsia="Calibri" w:cs="Calibri"/>
            <w:color w:val="2E74B5"/>
            <w:u w:val="single"/>
          </w:rPr>
          <w:t xml:space="preserve">https://stat.gov.kg/kg/opendata/category/4263/</w:t>
        </w:r>
      </w:hyperlink>
    </w:p>
    <w:p>
      <w:pPr>
        <w:widowControl/>
      </w:pPr>
      <w:r>
        <w:t xml:space="preserve">State Committee of the Republic of Uzbekistan on Statistics. (2022). </w:t>
      </w:r>
      <w:r>
        <w:rPr>
          <w:rFonts w:ascii="Calibri" w:hAnsi="Calibri" w:eastAsia="Calibri" w:cs="Calibri"/>
          <w:i/>
        </w:rPr>
        <w:t>Main statistical indicators of the activity of general secondary educational institutions</w:t>
      </w:r>
      <w:r>
        <w:t xml:space="preserve">. </w:t>
      </w:r>
      <w:hyperlink r:id="rId133">
        <w:r>
          <w:rPr>
            <w:rFonts w:ascii="Calibri" w:hAnsi="Calibri" w:eastAsia="Calibri" w:cs="Calibri"/>
            <w:color w:val="2E74B5"/>
            <w:u w:val="single"/>
          </w:rPr>
          <w:t xml:space="preserve">https://stat.uz/images/umumtalim-eng-30_03_2022.pdf</w:t>
        </w:r>
      </w:hyperlink>
    </w:p>
    <w:p>
      <w:pPr>
        <w:widowControl/>
      </w:pPr>
      <w:r>
        <w:t xml:space="preserve">World Bank &amp; UNESCO Institute for Statistics. (2024). </w:t>
      </w:r>
      <w:r>
        <w:rPr>
          <w:rFonts w:ascii="Calibri" w:hAnsi="Calibri" w:eastAsia="Calibri" w:cs="Calibri"/>
          <w:i/>
        </w:rPr>
        <w:t>Learning Poverty Briefs: Kazakhstan, Kyrgyz Republic, Mongolia, and Uzbekistan</w:t>
      </w:r>
      <w:r>
        <w:t xml:space="preserve">. </w:t>
      </w:r>
      <w:hyperlink r:id="rId134">
        <w:r>
          <w:rPr>
            <w:rFonts w:ascii="Calibri" w:hAnsi="Calibri" w:eastAsia="Calibri" w:cs="Calibri"/>
            <w:color w:val="2E74B5"/>
            <w:u w:val="single"/>
          </w:rPr>
          <w:t xml:space="preserve">https://www.worldbank.org/en/topic/education/brief/learning-poverty</w:t>
        </w:r>
      </w:hyperlink>
    </w:p>
    <w:p>
      <w:pPr>
        <w:widowControl/>
      </w:pPr>
      <w:r>
        <w:t xml:space="preserve">Xinjiang Uyghur Autonomous Region Statistics Bureau. (2021). </w:t>
      </w:r>
      <w:r>
        <w:rPr>
          <w:rFonts w:ascii="Calibri" w:hAnsi="Calibri" w:eastAsia="Calibri" w:cs="Calibri"/>
          <w:i/>
        </w:rPr>
        <w:t>Seventh National Population Census Bulletin No. 1</w:t>
      </w:r>
      <w:r>
        <w:t xml:space="preserve">. </w:t>
      </w:r>
      <w:hyperlink r:id="rId135">
        <w:r>
          <w:rPr>
            <w:rFonts w:ascii="Calibri" w:hAnsi="Calibri" w:eastAsia="Calibri" w:cs="Calibri"/>
            <w:color w:val="2E74B5"/>
            <w:u w:val="single"/>
          </w:rPr>
          <w:t xml:space="preserve">https://tjj.xinjiang.gov.cn/tjj/tjgn/202106/e3605637963f4f7280654a6f07af0b0e.shtml</w:t>
        </w:r>
      </w:hyperlink>
    </w:p>
    <w:p>
      <w:pPr>
        <w:widowControl/>
      </w:pPr>
      <w:r>
        <w:t xml:space="preserve">Pakistan Bureau of Statistics. (2023a). </w:t>
      </w:r>
      <w:r>
        <w:rPr>
          <w:rFonts w:ascii="Calibri" w:hAnsi="Calibri" w:eastAsia="Calibri" w:cs="Calibri"/>
          <w:i/>
        </w:rPr>
        <w:t>Population by single year age, sex and rural/urban: Census 2023</w:t>
      </w:r>
      <w:r>
        <w:t xml:space="preserve"> (Table 4). </w:t>
      </w:r>
      <w:hyperlink r:id="rId136">
        <w:r>
          <w:rPr>
            <w:rFonts w:ascii="Calibri" w:hAnsi="Calibri" w:eastAsia="Calibri" w:cs="Calibri"/>
            <w:color w:val="2E74B5"/>
            <w:u w:val="single"/>
          </w:rPr>
          <w:t xml:space="preserve">https://www.pbs.gov.pk/wp-content/uploads/census_tables/tables/Table_4_national.pdf</w:t>
        </w:r>
      </w:hyperlink>
    </w:p>
    <w:p>
      <w:pPr>
        <w:widowControl/>
      </w:pPr>
      <w:r>
        <w:t xml:space="preserve">Pakistan Bureau of Statistics. (2023b). </w:t>
      </w:r>
      <w:r>
        <w:rPr>
          <w:rFonts w:ascii="Calibri" w:hAnsi="Calibri" w:eastAsia="Calibri" w:cs="Calibri"/>
          <w:i/>
        </w:rPr>
        <w:t>Population by mother tongue, sex and rural/urban: Census 2023</w:t>
      </w:r>
      <w:r>
        <w:t xml:space="preserve"> (Table 11). </w:t>
      </w:r>
      <w:hyperlink r:id="rId137">
        <w:r>
          <w:rPr>
            <w:rFonts w:ascii="Calibri" w:hAnsi="Calibri" w:eastAsia="Calibri" w:cs="Calibri"/>
            <w:color w:val="2E74B5"/>
            <w:u w:val="single"/>
          </w:rPr>
          <w:t xml:space="preserve">https://www.pbs.gov.pk/wp-content/uploads/census_tables/tables/table_11_national.pdf</w:t>
        </w:r>
      </w:hyperlink>
    </w:p>
    <w:p>
      <w:pPr>
        <w:widowControl/>
      </w:pPr>
      <w:r>
        <w:t xml:space="preserve">Pakistan Bureau of Statistics. (2023c). </w:t>
      </w:r>
      <w:r>
        <w:rPr>
          <w:rFonts w:ascii="Calibri" w:hAnsi="Calibri" w:eastAsia="Calibri" w:cs="Calibri"/>
          <w:i/>
        </w:rPr>
        <w:t>Literacy rate, enrolment and out-of-school population by sex and rural/urban: Census 2023</w:t>
      </w:r>
      <w:r>
        <w:t xml:space="preserve"> (Table 12). </w:t>
      </w:r>
      <w:hyperlink r:id="rId138">
        <w:r>
          <w:rPr>
            <w:rFonts w:ascii="Calibri" w:hAnsi="Calibri" w:eastAsia="Calibri" w:cs="Calibri"/>
            <w:color w:val="2E74B5"/>
            <w:u w:val="single"/>
          </w:rPr>
          <w:t xml:space="preserve">https://www.pbs.gov.pk/wp-content/uploads/census_tables/tables/table_12_national.pdf</w:t>
        </w:r>
      </w:hyperlink>
    </w:p>
    <w:p>
      <w:pPr>
        <w:widowControl/>
      </w:pPr>
      <w:r>
        <w:t xml:space="preserve">Higher Education Commission, Pakistan. (n.d.). </w:t>
      </w:r>
      <w:r>
        <w:rPr>
          <w:rFonts w:ascii="Calibri" w:hAnsi="Calibri" w:eastAsia="Calibri" w:cs="Calibri"/>
          <w:i/>
        </w:rPr>
        <w:t>Digital library frequently asked questions</w:t>
      </w:r>
      <w:r>
        <w:t xml:space="preserve">. Retrieved September 5, 2026, from </w:t>
      </w:r>
      <w:hyperlink r:id="rId139">
        <w:r>
          <w:rPr>
            <w:rFonts w:ascii="Calibri" w:hAnsi="Calibri" w:eastAsia="Calibri" w:cs="Calibri"/>
            <w:color w:val="2E74B5"/>
            <w:u w:val="single"/>
          </w:rPr>
          <w:t xml:space="preserve">https://www.hec.gov.pk/english/services/students/DL/Pages/FAQs.aspx</w:t>
        </w:r>
      </w:hyperlink>
    </w:p>
    <w:p>
      <w:pPr>
        <w:widowControl/>
      </w:pPr>
      <w:r>
        <w:t xml:space="preserve">Higher Education Commission, Pakistan. (2025). </w:t>
      </w:r>
      <w:r>
        <w:rPr>
          <w:rFonts w:ascii="Calibri" w:hAnsi="Calibri" w:eastAsia="Calibri" w:cs="Calibri"/>
          <w:i/>
        </w:rPr>
        <w:t>Annual report 2023-24</w:t>
      </w:r>
      <w:r>
        <w:t xml:space="preserve">. </w:t>
      </w:r>
      <w:hyperlink r:id="rId140">
        <w:r>
          <w:rPr>
            <w:rFonts w:ascii="Calibri" w:hAnsi="Calibri" w:eastAsia="Calibri" w:cs="Calibri"/>
            <w:color w:val="2E74B5"/>
            <w:u w:val="single"/>
          </w:rPr>
          <w:t xml:space="preserve">https://www.hec.gov.pk/english/news/AnnualReports/Annual-Report-2023-24.pdf</w:t>
        </w:r>
      </w:hyperlink>
    </w:p>
    <w:p>
      <w:pPr>
        <w:widowControl/>
      </w:pPr>
      <w:r>
        <w:t xml:space="preserve">Ministry of Human Rights, Pakistan. (2024). </w:t>
      </w:r>
      <w:r>
        <w:rPr>
          <w:rFonts w:ascii="Calibri" w:hAnsi="Calibri" w:eastAsia="Calibri" w:cs="Calibri"/>
          <w:i/>
        </w:rPr>
        <w:t>Year book 2022-23</w:t>
      </w:r>
      <w:r>
        <w:t xml:space="preserve">. </w:t>
      </w:r>
      <w:hyperlink r:id="rId141">
        <w:r>
          <w:rPr>
            <w:rFonts w:ascii="Calibri" w:hAnsi="Calibri" w:eastAsia="Calibri" w:cs="Calibri"/>
            <w:color w:val="2E74B5"/>
            <w:u w:val="single"/>
          </w:rPr>
          <w:t xml:space="preserve">https://mohr.gov.pk/SiteImage/Misc/files/Final%20Draft%20Year%20Book%202022-23%20ver%202nd%20April,%202024.pdf</w:t>
        </w:r>
      </w:hyperlink>
    </w:p>
    <w:p>
      <w:pPr>
        <w:widowControl/>
      </w:pPr>
      <w:r>
        <w:t xml:space="preserve">National Curriculum Council. (2025). </w:t>
      </w:r>
      <w:r>
        <w:rPr>
          <w:rFonts w:ascii="Calibri" w:hAnsi="Calibri" w:eastAsia="Calibri" w:cs="Calibri"/>
          <w:i/>
        </w:rPr>
        <w:t>Inclusive scheme of studies, version I</w:t>
      </w:r>
      <w:r>
        <w:t xml:space="preserve">. </w:t>
      </w:r>
      <w:hyperlink r:id="rId142">
        <w:r>
          <w:rPr>
            <w:rFonts w:ascii="Calibri" w:hAnsi="Calibri" w:eastAsia="Calibri" w:cs="Calibri"/>
            <w:color w:val="2E74B5"/>
            <w:u w:val="single"/>
          </w:rPr>
          <w:t xml:space="preserve">https://ncc.gov.pk/SiteImage/Misc/files/Inclusive%20Scheme%20of%20Studies%20Version%20I%281%29.pdf</w:t>
        </w:r>
      </w:hyperlink>
    </w:p>
    <w:p>
      <w:pPr>
        <w:widowControl/>
      </w:pPr>
      <w:r>
        <w:t xml:space="preserve">Pakistan Institute of Education. (2024a). </w:t>
      </w:r>
      <w:r>
        <w:rPr>
          <w:rFonts w:ascii="Calibri" w:hAnsi="Calibri" w:eastAsia="Calibri" w:cs="Calibri"/>
          <w:i/>
        </w:rPr>
        <w:t>Pakistan non-formal education statistics 2022-23</w:t>
      </w:r>
      <w:r>
        <w:t xml:space="preserve">. </w:t>
      </w:r>
      <w:hyperlink r:id="rId143">
        <w:r>
          <w:rPr>
            <w:rFonts w:ascii="Calibri" w:hAnsi="Calibri" w:eastAsia="Calibri" w:cs="Calibri"/>
            <w:color w:val="2E74B5"/>
            <w:u w:val="single"/>
          </w:rPr>
          <w:t xml:space="preserve">https://pie.gov.pk/SiteImage/Publication/NFE.pdf</w:t>
        </w:r>
      </w:hyperlink>
    </w:p>
    <w:p>
      <w:pPr>
        <w:widowControl/>
      </w:pPr>
      <w:r>
        <w:t xml:space="preserve">Pakistan Institute of Education. (2024b). </w:t>
      </w:r>
      <w:r>
        <w:rPr>
          <w:rFonts w:ascii="Calibri" w:hAnsi="Calibri" w:eastAsia="Calibri" w:cs="Calibri"/>
          <w:i/>
        </w:rPr>
        <w:t>National Achievement Test 2023: Findings report</w:t>
      </w:r>
      <w:r>
        <w:t xml:space="preserve">. </w:t>
      </w:r>
      <w:hyperlink r:id="rId144">
        <w:r>
          <w:rPr>
            <w:rFonts w:ascii="Calibri" w:hAnsi="Calibri" w:eastAsia="Calibri" w:cs="Calibri"/>
            <w:color w:val="2E74B5"/>
            <w:u w:val="single"/>
          </w:rPr>
          <w:t xml:space="preserve">https://pie.gov.pk/SiteImage/Downloads/NAT%202023%20Findings%20Report%2006.03.2024%20-Final-%20v6.pdf</w:t>
        </w:r>
      </w:hyperlink>
    </w:p>
    <w:p>
      <w:pPr>
        <w:widowControl/>
      </w:pPr>
      <w:r>
        <w:t xml:space="preserve">Uwezo Tanzania. (2019). </w:t>
      </w:r>
      <w:r>
        <w:rPr>
          <w:rFonts w:ascii="Calibri" w:hAnsi="Calibri" w:eastAsia="Calibri" w:cs="Calibri"/>
          <w:i/>
        </w:rPr>
        <w:t>Are our children learning? Tanzania learning assessment report</w:t>
      </w:r>
      <w:r>
        <w:t xml:space="preserve">. Twaweza East Africa. </w:t>
      </w:r>
      <w:hyperlink r:id="rId145">
        <w:r>
          <w:rPr>
            <w:rFonts w:ascii="Calibri" w:hAnsi="Calibri" w:eastAsia="Calibri" w:cs="Calibri"/>
            <w:color w:val="2E74B5"/>
            <w:u w:val="single"/>
          </w:rPr>
          <w:t xml:space="preserve">https://twaweza.org/wp-content/uploads/2021/01/Tanzania-Report-FINAL3-2019-13-12-2019-Print-Readyzm.pdf</w:t>
        </w:r>
      </w:hyperlink>
    </w:p>
    <w:p>
      <w:pPr>
        <w:widowControl/>
      </w:pPr>
      <w:r>
        <w:t xml:space="preserve">National Curriculum and Textbook Board. (2026). </w:t>
      </w:r>
      <w:r>
        <w:rPr>
          <w:rFonts w:ascii="Calibri" w:hAnsi="Calibri" w:eastAsia="Calibri" w:cs="Calibri"/>
          <w:i/>
        </w:rPr>
        <w:t>প্রাথমিক গণিত, দ্বিতীয় শ্রেণি [Primary mathematics, grade 2]</w:t>
      </w:r>
      <w:r>
        <w:t xml:space="preserve"> (2026 academic-year reprint). </w:t>
      </w:r>
      <w:hyperlink r:id="rId146">
        <w:r>
          <w:rPr>
            <w:rFonts w:ascii="Calibri" w:hAnsi="Calibri" w:eastAsia="Calibri" w:cs="Calibri"/>
            <w:color w:val="2E74B5"/>
            <w:u w:val="single"/>
          </w:rPr>
          <w:t xml:space="preserve">https://drive.egovcloud.gov.bd/index.php/s/VeBQB1ZuzSZPRBJ</w:t>
        </w:r>
      </w:hyperlink>
    </w:p>
    <w:p>
      <w:pPr>
        <w:widowControl/>
      </w:pPr>
      <w:r>
        <w:t xml:space="preserve">Merunka, V., van Steenbergen, J., Yordanova, L., &amp; Kocór, M. (2019). The Interslavic language as a tool for supporting e-democracy in Central and Eastern Europe. </w:t>
      </w:r>
      <w:r>
        <w:rPr>
          <w:rFonts w:ascii="Calibri" w:hAnsi="Calibri" w:eastAsia="Calibri" w:cs="Calibri"/>
          <w:i/>
        </w:rPr>
        <w:t>International Journal of Electronic Governance, 11</w:t>
      </w:r>
      <w:r>
        <w:t xml:space="preserve">(3/4), 260-288. </w:t>
      </w:r>
      <w:hyperlink r:id="rId147">
        <w:r>
          <w:rPr>
            <w:rFonts w:ascii="Calibri" w:hAnsi="Calibri" w:eastAsia="Calibri" w:cs="Calibri"/>
            <w:color w:val="2E74B5"/>
            <w:u w:val="single"/>
          </w:rPr>
          <w:t xml:space="preserve">https://interslavic-language.org/doc/ijeg-2019-interslavic.pdf</w:t>
        </w:r>
      </w:hyperlink>
    </w:p>
    <w:p>
      <w:pPr>
        <w:widowControl/>
      </w:pPr>
      <w:r>
        <w:t xml:space="preserve">Khan Academy. (n.d.). </w:t>
      </w:r>
      <w:r>
        <w:rPr>
          <w:rFonts w:ascii="Calibri" w:hAnsi="Calibri" w:eastAsia="Calibri" w:cs="Calibri"/>
          <w:i/>
        </w:rPr>
        <w:t>Early mathematics: Counting</w:t>
      </w:r>
      <w:r>
        <w:t xml:space="preserve"> [Bangla learning materials]. </w:t>
      </w:r>
      <w:hyperlink r:id="rId148">
        <w:r>
          <w:rPr>
            <w:rFonts w:ascii="Calibri" w:hAnsi="Calibri" w:eastAsia="Calibri" w:cs="Calibri"/>
            <w:color w:val="2E74B5"/>
            <w:u w:val="single"/>
          </w:rPr>
          <w:t xml:space="preserve">https://bn.khanacademy.org/math/early-math/cc-early-math-counting-topic</w:t>
        </w:r>
      </w:hyperlink>
    </w:p>
    <w:p>
      <w:pPr>
        <w:widowControl/>
      </w:pPr>
      <w:r>
        <w:t xml:space="preserve">National Institute of Statistics of Rwanda. (2023). </w:t>
      </w:r>
      <w:r>
        <w:rPr>
          <w:rFonts w:ascii="Calibri" w:hAnsi="Calibri" w:eastAsia="Calibri" w:cs="Calibri"/>
          <w:i/>
        </w:rPr>
        <w:t>Fifth Rwanda Population and Housing Census: Education characteristics of population</w:t>
      </w:r>
      <w:r>
        <w:t xml:space="preserve">. Tables 7.7, C.25 and C.31. </w:t>
      </w:r>
      <w:hyperlink r:id="rId149">
        <w:r>
          <w:rPr>
            <w:rFonts w:ascii="Calibri" w:hAnsi="Calibri" w:eastAsia="Calibri" w:cs="Calibri"/>
            <w:color w:val="2E74B5"/>
            <w:u w:val="single"/>
          </w:rPr>
          <w:t xml:space="preserve">https://statistics.gov.rw/sites/default/files/documents/2025-02/Education.pdf</w:t>
        </w:r>
      </w:hyperlink>
    </w:p>
    <w:p>
      <w:pPr>
        <w:widowControl/>
      </w:pPr>
      <w:r>
        <w:t xml:space="preserve">Rwanda Basic Education Board. (n.d.). </w:t>
      </w:r>
      <w:r>
        <w:rPr>
          <w:rFonts w:ascii="Calibri" w:hAnsi="Calibri" w:eastAsia="Calibri" w:cs="Calibri"/>
          <w:i/>
        </w:rPr>
        <w:t>Translated books are now available for students and teachers</w:t>
      </w:r>
      <w:r>
        <w:t xml:space="preserve">. </w:t>
      </w:r>
      <w:hyperlink r:id="rId150">
        <w:r>
          <w:rPr>
            <w:rFonts w:ascii="Calibri" w:hAnsi="Calibri" w:eastAsia="Calibri" w:cs="Calibri"/>
            <w:color w:val="2E74B5"/>
            <w:u w:val="single"/>
          </w:rPr>
          <w:t xml:space="preserve">https://www.reb.gov.rw/news-detail/translated-books-are-now-available-for-students-and-teachers</w:t>
        </w:r>
      </w:hyperlink>
    </w:p>
    <w:p>
      <w:pPr>
        <w:widowControl/>
      </w:pPr>
      <w:r>
        <w:t xml:space="preserve">Federated States of Micronesia Statistics. (2024). </w:t>
      </w:r>
      <w:r>
        <w:rPr>
          <w:rFonts w:ascii="Calibri" w:hAnsi="Calibri" w:eastAsia="Calibri" w:cs="Calibri"/>
          <w:i/>
        </w:rPr>
        <w:t>2023 FSM municipality workbook</w:t>
      </w:r>
      <w:r>
        <w:t xml:space="preserve">. </w:t>
      </w:r>
      <w:hyperlink r:id="rId151">
        <w:r>
          <w:rPr>
            <w:rFonts w:ascii="Calibri" w:hAnsi="Calibri" w:eastAsia="Calibri" w:cs="Calibri"/>
            <w:color w:val="2E74B5"/>
            <w:u w:val="single"/>
          </w:rPr>
          <w:t xml:space="preserve">https://www.pacificweb.org/library/preview.php?file=fsm/states/2023FSMMunicipality.xlsx</w:t>
        </w:r>
      </w:hyperlink>
    </w:p>
    <w:p>
      <w:pPr>
        <w:widowControl/>
      </w:pPr>
      <w:r>
        <w:t xml:space="preserve">Government of Alberta. (n.d.). </w:t>
      </w:r>
      <w:r>
        <w:rPr>
          <w:rFonts w:ascii="Calibri" w:hAnsi="Calibri" w:eastAsia="Calibri" w:cs="Calibri"/>
          <w:i/>
        </w:rPr>
        <w:t>Plains Cree Y-dialect Grade 7-9 guide to implementation</w:t>
      </w:r>
      <w:r>
        <w:t xml:space="preserve"> [Draft guide]. </w:t>
      </w:r>
      <w:hyperlink r:id="rId152">
        <w:r>
          <w:rPr>
            <w:rFonts w:ascii="Calibri" w:hAnsi="Calibri" w:eastAsia="Calibri" w:cs="Calibri"/>
            <w:color w:val="2E74B5"/>
            <w:u w:val="single"/>
          </w:rPr>
          <w:t xml:space="preserve">https://open.alberta.ca/dataset/ac9f2505-2b2d-4e4f-919e-41769c41d6ca/resource/4c805ee1-02bf-4721-a62e-c78ba6875038/download/cree-12y-guide-to-implementation-7-9-draft.pdf</w:t>
        </w:r>
      </w:hyperlink>
    </w:p>
    <w:p>
      <w:pPr>
        <w:widowControl/>
      </w:pPr>
      <w:r>
        <w:t xml:space="preserve">Government of Nunavut. (2024). </w:t>
      </w:r>
      <w:r>
        <w:rPr>
          <w:rFonts w:ascii="Calibri" w:hAnsi="Calibri" w:eastAsia="Calibri" w:cs="Calibri"/>
          <w:i/>
        </w:rPr>
        <w:t>Department of Education annual report 2022-23</w:t>
      </w:r>
      <w:r>
        <w:t xml:space="preserve">. </w:t>
      </w:r>
      <w:hyperlink r:id="rId153">
        <w:r>
          <w:rPr>
            <w:rFonts w:ascii="Calibri" w:hAnsi="Calibri" w:eastAsia="Calibri" w:cs="Calibri"/>
            <w:color w:val="2E74B5"/>
            <w:u w:val="single"/>
          </w:rPr>
          <w:t xml:space="preserve">https://www.assembly.nu.ca/sites/default/files/2024-11/EDU%20Annual%20Report%202022-23%20EN.pdf</w:t>
        </w:r>
      </w:hyperlink>
    </w:p>
    <w:p>
      <w:pPr>
        <w:widowControl/>
      </w:pPr>
      <w:r>
        <w:t xml:space="preserve">Government of Nunavut. (2025). </w:t>
      </w:r>
      <w:r>
        <w:rPr>
          <w:rFonts w:ascii="Calibri" w:hAnsi="Calibri" w:eastAsia="Calibri" w:cs="Calibri"/>
          <w:i/>
        </w:rPr>
        <w:t>Department of Education annual report 2023-24</w:t>
      </w:r>
      <w:r>
        <w:t xml:space="preserve">. </w:t>
      </w:r>
      <w:hyperlink r:id="rId154">
        <w:r>
          <w:rPr>
            <w:rFonts w:ascii="Calibri" w:hAnsi="Calibri" w:eastAsia="Calibri" w:cs="Calibri"/>
            <w:color w:val="2E74B5"/>
            <w:u w:val="single"/>
          </w:rPr>
          <w:t xml:space="preserve">https://www.assembly.nu.ca/sites/default/files/2025-09/TD-463-6(2)-EN-Education%20Annual%20Report%202023-24.pdf</w:t>
        </w:r>
      </w:hyperlink>
    </w:p>
    <w:p>
      <w:pPr>
        <w:widowControl/>
      </w:pPr>
      <w:r>
        <w:t xml:space="preserve">Guatemala Instituto Nacional de Estadística. (2019). </w:t>
      </w:r>
      <w:r>
        <w:rPr>
          <w:rFonts w:ascii="Calibri" w:hAnsi="Calibri" w:eastAsia="Calibri" w:cs="Calibri"/>
          <w:i/>
        </w:rPr>
        <w:t>XII Censo Nacional de Población y VII de Vivienda: Principales resultados</w:t>
      </w:r>
      <w:r>
        <w:t xml:space="preserve">. </w:t>
      </w:r>
      <w:hyperlink r:id="rId155">
        <w:r>
          <w:rPr>
            <w:rFonts w:ascii="Calibri" w:hAnsi="Calibri" w:eastAsia="Calibri" w:cs="Calibri"/>
            <w:color w:val="2E74B5"/>
            <w:u w:val="single"/>
          </w:rPr>
          <w:t xml:space="preserve">https://censo2018.ine.gob.gt/archivos/Principales_resultados_Censo2018.pdf</w:t>
        </w:r>
      </w:hyperlink>
    </w:p>
    <w:p>
      <w:pPr>
        <w:widowControl/>
      </w:pPr>
      <w:r>
        <w:t xml:space="preserve">Guatemala Ministry of Education. (2022). </w:t>
      </w:r>
      <w:r>
        <w:rPr>
          <w:rFonts w:ascii="Calibri" w:hAnsi="Calibri" w:eastAsia="Calibri" w:cs="Calibri"/>
          <w:i/>
        </w:rPr>
        <w:t>Memoria de labores 2022</w:t>
      </w:r>
      <w:r>
        <w:t xml:space="preserve">. </w:t>
      </w:r>
      <w:hyperlink r:id="rId156">
        <w:r>
          <w:rPr>
            <w:rFonts w:ascii="Calibri" w:hAnsi="Calibri" w:eastAsia="Calibri" w:cs="Calibri"/>
            <w:color w:val="2E74B5"/>
            <w:u w:val="single"/>
          </w:rPr>
          <w:t xml:space="preserve">https://edu.mineduc.gob.gt/documents/memoriaLabores/Memoria_de_Labores_2022.pdf</w:t>
        </w:r>
      </w:hyperlink>
    </w:p>
    <w:p>
      <w:pPr>
        <w:widowControl/>
      </w:pPr>
      <w:r>
        <w:t xml:space="preserve">Institut Haïtien de Statistique et d’Informatique. (2024). </w:t>
      </w:r>
      <w:r>
        <w:rPr>
          <w:rFonts w:ascii="Calibri" w:hAnsi="Calibri" w:eastAsia="Calibri" w:cs="Calibri"/>
          <w:i/>
        </w:rPr>
        <w:t>Projections et estimations de la population</w:t>
      </w:r>
      <w:r>
        <w:t xml:space="preserve">. </w:t>
      </w:r>
      <w:hyperlink r:id="rId157">
        <w:r>
          <w:rPr>
            <w:rFonts w:ascii="Calibri" w:hAnsi="Calibri" w:eastAsia="Calibri" w:cs="Calibri"/>
            <w:color w:val="2E74B5"/>
            <w:u w:val="single"/>
          </w:rPr>
          <w:t xml:space="preserve">https://www.ihsi.gouv.ht/statistiques/statistiques_demographiques_et_sociales/projections_et_estimations_de_la_population</w:t>
        </w:r>
      </w:hyperlink>
    </w:p>
    <w:p>
      <w:pPr>
        <w:widowControl/>
      </w:pPr>
      <w:r>
        <w:t xml:space="preserve">Marshall Islands Economic Policy, Planning and Statistics Office. (2022). </w:t>
      </w:r>
      <w:r>
        <w:rPr>
          <w:rFonts w:ascii="Calibri" w:hAnsi="Calibri" w:eastAsia="Calibri" w:cs="Calibri"/>
          <w:i/>
        </w:rPr>
        <w:t>2021 census report</w:t>
      </w:r>
      <w:r>
        <w:t xml:space="preserve">. </w:t>
      </w:r>
      <w:hyperlink r:id="rId158">
        <w:r>
          <w:rPr>
            <w:rFonts w:ascii="Calibri" w:hAnsi="Calibri" w:eastAsia="Calibri" w:cs="Calibri"/>
            <w:color w:val="2E74B5"/>
            <w:u w:val="single"/>
          </w:rPr>
          <w:t xml:space="preserve">https://prdrse4all.spc.int/sites/default/files/marshall_islands_census_report_2021.pdf</w:t>
        </w:r>
      </w:hyperlink>
    </w:p>
    <w:p>
      <w:pPr>
        <w:widowControl/>
      </w:pPr>
      <w:r>
        <w:t xml:space="preserve">Paraguay Instituto Nacional de Estadística. (2022). </w:t>
      </w:r>
      <w:r>
        <w:rPr>
          <w:rFonts w:ascii="Calibri" w:hAnsi="Calibri" w:eastAsia="Calibri" w:cs="Calibri"/>
          <w:i/>
        </w:rPr>
        <w:t>Día Internacional de la Lengua Materna: EPHC 2022</w:t>
      </w:r>
      <w:r>
        <w:t xml:space="preserve">. </w:t>
      </w:r>
      <w:hyperlink r:id="rId159">
        <w:r>
          <w:rPr>
            <w:rFonts w:ascii="Calibri" w:hAnsi="Calibri" w:eastAsia="Calibri" w:cs="Calibri"/>
            <w:color w:val="2E74B5"/>
            <w:u w:val="single"/>
          </w:rPr>
          <w:t xml:space="preserve">https://www.ine.gov.py/ende/contenido.php?c=1484&amp;title=21_de_febrero,_D%C3%ADa_Internacional_de_la_Lengua_Materna</w:t>
        </w:r>
      </w:hyperlink>
    </w:p>
    <w:p>
      <w:pPr>
        <w:widowControl/>
      </w:pPr>
      <w:r>
        <w:t xml:space="preserve">Paraguay Ministry of Education. (2022). </w:t>
      </w:r>
      <w:r>
        <w:rPr>
          <w:rFonts w:ascii="Calibri" w:hAnsi="Calibri" w:eastAsia="Calibri" w:cs="Calibri"/>
          <w:i/>
        </w:rPr>
        <w:t>Plan Nacional de Transformación Educativa Paraguay 2040</w:t>
      </w:r>
      <w:r>
        <w:t xml:space="preserve">. </w:t>
      </w:r>
      <w:hyperlink r:id="rId160">
        <w:r>
          <w:rPr>
            <w:rFonts w:ascii="Calibri" w:hAnsi="Calibri" w:eastAsia="Calibri" w:cs="Calibri"/>
            <w:color w:val="2E74B5"/>
            <w:u w:val="single"/>
          </w:rPr>
          <w:t xml:space="preserve">https://siteal.iiep.unesco.org/sites/default/files/sit_accion_files/plan_nacional_de_transformacion_educativa_paraguay_2040.pdf</w:t>
        </w:r>
      </w:hyperlink>
    </w:p>
    <w:p>
      <w:pPr>
        <w:widowControl/>
      </w:pPr>
      <w:r>
        <w:t xml:space="preserve">Peru Ministry of Education. (2018). </w:t>
      </w:r>
      <w:r>
        <w:rPr>
          <w:rFonts w:ascii="Calibri" w:hAnsi="Calibri" w:eastAsia="Calibri" w:cs="Calibri"/>
          <w:i/>
        </w:rPr>
        <w:t>Resultados 2018: Evaluación Censal y Muestral de Estudiantes</w:t>
      </w:r>
      <w:r>
        <w:t xml:space="preserve">. </w:t>
      </w:r>
      <w:hyperlink r:id="rId161">
        <w:r>
          <w:rPr>
            <w:rFonts w:ascii="Calibri" w:hAnsi="Calibri" w:eastAsia="Calibri" w:cs="Calibri"/>
            <w:color w:val="2E74B5"/>
            <w:u w:val="single"/>
          </w:rPr>
          <w:t xml:space="preserve">https://repositorio.minedu.gob.pe/bitstream/handle/20.500.12799/6562/Resultados%202018%20Evaluaci%C3%B3n%20Censal%20de%20Estudiantes%20y%20Evaluaci%C3%B3n%20Muestral%20de%20Estudiantes%20evaluaciones%20de%20logros%20de%20aprendizaje.pdf?isAllowed=y&amp;sequence=1</w:t>
        </w:r>
      </w:hyperlink>
    </w:p>
    <w:p>
      <w:pPr>
        <w:widowControl/>
      </w:pPr>
      <w:r>
        <w:t xml:space="preserve">Solomon Islands National Statistics Office. (2023). </w:t>
      </w:r>
      <w:r>
        <w:rPr>
          <w:rFonts w:ascii="Calibri" w:hAnsi="Calibri" w:eastAsia="Calibri" w:cs="Calibri"/>
          <w:i/>
        </w:rPr>
        <w:t>English is Solomon Islands’ most predominant language in communication</w:t>
      </w:r>
      <w:r>
        <w:t xml:space="preserve">. </w:t>
      </w:r>
      <w:hyperlink r:id="rId162">
        <w:r>
          <w:rPr>
            <w:rFonts w:ascii="Calibri" w:hAnsi="Calibri" w:eastAsia="Calibri" w:cs="Calibri"/>
            <w:color w:val="2E74B5"/>
            <w:u w:val="single"/>
          </w:rPr>
          <w:t xml:space="preserve">https://statistics.gov.sb/english-is-solomon-islands-most-predominant-language-in-communication/</w:t>
        </w:r>
      </w:hyperlink>
    </w:p>
    <w:p>
      <w:pPr>
        <w:widowControl/>
      </w:pPr>
      <w:r>
        <w:t xml:space="preserve">State of Hawaiʻi Department of Business, Economic Development &amp; Tourism. (2019). </w:t>
      </w:r>
      <w:r>
        <w:rPr>
          <w:rFonts w:ascii="Calibri" w:hAnsi="Calibri" w:eastAsia="Calibri" w:cs="Calibri"/>
          <w:i/>
        </w:rPr>
        <w:t>State of Hawaii Data Book 2018, Section 1</w:t>
      </w:r>
      <w:r>
        <w:t xml:space="preserve">. </w:t>
      </w:r>
      <w:hyperlink r:id="rId163">
        <w:r>
          <w:rPr>
            <w:rFonts w:ascii="Calibri" w:hAnsi="Calibri" w:eastAsia="Calibri" w:cs="Calibri"/>
            <w:color w:val="2E74B5"/>
            <w:u w:val="single"/>
          </w:rPr>
          <w:t xml:space="preserve">https://files.hawaii.gov/dbedt/economic/databook/db2018/section01.pdf</w:t>
        </w:r>
      </w:hyperlink>
    </w:p>
    <w:p>
      <w:pPr>
        <w:widowControl/>
      </w:pPr>
      <w:r>
        <w:t xml:space="preserve">Statistics Canada. (2025a). </w:t>
      </w:r>
      <w:r>
        <w:rPr>
          <w:rFonts w:ascii="Calibri" w:hAnsi="Calibri" w:eastAsia="Calibri" w:cs="Calibri"/>
          <w:i/>
        </w:rPr>
        <w:t>Algonquian languages, 2021 Census</w:t>
      </w:r>
      <w:r>
        <w:t xml:space="preserve">. </w:t>
      </w:r>
      <w:hyperlink r:id="rId164">
        <w:r>
          <w:rPr>
            <w:rFonts w:ascii="Calibri" w:hAnsi="Calibri" w:eastAsia="Calibri" w:cs="Calibri"/>
            <w:color w:val="2E74B5"/>
            <w:u w:val="single"/>
          </w:rPr>
          <w:t xml:space="preserve">https://www150.statcan.gc.ca/n1/pub/41-20-0002/412000022025002-eng.htm</w:t>
        </w:r>
      </w:hyperlink>
    </w:p>
    <w:p>
      <w:pPr>
        <w:widowControl/>
      </w:pPr>
      <w:r>
        <w:t xml:space="preserve">Statistics Canada. (2025b). </w:t>
      </w:r>
      <w:r>
        <w:rPr>
          <w:rFonts w:ascii="Calibri" w:hAnsi="Calibri" w:eastAsia="Calibri" w:cs="Calibri"/>
          <w:i/>
        </w:rPr>
        <w:t>Inuktut languages, 2021 Census</w:t>
      </w:r>
      <w:r>
        <w:t xml:space="preserve">. </w:t>
      </w:r>
      <w:hyperlink r:id="rId165">
        <w:r>
          <w:rPr>
            <w:rFonts w:ascii="Calibri" w:hAnsi="Calibri" w:eastAsia="Calibri" w:cs="Calibri"/>
            <w:color w:val="2E74B5"/>
            <w:u w:val="single"/>
          </w:rPr>
          <w:t xml:space="preserve">https://www150.statcan.gc.ca/n1/pub/41-20-0002/412000022025004-eng.htm</w:t>
        </w:r>
      </w:hyperlink>
    </w:p>
    <w:p>
      <w:pPr>
        <w:widowControl/>
      </w:pPr>
      <w:r>
        <w:t xml:space="preserve">Statistics Greenland. (2026). </w:t>
      </w:r>
      <w:r>
        <w:rPr>
          <w:rFonts w:ascii="Calibri" w:hAnsi="Calibri" w:eastAsia="Calibri" w:cs="Calibri"/>
          <w:i/>
        </w:rPr>
        <w:t>Befolkningsstatus 1. januar 2026</w:t>
      </w:r>
      <w:r>
        <w:t xml:space="preserve">. </w:t>
      </w:r>
      <w:hyperlink r:id="rId166">
        <w:r>
          <w:rPr>
            <w:rFonts w:ascii="Calibri" w:hAnsi="Calibri" w:eastAsia="Calibri" w:cs="Calibri"/>
            <w:color w:val="2E74B5"/>
            <w:u w:val="single"/>
          </w:rPr>
          <w:t xml:space="preserve">https://stat.gl/publ/da/BE/202601/oversigt/Befolkningsstatus.htm</w:t>
        </w:r>
      </w:hyperlink>
    </w:p>
    <w:p>
      <w:pPr>
        <w:widowControl/>
      </w:pPr>
      <w:r>
        <w:t xml:space="preserve">Stats NZ. (2024). </w:t>
      </w:r>
      <w:r>
        <w:rPr>
          <w:rFonts w:ascii="Calibri" w:hAnsi="Calibri" w:eastAsia="Calibri" w:cs="Calibri"/>
          <w:i/>
        </w:rPr>
        <w:t>2023 Census ethnic-group summary: Māori</w:t>
      </w:r>
      <w:r>
        <w:t xml:space="preserve">. </w:t>
      </w:r>
      <w:hyperlink r:id="rId167">
        <w:r>
          <w:rPr>
            <w:rFonts w:ascii="Calibri" w:hAnsi="Calibri" w:eastAsia="Calibri" w:cs="Calibri"/>
            <w:color w:val="2E74B5"/>
            <w:u w:val="single"/>
          </w:rPr>
          <w:t xml:space="preserve">https://tools.summaries.stats.govt.nz/ethnic-group/maori</w:t>
        </w:r>
      </w:hyperlink>
    </w:p>
    <w:p>
      <w:pPr>
        <w:widowControl/>
      </w:pPr>
      <w:r>
        <w:t xml:space="preserve">UNICEF. (2025). </w:t>
      </w:r>
      <w:r>
        <w:rPr>
          <w:rFonts w:ascii="Calibri" w:hAnsi="Calibri" w:eastAsia="Calibri" w:cs="Calibri"/>
          <w:i/>
        </w:rPr>
        <w:t>Haiti’s children confront a polycrisis</w:t>
      </w:r>
      <w:r>
        <w:t xml:space="preserve">. </w:t>
      </w:r>
      <w:hyperlink r:id="rId168">
        <w:r>
          <w:rPr>
            <w:rFonts w:ascii="Calibri" w:hAnsi="Calibri" w:eastAsia="Calibri" w:cs="Calibri"/>
            <w:color w:val="2E74B5"/>
            <w:u w:val="single"/>
          </w:rPr>
          <w:t xml:space="preserve">https://www.unicef.org/child-alert/haitis-children-confront-polycrisis</w:t>
        </w:r>
      </w:hyperlink>
    </w:p>
    <w:p>
      <w:pPr>
        <w:widowControl/>
      </w:pPr>
      <w:r>
        <w:t xml:space="preserve">World Bank. (2015). </w:t>
      </w:r>
      <w:r>
        <w:rPr>
          <w:rFonts w:ascii="Calibri" w:hAnsi="Calibri" w:eastAsia="Calibri" w:cs="Calibri"/>
          <w:i/>
        </w:rPr>
        <w:t>Why do students learn so little? Seeking answers inside Haiti’s classrooms</w:t>
      </w:r>
      <w:r>
        <w:t xml:space="preserve">. </w:t>
      </w:r>
      <w:hyperlink r:id="rId169">
        <w:r>
          <w:rPr>
            <w:rFonts w:ascii="Calibri" w:hAnsi="Calibri" w:eastAsia="Calibri" w:cs="Calibri"/>
            <w:color w:val="2E74B5"/>
            <w:u w:val="single"/>
          </w:rPr>
          <w:t xml:space="preserve">https://files.eric.ed.gov/fulltext/ED573569.pdf</w:t>
        </w:r>
      </w:hyperlink>
    </w:p>
    <w:p>
      <w:pPr>
        <w:widowControl/>
      </w:pPr>
      <w:r>
        <w:t xml:space="preserve">World Bank. (2019). </w:t>
      </w:r>
      <w:r>
        <w:rPr>
          <w:rFonts w:ascii="Calibri" w:hAnsi="Calibri" w:eastAsia="Calibri" w:cs="Calibri"/>
          <w:i/>
        </w:rPr>
        <w:t>Solomon Islands early grade reading assessment results report</w:t>
      </w:r>
      <w:r>
        <w:t xml:space="preserve">. </w:t>
      </w:r>
      <w:hyperlink r:id="rId170">
        <w:r>
          <w:rPr>
            <w:rFonts w:ascii="Calibri" w:hAnsi="Calibri" w:eastAsia="Calibri" w:cs="Calibri"/>
            <w:color w:val="2E74B5"/>
            <w:u w:val="single"/>
          </w:rPr>
          <w:t xml:space="preserve">https://documents1.worldbank.org/curated/en/178621563252790030/pdf/Solomon-Islands-Early-Grade-Reading-Assessment-Results-Report.pdf</w:t>
        </w:r>
      </w:hyperlink>
    </w:p>
    <w:p>
      <w:pPr>
        <w:widowControl/>
      </w:pPr>
      <w:r>
        <w:t xml:space="preserve">Coordination for the Improvement of Higher Education Personnel. (2025). </w:t>
      </w:r>
      <w:r>
        <w:rPr>
          <w:rFonts w:ascii="Calibri" w:hAnsi="Calibri" w:eastAsia="Calibri" w:cs="Calibri"/>
          <w:i/>
        </w:rPr>
        <w:t>Metadata for stricto sensu postgraduate students in Brazil, 2021-2024</w:t>
      </w:r>
      <w:r>
        <w:t xml:space="preserve">. </w:t>
      </w:r>
      <w:hyperlink r:id="rId171">
        <w:r>
          <w:rPr>
            <w:rFonts w:ascii="Calibri" w:hAnsi="Calibri" w:eastAsia="Calibri" w:cs="Calibri"/>
            <w:color w:val="2E74B5"/>
            <w:u w:val="single"/>
          </w:rPr>
          <w:t xml:space="preserve">https://dadosabertos.capes.gov.br/dataset/c6bd4dca-a0fb-499a-9f7f-df0740563333/resource/70633e5c-5294-4cd4-abea-79341c63e406/download/metadados_discentes_pos_graduacao_2021_2024.pdf</w:t>
        </w:r>
      </w:hyperlink>
    </w:p>
    <w:p>
      <w:pPr>
        <w:widowControl/>
      </w:pPr>
      <w:r>
        <w:t xml:space="preserve">Federal Senate of Brazil. (2021). </w:t>
      </w:r>
      <w:r>
        <w:rPr>
          <w:rFonts w:ascii="Calibri" w:hAnsi="Calibri" w:eastAsia="Calibri" w:cs="Calibri"/>
          <w:i/>
        </w:rPr>
        <w:t>Law No. 14,191 of 3 August 2021: Bilingual education for deaf people</w:t>
      </w:r>
      <w:r>
        <w:t xml:space="preserve">. </w:t>
      </w:r>
      <w:hyperlink r:id="rId172">
        <w:r>
          <w:rPr>
            <w:rFonts w:ascii="Calibri" w:hAnsi="Calibri" w:eastAsia="Calibri" w:cs="Calibri"/>
            <w:color w:val="2E74B5"/>
            <w:u w:val="single"/>
          </w:rPr>
          <w:t xml:space="preserve">https://legis.senado.gov.br/norma/34639654</w:t>
        </w:r>
      </w:hyperlink>
    </w:p>
    <w:p>
      <w:pPr>
        <w:widowControl/>
      </w:pPr>
      <w:r>
        <w:t xml:space="preserve">Brazilian Institute of Geography and Statistics. (2025a). </w:t>
      </w:r>
      <w:r>
        <w:rPr>
          <w:rFonts w:ascii="Calibri" w:hAnsi="Calibri" w:eastAsia="Calibri" w:cs="Calibri"/>
          <w:i/>
        </w:rPr>
        <w:t>2022 Demographic Census: Indigenous ethnicities and languages-Supplementary Table 21</w:t>
      </w:r>
      <w:r>
        <w:t xml:space="preserve"> [Data set]. </w:t>
      </w:r>
      <w:hyperlink r:id="rId173">
        <w:r>
          <w:rPr>
            <w:rFonts w:ascii="Calibri" w:hAnsi="Calibri" w:eastAsia="Calibri" w:cs="Calibri"/>
            <w:color w:val="2E74B5"/>
            <w:u w:val="single"/>
          </w:rPr>
          <w:t xml:space="preserve">https://ftp.ibge.gov.br/Censos/Censo_Demografico_2022/Etnias_e_Linguas_Indigenas_principais_caracteristicas_sociodemograficas_Resultados_do_universo/Tabelas_complementares/xlsx/Tabela_complementar_21.xlsx</w:t>
        </w:r>
      </w:hyperlink>
    </w:p>
    <w:p>
      <w:pPr>
        <w:widowControl/>
      </w:pPr>
      <w:r>
        <w:t xml:space="preserve">Brazilian Institute of Geography and Statistics. (2025b). </w:t>
      </w:r>
      <w:r>
        <w:rPr>
          <w:rFonts w:ascii="Calibri" w:hAnsi="Calibri" w:eastAsia="Calibri" w:cs="Calibri"/>
          <w:i/>
        </w:rPr>
        <w:t>2022 Demographic Census: Indigenous ethnicities and languages-Selected Tables 7-9</w:t>
      </w:r>
      <w:r>
        <w:t xml:space="preserve"> [Data set]. </w:t>
      </w:r>
      <w:hyperlink r:id="rId174">
        <w:r>
          <w:rPr>
            <w:rFonts w:ascii="Calibri" w:hAnsi="Calibri" w:eastAsia="Calibri" w:cs="Calibri"/>
            <w:color w:val="2E74B5"/>
            <w:u w:val="single"/>
          </w:rPr>
          <w:t xml:space="preserve">https://ftp.ibge.gov.br/Censos/Censo_Demografico_2022/Etnias_e_Linguas_Indigenas_principais_caracteristicas_sociodemograficas_Resultados_do_universo/Tabelas_selecionadas/xlsx/</w:t>
        </w:r>
      </w:hyperlink>
    </w:p>
    <w:p>
      <w:pPr>
        <w:widowControl/>
      </w:pPr>
      <w:r>
        <w:t xml:space="preserve">Brazilian Institute of Geography and Statistics. (2025c). </w:t>
      </w:r>
      <w:r>
        <w:rPr>
          <w:rFonts w:ascii="Calibri" w:hAnsi="Calibri" w:eastAsia="Calibri" w:cs="Calibri"/>
          <w:i/>
        </w:rPr>
        <w:t>2022 Demographic Census: Indigenous people-Literacy</w:t>
      </w:r>
      <w:r>
        <w:t xml:space="preserve">. </w:t>
      </w:r>
      <w:hyperlink r:id="rId175">
        <w:r>
          <w:rPr>
            <w:rFonts w:ascii="Calibri" w:hAnsi="Calibri" w:eastAsia="Calibri" w:cs="Calibri"/>
            <w:color w:val="2E74B5"/>
            <w:u w:val="single"/>
          </w:rPr>
          <w:t xml:space="preserve">https://biblioteca.ibge.gov.br/visualizacao/periodicos/3111/cd_2022_indigenas_alfabetizacao.pdf</w:t>
        </w:r>
      </w:hyperlink>
    </w:p>
    <w:p>
      <w:pPr>
        <w:widowControl/>
      </w:pPr>
      <w:r>
        <w:t xml:space="preserve">Instituto Nacional de Estudos e Pesquisas Educacionais Anísio Teixeira. (2025a). </w:t>
      </w:r>
      <w:r>
        <w:rPr>
          <w:rFonts w:ascii="Calibri" w:hAnsi="Calibri" w:eastAsia="Calibri" w:cs="Calibri"/>
          <w:i/>
        </w:rPr>
        <w:t>Censo Escolar da Educação Básica 2024: Resumo técnico</w:t>
      </w:r>
      <w:r>
        <w:t xml:space="preserve">. </w:t>
      </w:r>
      <w:hyperlink r:id="rId176">
        <w:r>
          <w:rPr>
            <w:rFonts w:ascii="Calibri" w:hAnsi="Calibri" w:eastAsia="Calibri" w:cs="Calibri"/>
            <w:color w:val="2E74B5"/>
            <w:u w:val="single"/>
          </w:rPr>
          <w:t xml:space="preserve">https://download.inep.gov.br/publicacoes/institucionais/estatisticas_e_indicadores/resumo_tecnico_censo_escolar_2024.pdf</w:t>
        </w:r>
      </w:hyperlink>
    </w:p>
    <w:p>
      <w:pPr>
        <w:widowControl/>
      </w:pPr>
      <w:r>
        <w:t xml:space="preserve">Instituto Nacional de Estudos e Pesquisas Educacionais Anísio Teixeira. (2025b). </w:t>
      </w:r>
      <w:r>
        <w:rPr>
          <w:rFonts w:ascii="Calibri" w:hAnsi="Calibri" w:eastAsia="Calibri" w:cs="Calibri"/>
          <w:i/>
        </w:rPr>
        <w:t>Censo da Educação Superior 2024: Notas estatísticas</w:t>
      </w:r>
      <w:r>
        <w:t xml:space="preserve">. </w:t>
      </w:r>
      <w:hyperlink r:id="rId177">
        <w:r>
          <w:rPr>
            <w:rFonts w:ascii="Calibri" w:hAnsi="Calibri" w:eastAsia="Calibri" w:cs="Calibri"/>
            <w:color w:val="2E74B5"/>
            <w:u w:val="single"/>
          </w:rPr>
          <w:t xml:space="preserve">https://download.inep.gov.br/publicacoes/institucionais/estatisticas_e_indicadores/notas_estatisticas_censo_escolar_da_educacao_superior_2024.pdf</w:t>
        </w:r>
      </w:hyperlink>
    </w:p>
    <w:p>
      <w:pPr>
        <w:widowControl/>
      </w:pPr>
      <w:r>
        <w:t xml:space="preserve">Ministry of Planning and Budget, Brazil. (2026). </w:t>
      </w:r>
      <w:r>
        <w:rPr>
          <w:rFonts w:ascii="Calibri" w:hAnsi="Calibri" w:eastAsia="Calibri" w:cs="Calibri"/>
          <w:i/>
        </w:rPr>
        <w:t>Agenda Transversal Povos Indígenas 2026: Ano-base 2025</w:t>
      </w:r>
      <w:r>
        <w:t xml:space="preserve">. </w:t>
      </w:r>
      <w:hyperlink r:id="rId178">
        <w:r>
          <w:rPr>
            <w:rFonts w:ascii="Calibri" w:hAnsi="Calibri" w:eastAsia="Calibri" w:cs="Calibri"/>
            <w:color w:val="2E74B5"/>
            <w:u w:val="single"/>
          </w:rPr>
          <w:t xml:space="preserve">https://www.gov.br/planejamento/pt-br/assuntos/orcamento/agendas-transversais-e-multisetoriais/arquivos/2026/2026_05_05_atpovosindigenas.pdf/@@display-file/file</w:t>
        </w:r>
      </w:hyperlink>
    </w:p>
    <w:p>
      <w:pPr>
        <w:widowControl/>
      </w:pPr>
      <w:r>
        <w:t xml:space="preserve">OECD. (2023d). </w:t>
      </w:r>
      <w:r>
        <w:rPr>
          <w:rFonts w:ascii="Calibri" w:hAnsi="Calibri" w:eastAsia="Calibri" w:cs="Calibri"/>
          <w:i/>
        </w:rPr>
        <w:t>PISA 2022 results: Brazil country note</w:t>
      </w:r>
      <w:r>
        <w:t xml:space="preserve">. </w:t>
      </w:r>
      <w:hyperlink r:id="rId179">
        <w:r>
          <w:rPr>
            <w:rFonts w:ascii="Calibri" w:hAnsi="Calibri" w:eastAsia="Calibri" w:cs="Calibri"/>
            <w:color w:val="2E74B5"/>
            <w:u w:val="single"/>
          </w:rPr>
          <w:t xml:space="preserve">https://www.oecd.org/content/dam/oecd/en/publications/reports/2023/11/pisa-2022-results-volume-i-and-ii-country-notes_2fca04b9/brazil_764ee0aa/61690648-en.pdf</w:t>
        </w:r>
      </w:hyperlink>
    </w:p>
    <w:p>
      <w:pPr>
        <w:widowControl/>
      </w:pPr>
      <w:r>
        <w:t xml:space="preserve">Asociación Nacional de Universidades e Instituciones de Educación Superior. (2026). </w:t>
      </w:r>
      <w:r>
        <w:rPr>
          <w:rFonts w:ascii="Calibri" w:hAnsi="Calibri" w:eastAsia="Calibri" w:cs="Calibri"/>
          <w:i/>
        </w:rPr>
        <w:t>Anuario estadístico de educación superior</w:t>
      </w:r>
      <w:r>
        <w:t xml:space="preserve">. </w:t>
      </w:r>
      <w:hyperlink r:id="rId180">
        <w:r>
          <w:rPr>
            <w:rFonts w:ascii="Calibri" w:hAnsi="Calibri" w:eastAsia="Calibri" w:cs="Calibri"/>
            <w:color w:val="2E74B5"/>
            <w:u w:val="single"/>
          </w:rPr>
          <w:t xml:space="preserve">https://www.anuies.mx/informacion-y-servicios/informacion-estadistica-de-educacion-superior/anuario-estadistico-de-educacion-superior</w:t>
        </w:r>
      </w:hyperlink>
    </w:p>
    <w:p>
      <w:pPr>
        <w:widowControl/>
      </w:pPr>
      <w:r>
        <w:t xml:space="preserve">Cámara de Diputados. (2024). </w:t>
      </w:r>
      <w:r>
        <w:rPr>
          <w:rFonts w:ascii="Calibri" w:hAnsi="Calibri" w:eastAsia="Calibri" w:cs="Calibri"/>
          <w:i/>
        </w:rPr>
        <w:t>Ley General para la Inclusión de las Personas con Discapacidad</w:t>
      </w:r>
      <w:r>
        <w:t xml:space="preserve"> (última reforma DOF 14-06-2024). </w:t>
      </w:r>
      <w:hyperlink r:id="rId181">
        <w:r>
          <w:rPr>
            <w:rFonts w:ascii="Calibri" w:hAnsi="Calibri" w:eastAsia="Calibri" w:cs="Calibri"/>
            <w:color w:val="2E74B5"/>
            <w:u w:val="single"/>
          </w:rPr>
          <w:t xml:space="preserve">https://www.diputados.gob.mx/LeyesBiblio/pdf/LGIPD.pdf</w:t>
        </w:r>
      </w:hyperlink>
    </w:p>
    <w:p>
      <w:pPr>
        <w:widowControl/>
      </w:pPr>
      <w:r>
        <w:t xml:space="preserve">Cámara de Diputados. (2026). </w:t>
      </w:r>
      <w:r>
        <w:rPr>
          <w:rFonts w:ascii="Calibri" w:hAnsi="Calibri" w:eastAsia="Calibri" w:cs="Calibri"/>
          <w:i/>
        </w:rPr>
        <w:t>Ley General de Educación</w:t>
      </w:r>
      <w:r>
        <w:t xml:space="preserve"> (última reforma DOF 15-01-2026). </w:t>
      </w:r>
      <w:hyperlink r:id="rId182">
        <w:r>
          <w:rPr>
            <w:rFonts w:ascii="Calibri" w:hAnsi="Calibri" w:eastAsia="Calibri" w:cs="Calibri"/>
            <w:color w:val="2E74B5"/>
            <w:u w:val="single"/>
          </w:rPr>
          <w:t xml:space="preserve">https://www.diputados.gob.mx/LeyesBiblio/pdf/LGE.pdf</w:t>
        </w:r>
      </w:hyperlink>
    </w:p>
    <w:p>
      <w:pPr>
        <w:widowControl/>
      </w:pPr>
      <w:r>
        <w:t xml:space="preserve">Comisión Nacional de Libros de Texto Gratuitos. (2026). </w:t>
      </w:r>
      <w:r>
        <w:rPr>
          <w:rFonts w:ascii="Calibri" w:hAnsi="Calibri" w:eastAsia="Calibri" w:cs="Calibri"/>
          <w:i/>
        </w:rPr>
        <w:t>Catálogo de libros, ciclo escolar 2026-2027</w:t>
      </w:r>
      <w:r>
        <w:t xml:space="preserve">. </w:t>
      </w:r>
      <w:hyperlink r:id="rId183">
        <w:r>
          <w:rPr>
            <w:rFonts w:ascii="Calibri" w:hAnsi="Calibri" w:eastAsia="Calibri" w:cs="Calibri"/>
            <w:color w:val="2E74B5"/>
            <w:u w:val="single"/>
          </w:rPr>
          <w:t xml:space="preserve">https://www.conaliteg.sep.gob.mx/</w:t>
        </w:r>
      </w:hyperlink>
    </w:p>
    <w:p>
      <w:pPr>
        <w:widowControl/>
      </w:pPr>
      <w:r>
        <w:t xml:space="preserve">Dirección General de Educación Indígena, Intercultural y Bilingüe. (2024). </w:t>
      </w:r>
      <w:r>
        <w:rPr>
          <w:rFonts w:ascii="Calibri" w:hAnsi="Calibri" w:eastAsia="Calibri" w:cs="Calibri"/>
          <w:i/>
        </w:rPr>
        <w:t>Estadística indígena, ciclo 2023-2024</w:t>
      </w:r>
      <w:r>
        <w:t>. Secretaría de Educación Pública.</w:t>
      </w:r>
    </w:p>
    <w:p>
      <w:pPr>
        <w:widowControl/>
      </w:pPr>
      <w:r>
        <w:t xml:space="preserve">Instituto Nacional de Estadística y Geografía. (2022). </w:t>
      </w:r>
      <w:r>
        <w:rPr>
          <w:rFonts w:ascii="Calibri" w:hAnsi="Calibri" w:eastAsia="Calibri" w:cs="Calibri"/>
          <w:i/>
        </w:rPr>
        <w:t>Principales resultados del Censo de Población y Vivienda 2020: Estados Unidos Mexicanos</w:t>
      </w:r>
      <w:r>
        <w:t xml:space="preserve">. </w:t>
      </w:r>
      <w:hyperlink r:id="rId184">
        <w:r>
          <w:rPr>
            <w:rFonts w:ascii="Calibri" w:hAnsi="Calibri" w:eastAsia="Calibri" w:cs="Calibri"/>
            <w:color w:val="2E74B5"/>
            <w:u w:val="single"/>
          </w:rPr>
          <w:t xml:space="preserve">https://www.inegi.org.mx/programas/ccpv/2020/</w:t>
        </w:r>
      </w:hyperlink>
    </w:p>
    <w:p>
      <w:pPr>
        <w:widowControl/>
      </w:pPr>
      <w:r>
        <w:t xml:space="preserve">Instituto Nacional de Lenguas Indígenas. (2008). </w:t>
      </w:r>
      <w:r>
        <w:rPr>
          <w:rFonts w:ascii="Calibri" w:hAnsi="Calibri" w:eastAsia="Calibri" w:cs="Calibri"/>
          <w:i/>
        </w:rPr>
        <w:t>Catálogo de las lenguas indígenas nacionales: Variantes lingüísticas de México con sus autodenominaciones y referencias geoestadísticas</w:t>
      </w:r>
      <w:r>
        <w:t xml:space="preserve">. </w:t>
      </w:r>
      <w:hyperlink r:id="rId185">
        <w:r>
          <w:rPr>
            <w:rFonts w:ascii="Calibri" w:hAnsi="Calibri" w:eastAsia="Calibri" w:cs="Calibri"/>
            <w:color w:val="2E74B5"/>
            <w:u w:val="single"/>
          </w:rPr>
          <w:t xml:space="preserve">https://www.inali.gob.mx/clin-inali/</w:t>
        </w:r>
      </w:hyperlink>
    </w:p>
    <w:p>
      <w:pPr>
        <w:widowControl/>
      </w:pPr>
      <w:r>
        <w:t xml:space="preserve">Organisation for Economic Co-operation and Development. (2023e). </w:t>
      </w:r>
      <w:r>
        <w:rPr>
          <w:rFonts w:ascii="Calibri" w:hAnsi="Calibri" w:eastAsia="Calibri" w:cs="Calibri"/>
          <w:i/>
        </w:rPr>
        <w:t>PISA 2022 results: Mexico country note</w:t>
      </w:r>
      <w:r>
        <w:t xml:space="preserve">. </w:t>
      </w:r>
      <w:hyperlink r:id="rId186">
        <w:r>
          <w:rPr>
            <w:rFonts w:ascii="Calibri" w:hAnsi="Calibri" w:eastAsia="Calibri" w:cs="Calibri"/>
            <w:color w:val="2E74B5"/>
            <w:u w:val="single"/>
          </w:rPr>
          <w:t xml:space="preserve">https://www.oecd.org/content/dam/oecd/en/publications/reports/2023/11/pisa-2022-results-volume-i-and-ii-country-notes_2fca04b9/mexico_51978f68/2d35d9e0-en.pdf</w:t>
        </w:r>
      </w:hyperlink>
    </w:p>
    <w:p>
      <w:pPr>
        <w:widowControl/>
      </w:pPr>
      <w:r>
        <w:t xml:space="preserve">SciELO México. (2026). </w:t>
      </w:r>
      <w:r>
        <w:rPr>
          <w:rFonts w:ascii="Calibri" w:hAnsi="Calibri" w:eastAsia="Calibri" w:cs="Calibri"/>
          <w:i/>
        </w:rPr>
        <w:t>Lista alfabética de revistas</w:t>
      </w:r>
      <w:r>
        <w:t xml:space="preserve">. </w:t>
      </w:r>
      <w:hyperlink r:id="rId187">
        <w:r>
          <w:rPr>
            <w:rFonts w:ascii="Calibri" w:hAnsi="Calibri" w:eastAsia="Calibri" w:cs="Calibri"/>
            <w:color w:val="2E74B5"/>
            <w:u w:val="single"/>
          </w:rPr>
          <w:t xml:space="preserve">https://www.scielo.org.mx/scielo.php?script=sci_alphabetic&amp;lng=es&amp;nrm=iso</w:t>
        </w:r>
      </w:hyperlink>
    </w:p>
    <w:p>
      <w:pPr>
        <w:widowControl/>
      </w:pPr>
      <w:r>
        <w:t xml:space="preserve">Secretaría de Educación Pública. (2025). </w:t>
      </w:r>
      <w:r>
        <w:rPr>
          <w:rFonts w:ascii="Calibri" w:hAnsi="Calibri" w:eastAsia="Calibri" w:cs="Calibri"/>
          <w:i/>
        </w:rPr>
        <w:t>Principales cifras del Sistema Educativo Nacional 2024-2025</w:t>
      </w:r>
      <w:r>
        <w:t xml:space="preserve">. </w:t>
      </w:r>
      <w:hyperlink r:id="rId188">
        <w:r>
          <w:rPr>
            <w:rFonts w:ascii="Calibri" w:hAnsi="Calibri" w:eastAsia="Calibri" w:cs="Calibri"/>
            <w:color w:val="2E74B5"/>
            <w:u w:val="single"/>
          </w:rPr>
          <w:t xml:space="preserve">https://www.planeacion.sep.gob.mx/Doc/estadistica_e_indicadores/principales_cifras/principales_cifras_2024_2025_bolsillo.pdf</w:t>
        </w:r>
      </w:hyperlink>
    </w:p>
    <w:p>
      <w:pPr>
        <w:widowControl/>
      </w:pPr>
      <w:r>
        <w:t xml:space="preserve">Secretaría de Educación Pública. (2026). </w:t>
      </w:r>
      <w:r>
        <w:rPr>
          <w:rFonts w:ascii="Calibri" w:hAnsi="Calibri" w:eastAsia="Calibri" w:cs="Calibri"/>
          <w:i/>
        </w:rPr>
        <w:t>Cursos @prende.mx</w:t>
      </w:r>
      <w:r>
        <w:t xml:space="preserve">. </w:t>
      </w:r>
      <w:hyperlink r:id="rId189">
        <w:r>
          <w:rPr>
            <w:rFonts w:ascii="Calibri" w:hAnsi="Calibri" w:eastAsia="Calibri" w:cs="Calibri"/>
            <w:color w:val="2E74B5"/>
            <w:u w:val="single"/>
          </w:rPr>
          <w:t xml:space="preserve">https://dev.mexicox.gob.mx/</w:t>
        </w:r>
      </w:hyperlink>
    </w:p>
    <w:p>
      <w:pPr>
        <w:widowControl/>
      </w:pPr>
      <w:r>
        <w:t xml:space="preserve">Ethiopia Ministry of Education. (2021). </w:t>
      </w:r>
      <w:r>
        <w:rPr>
          <w:rFonts w:ascii="Calibri" w:hAnsi="Calibri" w:eastAsia="Calibri" w:cs="Calibri"/>
          <w:i/>
        </w:rPr>
        <w:t>Education Sector Development Programme VI, 2020/21-2024/25</w:t>
      </w:r>
      <w:r>
        <w:t xml:space="preserve">. </w:t>
      </w:r>
      <w:hyperlink r:id="rId190">
        <w:r>
          <w:rPr>
            <w:rFonts w:ascii="Calibri" w:hAnsi="Calibri" w:eastAsia="Calibri" w:cs="Calibri"/>
            <w:color w:val="2E74B5"/>
            <w:u w:val="single"/>
          </w:rPr>
          <w:t xml:space="preserve">https://moe.gov.et/storage/Books/Ethiopian%20Education%20Sector%20Development%20Program%206%20%28ESDP%20VI%29.pdf</w:t>
        </w:r>
      </w:hyperlink>
    </w:p>
    <w:p>
      <w:pPr>
        <w:widowControl/>
      </w:pPr>
      <w:r>
        <w:t xml:space="preserve">Ethiopia Ministry of Education. (2023a). </w:t>
      </w:r>
      <w:r>
        <w:rPr>
          <w:rFonts w:ascii="Calibri" w:hAnsi="Calibri" w:eastAsia="Calibri" w:cs="Calibri"/>
          <w:i/>
        </w:rPr>
        <w:t>Education statistics annual abstract 2022/23</w:t>
      </w:r>
      <w:r>
        <w:t xml:space="preserve">. </w:t>
      </w:r>
      <w:hyperlink r:id="rId191">
        <w:r>
          <w:rPr>
            <w:rFonts w:ascii="Calibri" w:hAnsi="Calibri" w:eastAsia="Calibri" w:cs="Calibri"/>
            <w:color w:val="2E74B5"/>
            <w:u w:val="single"/>
          </w:rPr>
          <w:t xml:space="preserve">https://moe.gov.et/storage/Books/ESAA%202022-23%20Final.pdf</w:t>
        </w:r>
      </w:hyperlink>
    </w:p>
    <w:p>
      <w:pPr>
        <w:widowControl/>
      </w:pPr>
      <w:r>
        <w:t xml:space="preserve">Ethiopia Ministry of Education. (2023b). </w:t>
      </w:r>
      <w:r>
        <w:rPr>
          <w:rFonts w:ascii="Calibri" w:hAnsi="Calibri" w:eastAsia="Calibri" w:cs="Calibri"/>
          <w:i/>
        </w:rPr>
        <w:t>Digital education strategy and implementation plan 2023-2028</w:t>
      </w:r>
      <w:r>
        <w:t xml:space="preserve">. </w:t>
      </w:r>
      <w:hyperlink r:id="rId192">
        <w:r>
          <w:rPr>
            <w:rFonts w:ascii="Calibri" w:hAnsi="Calibri" w:eastAsia="Calibri" w:cs="Calibri"/>
            <w:color w:val="2E74B5"/>
            <w:u w:val="single"/>
          </w:rPr>
          <w:t xml:space="preserve">https://www.dpgethiopia.org/wp-content/uploads/2024/03/Digital-Education-Strategy-and-Implementation-Plan-for-Ethiopia-.pdf</w:t>
        </w:r>
      </w:hyperlink>
    </w:p>
    <w:p>
      <w:pPr>
        <w:widowControl/>
      </w:pPr>
      <w:r>
        <w:t xml:space="preserve">Ethiopia Ministry of Education. (n.d.-a). </w:t>
      </w:r>
      <w:r>
        <w:rPr>
          <w:rFonts w:ascii="Calibri" w:hAnsi="Calibri" w:eastAsia="Calibri" w:cs="Calibri"/>
          <w:i/>
        </w:rPr>
        <w:t>Special needs/inclusive education strategy</w:t>
      </w:r>
      <w:r>
        <w:t xml:space="preserve">. </w:t>
      </w:r>
      <w:hyperlink r:id="rId193">
        <w:r>
          <w:rPr>
            <w:rFonts w:ascii="Calibri" w:hAnsi="Calibri" w:eastAsia="Calibri" w:cs="Calibri"/>
            <w:color w:val="2E74B5"/>
            <w:u w:val="single"/>
          </w:rPr>
          <w:t xml:space="preserve">https://www.moe.gov.et/storage/Books/Special%20Needs%20Inclusive%20Education%20Strategy.pdf</w:t>
        </w:r>
      </w:hyperlink>
    </w:p>
    <w:p>
      <w:pPr>
        <w:widowControl/>
      </w:pPr>
      <w:r>
        <w:t xml:space="preserve">Ethiopia Ministry of Education. (n.d.-b). </w:t>
      </w:r>
      <w:r>
        <w:rPr>
          <w:rFonts w:ascii="Calibri" w:hAnsi="Calibri" w:eastAsia="Calibri" w:cs="Calibri"/>
          <w:i/>
        </w:rPr>
        <w:t>Strategic policy for national science, technology and mathematics education</w:t>
      </w:r>
      <w:r>
        <w:t xml:space="preserve">. </w:t>
      </w:r>
      <w:hyperlink r:id="rId194">
        <w:r>
          <w:rPr>
            <w:rFonts w:ascii="Calibri" w:hAnsi="Calibri" w:eastAsia="Calibri" w:cs="Calibri"/>
            <w:color w:val="2E74B5"/>
            <w:u w:val="single"/>
          </w:rPr>
          <w:t xml:space="preserve">https://www.moe.gov.et/storage/Books/Strategic%20Policy%20for%20National%20Science%20Technology%20and%20Mathematics%20Education_Full.pdf</w:t>
        </w:r>
      </w:hyperlink>
    </w:p>
    <w:p>
      <w:pPr>
        <w:widowControl/>
      </w:pPr>
      <w:r>
        <w:t xml:space="preserve">Ethiopia Ministry of Labor and Skills. (2025). </w:t>
      </w:r>
      <w:r>
        <w:rPr>
          <w:rFonts w:ascii="Calibri" w:hAnsi="Calibri" w:eastAsia="Calibri" w:cs="Calibri"/>
          <w:i/>
        </w:rPr>
        <w:t>Ethiopia technical and vocational training strategy 2025</w:t>
      </w:r>
      <w:r>
        <w:t xml:space="preserve">. </w:t>
      </w:r>
      <w:hyperlink r:id="rId195">
        <w:r>
          <w:rPr>
            <w:rFonts w:ascii="Calibri" w:hAnsi="Calibri" w:eastAsia="Calibri" w:cs="Calibri"/>
            <w:color w:val="2E74B5"/>
            <w:u w:val="single"/>
          </w:rPr>
          <w:t xml:space="preserve">https://mols.gov.et/wp-content/uploads/2025/12/TVT-Strategy-English-Version-12-Nov-2025_Print.pdf</w:t>
        </w:r>
      </w:hyperlink>
    </w:p>
    <w:p>
      <w:pPr>
        <w:widowControl/>
      </w:pPr>
      <w:r>
        <w:t xml:space="preserve">Ethiopian Statistical Service. (2008). </w:t>
      </w:r>
      <w:r>
        <w:rPr>
          <w:rFonts w:ascii="Calibri" w:hAnsi="Calibri" w:eastAsia="Calibri" w:cs="Calibri"/>
          <w:i/>
        </w:rPr>
        <w:t>Summary and statistical report of the 2007 Population and Housing Census</w:t>
      </w:r>
      <w:r>
        <w:t xml:space="preserve">. </w:t>
      </w:r>
      <w:hyperlink r:id="rId196">
        <w:r>
          <w:rPr>
            <w:rFonts w:ascii="Calibri" w:hAnsi="Calibri" w:eastAsia="Calibri" w:cs="Calibri"/>
            <w:color w:val="2E74B5"/>
            <w:u w:val="single"/>
          </w:rPr>
          <w:t xml:space="preserve">https://ess.gov.et/wp-content/uploads/2007/09/Population-and-Housing-Census-2007-National_Statistical.pdf</w:t>
        </w:r>
      </w:hyperlink>
    </w:p>
    <w:p>
      <w:pPr>
        <w:widowControl/>
      </w:pPr>
      <w:r>
        <w:t xml:space="preserve">Federal Democratic Republic of Ethiopia. (2025). </w:t>
      </w:r>
      <w:r>
        <w:rPr>
          <w:rFonts w:ascii="Calibri" w:hAnsi="Calibri" w:eastAsia="Calibri" w:cs="Calibri"/>
          <w:i/>
        </w:rPr>
        <w:t>General Education Proclamation No. 1368/2025</w:t>
      </w:r>
      <w:r>
        <w:t xml:space="preserve">. </w:t>
      </w:r>
      <w:hyperlink r:id="rId197">
        <w:r>
          <w:rPr>
            <w:rFonts w:ascii="Calibri" w:hAnsi="Calibri" w:eastAsia="Calibri" w:cs="Calibri"/>
            <w:color w:val="2E74B5"/>
            <w:u w:val="single"/>
          </w:rPr>
          <w:t xml:space="preserve">https://justice.gov.et/wp-content/uploads/2025/04/1368.pdf</w:t>
        </w:r>
      </w:hyperlink>
    </w:p>
    <w:p>
      <w:pPr>
        <w:widowControl/>
      </w:pPr>
      <w:r>
        <w:t xml:space="preserve">World Bank. (2026). </w:t>
      </w:r>
      <w:r>
        <w:rPr>
          <w:rFonts w:ascii="Calibri" w:hAnsi="Calibri" w:eastAsia="Calibri" w:cs="Calibri"/>
          <w:i/>
        </w:rPr>
        <w:t>World Development Indicators: Ethiopia population, individuals using the Internet, and access to electricity</w:t>
      </w:r>
      <w:r>
        <w:t xml:space="preserve"> [Data set]. </w:t>
      </w:r>
      <w:hyperlink r:id="rId198">
        <w:r>
          <w:rPr>
            <w:rFonts w:ascii="Calibri" w:hAnsi="Calibri" w:eastAsia="Calibri" w:cs="Calibri"/>
            <w:color w:val="2E74B5"/>
            <w:u w:val="single"/>
          </w:rPr>
          <w:t xml:space="preserve">https://api.worldbank.org/v2/country/ETH?format=json</w:t>
        </w:r>
      </w:hyperlink>
    </w:p>
    <w:p>
      <w:pPr>
        <w:widowControl/>
      </w:pPr>
      <w:r>
        <w:t xml:space="preserve">World Food Programme. (2024). </w:t>
      </w:r>
      <w:r>
        <w:rPr>
          <w:rFonts w:ascii="Calibri" w:hAnsi="Calibri" w:eastAsia="Calibri" w:cs="Calibri"/>
          <w:i/>
        </w:rPr>
        <w:t>McGovern-Dole school feeding programme in Afar and Oromia Regions 2019-2025: Mid-term evaluation, Volume 2-A light-touch early-grade reading assessment report</w:t>
      </w:r>
      <w:r>
        <w:t xml:space="preserve">. </w:t>
      </w:r>
      <w:hyperlink r:id="rId199">
        <w:r>
          <w:rPr>
            <w:rFonts w:ascii="Calibri" w:hAnsi="Calibri" w:eastAsia="Calibri" w:cs="Calibri"/>
            <w:color w:val="2E74B5"/>
            <w:u w:val="single"/>
          </w:rPr>
          <w:t xml:space="preserve">https://wfp.tind.io/record/127524</w:t>
        </w:r>
      </w:hyperlink>
    </w:p>
    <w:p>
      <w:pPr>
        <w:widowControl/>
      </w:pPr>
      <w:r>
        <w:t xml:space="preserve">Bureau of Indian Education. (2024a). </w:t>
      </w:r>
      <w:r>
        <w:rPr>
          <w:rFonts w:ascii="Calibri" w:hAnsi="Calibri" w:eastAsia="Calibri" w:cs="Calibri"/>
          <w:i/>
        </w:rPr>
        <w:t>Strategic direction, 2024-2030</w:t>
      </w:r>
      <w:r>
        <w:t xml:space="preserve">. </w:t>
      </w:r>
      <w:hyperlink r:id="rId200">
        <w:r>
          <w:rPr>
            <w:rFonts w:ascii="Calibri" w:hAnsi="Calibri" w:eastAsia="Calibri" w:cs="Calibri"/>
            <w:color w:val="2E74B5"/>
            <w:u w:val="single"/>
          </w:rPr>
          <w:t xml:space="preserve">https://www.bie.edu/sites/default/files/documents/bie_strategic_direction_2024-2030.pdf</w:t>
        </w:r>
      </w:hyperlink>
    </w:p>
    <w:p>
      <w:pPr>
        <w:widowControl/>
      </w:pPr>
      <w:r>
        <w:t xml:space="preserve">Bureau of Indian Education. (2024b). </w:t>
      </w:r>
      <w:r>
        <w:rPr>
          <w:rFonts w:ascii="Calibri" w:hAnsi="Calibri" w:eastAsia="Calibri" w:cs="Calibri"/>
          <w:i/>
        </w:rPr>
        <w:t>School year 2023-2024 BIE SEA report card</w:t>
      </w:r>
      <w:r>
        <w:t xml:space="preserve">. </w:t>
      </w:r>
      <w:hyperlink r:id="rId201">
        <w:r>
          <w:rPr>
            <w:rFonts w:ascii="Calibri" w:hAnsi="Calibri" w:eastAsia="Calibri" w:cs="Calibri"/>
            <w:color w:val="2E74B5"/>
            <w:u w:val="single"/>
          </w:rPr>
          <w:t xml:space="preserve">https://www.bie.edu/sites/default/files/documents/sy_2023-2024_bie_sea_report_card.pdf</w:t>
        </w:r>
      </w:hyperlink>
    </w:p>
    <w:p>
      <w:pPr>
        <w:widowControl/>
      </w:pPr>
      <w:r>
        <w:t xml:space="preserve">Bureau of Indian Education. (n.d.). </w:t>
      </w:r>
      <w:r>
        <w:rPr>
          <w:rFonts w:ascii="Calibri" w:hAnsi="Calibri" w:eastAsia="Calibri" w:cs="Calibri"/>
          <w:i/>
        </w:rPr>
        <w:t>Performance report</w:t>
      </w:r>
      <w:r>
        <w:t xml:space="preserve">. </w:t>
      </w:r>
      <w:hyperlink r:id="rId202">
        <w:r>
          <w:rPr>
            <w:rFonts w:ascii="Calibri" w:hAnsi="Calibri" w:eastAsia="Calibri" w:cs="Calibri"/>
            <w:color w:val="2E74B5"/>
            <w:u w:val="single"/>
          </w:rPr>
          <w:t xml:space="preserve">https://www.bie.edu/sites/default/files/documents/bie_performance_report.pdf</w:t>
        </w:r>
      </w:hyperlink>
    </w:p>
    <w:p>
      <w:pPr>
        <w:widowControl/>
      </w:pPr>
      <w:r>
        <w:t xml:space="preserve">Gallaudet University Press. (n.d.). </w:t>
      </w:r>
      <w:r>
        <w:rPr>
          <w:rFonts w:ascii="Calibri" w:hAnsi="Calibri" w:eastAsia="Calibri" w:cs="Calibri"/>
          <w:i/>
        </w:rPr>
        <w:t>The hidden treasure of Black ASL</w:t>
      </w:r>
      <w:r>
        <w:t xml:space="preserve">. </w:t>
      </w:r>
      <w:hyperlink r:id="rId203">
        <w:r>
          <w:rPr>
            <w:rFonts w:ascii="Calibri" w:hAnsi="Calibri" w:eastAsia="Calibri" w:cs="Calibri"/>
            <w:color w:val="2E74B5"/>
            <w:u w:val="single"/>
          </w:rPr>
          <w:t xml:space="preserve">https://gupress.gallaudet.edu/Books/T/The-Hidden-Treasure-of-Black-ASL</w:t>
        </w:r>
      </w:hyperlink>
    </w:p>
    <w:p>
      <w:pPr>
        <w:widowControl/>
      </w:pPr>
      <w:r>
        <w:t xml:space="preserve">National Advisory Council on Indian Education. (2023). </w:t>
      </w:r>
      <w:r>
        <w:rPr>
          <w:rFonts w:ascii="Calibri" w:hAnsi="Calibri" w:eastAsia="Calibri" w:cs="Calibri"/>
          <w:i/>
        </w:rPr>
        <w:t>Annual report to Congress, 2022-2023</w:t>
      </w:r>
      <w:r>
        <w:t xml:space="preserve">. </w:t>
      </w:r>
      <w:hyperlink r:id="rId204">
        <w:r>
          <w:rPr>
            <w:rFonts w:ascii="Calibri" w:hAnsi="Calibri" w:eastAsia="Calibri" w:cs="Calibri"/>
            <w:color w:val="2E74B5"/>
            <w:u w:val="single"/>
          </w:rPr>
          <w:t xml:space="preserve">https://www.ed.gov/sites/ed/files/2023/08/NACIE-AnnualReport2023-508_completed.pdf</w:t>
        </w:r>
      </w:hyperlink>
    </w:p>
    <w:p>
      <w:pPr>
        <w:widowControl/>
      </w:pPr>
      <w:r>
        <w:t xml:space="preserve">National Center for Education Statistics. (2023a). </w:t>
      </w:r>
      <w:r>
        <w:rPr>
          <w:rFonts w:ascii="Calibri" w:hAnsi="Calibri" w:eastAsia="Calibri" w:cs="Calibri"/>
          <w:i/>
        </w:rPr>
        <w:t>English learners in public schools</w:t>
      </w:r>
      <w:r>
        <w:t xml:space="preserve">. Condition of Education. </w:t>
      </w:r>
      <w:hyperlink r:id="rId205">
        <w:r>
          <w:rPr>
            <w:rFonts w:ascii="Calibri" w:hAnsi="Calibri" w:eastAsia="Calibri" w:cs="Calibri"/>
            <w:color w:val="2E74B5"/>
            <w:u w:val="single"/>
          </w:rPr>
          <w:t xml:space="preserve">https://nces.ed.gov/programs/coe/pdf/2023/cgf_508.pdf</w:t>
        </w:r>
      </w:hyperlink>
    </w:p>
    <w:p>
      <w:pPr>
        <w:widowControl/>
      </w:pPr>
      <w:r>
        <w:t xml:space="preserve">National Center for Education Statistics. (2023b). </w:t>
      </w:r>
      <w:r>
        <w:rPr>
          <w:rFonts w:ascii="Calibri" w:hAnsi="Calibri" w:eastAsia="Calibri" w:cs="Calibri"/>
          <w:i/>
        </w:rPr>
        <w:t>Enrollment in public elementary and secondary schools, by level and grade: Selected years, fall 1980 through fall 2031</w:t>
      </w:r>
      <w:r>
        <w:t xml:space="preserve"> [Data set]. </w:t>
      </w:r>
      <w:hyperlink r:id="rId206">
        <w:r>
          <w:rPr>
            <w:rFonts w:ascii="Calibri" w:hAnsi="Calibri" w:eastAsia="Calibri" w:cs="Calibri"/>
            <w:color w:val="2E74B5"/>
            <w:u w:val="single"/>
          </w:rPr>
          <w:t xml:space="preserve">https://nces.ed.gov/programs/digest/d23/tables/xls/tabn203.10.xlsx</w:t>
        </w:r>
      </w:hyperlink>
    </w:p>
    <w:p>
      <w:pPr>
        <w:widowControl/>
      </w:pPr>
      <w:r>
        <w:t xml:space="preserve">National Center for Education Statistics. (2024a). </w:t>
      </w:r>
      <w:r>
        <w:rPr>
          <w:rFonts w:ascii="Calibri" w:hAnsi="Calibri" w:eastAsia="Calibri" w:cs="Calibri"/>
          <w:i/>
        </w:rPr>
        <w:t>Percentage of three-, four-, and five-year-old children enrolled in school, by age and selected child and family characteristics: 2022 and 2023</w:t>
      </w:r>
      <w:r>
        <w:t xml:space="preserve"> [Data set]. </w:t>
      </w:r>
      <w:hyperlink r:id="rId207">
        <w:r>
          <w:rPr>
            <w:rFonts w:ascii="Calibri" w:hAnsi="Calibri" w:eastAsia="Calibri" w:cs="Calibri"/>
            <w:color w:val="2E74B5"/>
            <w:u w:val="single"/>
          </w:rPr>
          <w:t xml:space="preserve">https://nces.ed.gov/programs/digest/d24/tables/xls/tabn202.20.xlsx</w:t>
        </w:r>
      </w:hyperlink>
    </w:p>
    <w:p>
      <w:pPr>
        <w:widowControl/>
      </w:pPr>
      <w:r>
        <w:t xml:space="preserve">National Center for Education Statistics. (2024b). </w:t>
      </w:r>
      <w:r>
        <w:rPr>
          <w:rFonts w:ascii="Calibri" w:hAnsi="Calibri" w:eastAsia="Calibri" w:cs="Calibri"/>
          <w:i/>
        </w:rPr>
        <w:t>Career and technical education in the United States</w:t>
      </w:r>
      <w:r>
        <w:t xml:space="preserve">. </w:t>
      </w:r>
      <w:hyperlink r:id="rId208">
        <w:r>
          <w:rPr>
            <w:rFonts w:ascii="Calibri" w:hAnsi="Calibri" w:eastAsia="Calibri" w:cs="Calibri"/>
            <w:color w:val="2E74B5"/>
            <w:u w:val="single"/>
          </w:rPr>
          <w:t xml:space="preserve">https://nces.ed.gov/programs/coe/pdf/2024/tob_508c.pdf</w:t>
        </w:r>
      </w:hyperlink>
    </w:p>
    <w:p>
      <w:pPr>
        <w:widowControl/>
      </w:pPr>
      <w:r>
        <w:t xml:space="preserve">National Center for Education Statistics. (2026). </w:t>
      </w:r>
      <w:r>
        <w:rPr>
          <w:rFonts w:ascii="Calibri" w:hAnsi="Calibri" w:eastAsia="Calibri" w:cs="Calibri"/>
          <w:i/>
        </w:rPr>
        <w:t>Total fall enrollment in degree-granting postsecondary institutions, by level of enrollment, control and level of institution, attendance status, and sex of student: Selected years, 1970 through 2034</w:t>
      </w:r>
      <w:r>
        <w:t xml:space="preserve"> [Data set]. </w:t>
      </w:r>
      <w:hyperlink r:id="rId209">
        <w:r>
          <w:rPr>
            <w:rFonts w:ascii="Calibri" w:hAnsi="Calibri" w:eastAsia="Calibri" w:cs="Calibri"/>
            <w:color w:val="2E74B5"/>
            <w:u w:val="single"/>
          </w:rPr>
          <w:t xml:space="preserve">https://nces.ed.gov/programs/digest/d25/tables/xls/tabn306.10.xlsx</w:t>
        </w:r>
      </w:hyperlink>
    </w:p>
    <w:p>
      <w:pPr>
        <w:widowControl/>
      </w:pPr>
      <w:r>
        <w:t xml:space="preserve">National Center for Science and Engineering Statistics. (2025). </w:t>
      </w:r>
      <w:r>
        <w:rPr>
          <w:rFonts w:ascii="Calibri" w:hAnsi="Calibri" w:eastAsia="Calibri" w:cs="Calibri"/>
          <w:i/>
        </w:rPr>
        <w:t>Doctorate recipients from U.S. universities: 2023</w:t>
      </w:r>
      <w:r>
        <w:t xml:space="preserve"> (NSF 25-300). </w:t>
      </w:r>
      <w:hyperlink r:id="rId210">
        <w:r>
          <w:rPr>
            <w:rFonts w:ascii="Calibri" w:hAnsi="Calibri" w:eastAsia="Calibri" w:cs="Calibri"/>
            <w:color w:val="2E74B5"/>
            <w:u w:val="single"/>
          </w:rPr>
          <w:t xml:space="preserve">https://ncses.nsf.gov/pubs/nsf25300/assets/nsf25300.pdf</w:t>
        </w:r>
      </w:hyperlink>
    </w:p>
    <w:p>
      <w:pPr>
        <w:widowControl/>
      </w:pPr>
      <w:r>
        <w:t xml:space="preserve">National Deaf Center on Postsecondary Outcomes. (2019). </w:t>
      </w:r>
      <w:r>
        <w:rPr>
          <w:rFonts w:ascii="Calibri" w:hAnsi="Calibri" w:eastAsia="Calibri" w:cs="Calibri"/>
          <w:i/>
        </w:rPr>
        <w:t>Undergraduate enrollment of deaf students in the United States</w:t>
      </w:r>
      <w:r>
        <w:t xml:space="preserve">. </w:t>
      </w:r>
      <w:hyperlink r:id="rId211">
        <w:r>
          <w:rPr>
            <w:rFonts w:ascii="Calibri" w:hAnsi="Calibri" w:eastAsia="Calibri" w:cs="Calibri"/>
            <w:color w:val="2E74B5"/>
            <w:u w:val="single"/>
          </w:rPr>
          <w:t xml:space="preserve">https://nationaldeafcenter.org/wp-content/uploads/2022/11/Undergraduate20Enrollment2020of20Deaf20Students20in20the20United20States.pdf</w:t>
        </w:r>
      </w:hyperlink>
    </w:p>
    <w:p>
      <w:pPr>
        <w:widowControl/>
      </w:pPr>
      <w:r>
        <w:t xml:space="preserve">National Deaf Center on Postsecondary Outcomes. (2024). </w:t>
      </w:r>
      <w:r>
        <w:rPr>
          <w:rFonts w:ascii="Calibri" w:hAnsi="Calibri" w:eastAsia="Calibri" w:cs="Calibri"/>
          <w:i/>
        </w:rPr>
        <w:t>Access, belonging, and affirmation: Deaf college student data</w:t>
      </w:r>
      <w:r>
        <w:t xml:space="preserve">. </w:t>
      </w:r>
      <w:hyperlink r:id="rId212">
        <w:r>
          <w:rPr>
            <w:rFonts w:ascii="Calibri" w:hAnsi="Calibri" w:eastAsia="Calibri" w:cs="Calibri"/>
            <w:color w:val="2E74B5"/>
            <w:u w:val="single"/>
          </w:rPr>
          <w:t xml:space="preserve">https://nationaldeafcenter.org/resources/research-data/deaf-college-student-data/access-belonging-and-affirmation/</w:t>
        </w:r>
      </w:hyperlink>
    </w:p>
    <w:p>
      <w:pPr>
        <w:widowControl/>
      </w:pPr>
      <w:r>
        <w:t xml:space="preserve">U.S. Census Bureau. (2022a). </w:t>
      </w:r>
      <w:r>
        <w:rPr>
          <w:rFonts w:ascii="Calibri" w:hAnsi="Calibri" w:eastAsia="Calibri" w:cs="Calibri"/>
          <w:i/>
        </w:rPr>
        <w:t>Language use in the United States: 2019</w:t>
      </w:r>
      <w:r>
        <w:t xml:space="preserve"> (ACS-50). </w:t>
      </w:r>
      <w:hyperlink r:id="rId213">
        <w:r>
          <w:rPr>
            <w:rFonts w:ascii="Calibri" w:hAnsi="Calibri" w:eastAsia="Calibri" w:cs="Calibri"/>
            <w:color w:val="2E74B5"/>
            <w:u w:val="single"/>
          </w:rPr>
          <w:t xml:space="preserve">https://www.census.gov/content/dam/Census/library/publications/2022/acs/acs-50.pdf</w:t>
        </w:r>
      </w:hyperlink>
    </w:p>
    <w:p>
      <w:pPr>
        <w:widowControl/>
      </w:pPr>
      <w:r>
        <w:t xml:space="preserve">U.S. Census Bureau. (2022b). </w:t>
      </w:r>
      <w:r>
        <w:rPr>
          <w:rFonts w:ascii="Calibri" w:hAnsi="Calibri" w:eastAsia="Calibri" w:cs="Calibri"/>
          <w:i/>
        </w:rPr>
        <w:t>2017-2021 ACS language tables: Nation</w:t>
      </w:r>
      <w:r>
        <w:t xml:space="preserve"> [Data set]. </w:t>
      </w:r>
      <w:hyperlink r:id="rId214">
        <w:r>
          <w:rPr>
            <w:rFonts w:ascii="Calibri" w:hAnsi="Calibri" w:eastAsia="Calibri" w:cs="Calibri"/>
            <w:color w:val="2E74B5"/>
            <w:u w:val="single"/>
          </w:rPr>
          <w:t xml:space="preserve">https://www2.census.gov/programs-surveys/demo/tables/language-use/2017/2017-2021-acs-lang-tables-nation.xlsx</w:t>
        </w:r>
      </w:hyperlink>
    </w:p>
    <w:p>
      <w:pPr>
        <w:widowControl/>
      </w:pPr>
      <w:r>
        <w:t xml:space="preserve">U.S. Census Bureau. (2022c). </w:t>
      </w:r>
      <w:r>
        <w:rPr>
          <w:rFonts w:ascii="Calibri" w:hAnsi="Calibri" w:eastAsia="Calibri" w:cs="Calibri"/>
          <w:i/>
        </w:rPr>
        <w:t>2017-2021 ACS language tables: States</w:t>
      </w:r>
      <w:r>
        <w:t xml:space="preserve"> [Data set]. </w:t>
      </w:r>
      <w:hyperlink r:id="rId215">
        <w:r>
          <w:rPr>
            <w:rFonts w:ascii="Calibri" w:hAnsi="Calibri" w:eastAsia="Calibri" w:cs="Calibri"/>
            <w:color w:val="2E74B5"/>
            <w:u w:val="single"/>
          </w:rPr>
          <w:t xml:space="preserve">https://www2.census.gov/programs-surveys/demo/tables/language-use/2017/2017-2021-acs-lang-tables-state.xlsx</w:t>
        </w:r>
      </w:hyperlink>
    </w:p>
    <w:p>
      <w:pPr>
        <w:widowControl/>
      </w:pPr>
      <w:r>
        <w:t xml:space="preserve">U.S. Census Bureau. (2023a). </w:t>
      </w:r>
      <w:r>
        <w:rPr>
          <w:rFonts w:ascii="Calibri" w:hAnsi="Calibri" w:eastAsia="Calibri" w:cs="Calibri"/>
          <w:i/>
        </w:rPr>
        <w:t>2020 Island Areas Censuses detailed cross-tabulations: Technical documentation</w:t>
      </w:r>
      <w:r>
        <w:t xml:space="preserve">. </w:t>
      </w:r>
      <w:hyperlink r:id="rId216">
        <w:r>
          <w:rPr>
            <w:rFonts w:ascii="Calibri" w:hAnsi="Calibri" w:eastAsia="Calibri" w:cs="Calibri"/>
            <w:color w:val="2E74B5"/>
            <w:u w:val="single"/>
          </w:rPr>
          <w:t xml:space="preserve">https://www2.census.gov/programs-surveys/decennial/2020/technical-documentation/island-areas-tech-docs/detailed-cross-tabulations/2020-iac-dct-technical-documentation.pdf</w:t>
        </w:r>
      </w:hyperlink>
    </w:p>
    <w:p>
      <w:pPr>
        <w:widowControl/>
      </w:pPr>
      <w:r>
        <w:t xml:space="preserve">U.S. Census Bureau. (2023b). </w:t>
      </w:r>
      <w:r>
        <w:rPr>
          <w:rFonts w:ascii="Calibri" w:hAnsi="Calibri" w:eastAsia="Calibri" w:cs="Calibri"/>
          <w:i/>
        </w:rPr>
        <w:t>2020 Island Areas Censuses detailed cross-tabulations: Guidance</w:t>
      </w:r>
      <w:r>
        <w:t xml:space="preserve">. </w:t>
      </w:r>
      <w:hyperlink r:id="rId217">
        <w:r>
          <w:rPr>
            <w:rFonts w:ascii="Calibri" w:hAnsi="Calibri" w:eastAsia="Calibri" w:cs="Calibri"/>
            <w:color w:val="2E74B5"/>
            <w:u w:val="single"/>
          </w:rPr>
          <w:t xml:space="preserve">https://www2.census.gov/programs-surveys/decennial/2020/technical-documentation/island-areas-tech-docs/detailed-cross-tabulations/2020-iac-dct-guidance.pdf</w:t>
        </w:r>
      </w:hyperlink>
    </w:p>
    <w:p>
      <w:pPr>
        <w:widowControl/>
      </w:pPr>
      <w:r>
        <w:t xml:space="preserve">U.S. Department of Education. (2025). </w:t>
      </w:r>
      <w:r>
        <w:rPr>
          <w:rFonts w:ascii="Calibri" w:hAnsi="Calibri" w:eastAsia="Calibri" w:cs="Calibri"/>
          <w:i/>
        </w:rPr>
        <w:t>47th annual report to Congress on the implementation of the Individuals with Disabilities Education Act</w:t>
      </w:r>
      <w:r>
        <w:t xml:space="preserve">. </w:t>
      </w:r>
      <w:hyperlink r:id="rId218">
        <w:r>
          <w:rPr>
            <w:rFonts w:ascii="Calibri" w:hAnsi="Calibri" w:eastAsia="Calibri" w:cs="Calibri"/>
            <w:color w:val="2E74B5"/>
            <w:u w:val="single"/>
          </w:rPr>
          <w:t xml:space="preserve">https://sites.ed.gov/idea/files/47th-ARC-for-IDEA.pdf</w:t>
        </w:r>
      </w:hyperlink>
    </w:p>
    <w:p>
      <w:pPr>
        <w:widowControl/>
      </w:pPr>
      <w:r>
        <w:t xml:space="preserve">World Bank. (2026). </w:t>
      </w:r>
      <w:r>
        <w:rPr>
          <w:rFonts w:ascii="Calibri" w:hAnsi="Calibri" w:eastAsia="Calibri" w:cs="Calibri"/>
          <w:i/>
        </w:rPr>
        <w:t>World Development Indicators: United States population, individuals using the Internet, and access to electricity</w:t>
      </w:r>
      <w:r>
        <w:t xml:space="preserve"> [Data set]. </w:t>
      </w:r>
      <w:hyperlink r:id="rId219">
        <w:r>
          <w:rPr>
            <w:rFonts w:ascii="Calibri" w:hAnsi="Calibri" w:eastAsia="Calibri" w:cs="Calibri"/>
            <w:color w:val="2E74B5"/>
            <w:u w:val="single"/>
          </w:rPr>
          <w:t xml:space="preserve">https://api.worldbank.org/v2/country/USA?format=json</w:t>
        </w:r>
      </w:hyperlink>
    </w:p>
    <w:p>
      <w:pPr>
        <w:pStyle w:val="Heading1"/>
        <w:widowControl/>
      </w:pPr>
      <w:r>
        <w:rPr>
          <w:color w:val="000000"/>
        </w:rPr>
        <w:t>8 Worldwide reach and common package allocation checkpoint</w:t>
      </w:r>
    </w:p>
    <w:p>
      <w:pPr>
        <w:widowControl/>
      </w:pPr>
      <w:r>
        <w:rPr>
          <w:rFonts w:ascii="Calibri" w:hAnsi="Calibri" w:eastAsia="Calibri" w:cs="Calibri"/>
          <w:b/>
        </w:rPr>
        <w:t>Status:</w:t>
      </w:r>
      <w:r>
        <w:t xml:space="preserve"> ongoing research checkpoint. This restores the quantitative allocation chain; it is not the final package-specific allocation result.</w:t>
      </w:r>
    </w:p>
    <w:p>
      <w:pPr>
        <w:pStyle w:val="Heading2"/>
        <w:widowControl/>
      </w:pPr>
      <w:r>
        <w:rPr>
          <w:color w:val="000000"/>
        </w:rPr>
        <w:t>What is being answered</w:t>
      </w:r>
    </w:p>
    <w:p>
      <w:pPr>
        <w:widowControl/>
      </w:pPr>
      <w:r>
        <w:t>The research question remains: how should AI compute be distributed so that educational-material availability produces the greatest additional functional understanding for as many people as possible?</w:t>
      </w:r>
    </w:p>
    <w:p>
      <w:pPr>
        <w:widowControl/>
      </w:pPr>
      <w:r>
        <w:t>The answer needs more than one list. The first table estimates potential reach. The second asks how that reach changes when every target receives exactly the same one 100,000-source-token, text-only educational package translated and checked to the independent-context-plus-deterministic-qa-v2 target. Later target-specific tables must replace the held-equal assumptions with evidence about the actual stage, subject, baseline supply, learning effect, delivery conditions, accessibility work, reusable setup, and overlapping beneficiaries.</w:t>
      </w:r>
    </w:p>
    <w:p>
      <w:pPr>
        <w:widowControl/>
      </w:pPr>
      <w:r>
        <w:t xml:space="preserve">Profile IDs are never ranks. Ordinal positions appear only in columns explicitly named </w:t>
      </w:r>
      <w:r>
        <w:rPr>
          <w:rFonts w:ascii="Calibri" w:hAnsi="Calibri" w:eastAsia="Calibri" w:cs="Calibri"/>
          <w:b/>
        </w:rPr>
        <w:t>Reach position</w:t>
      </w:r>
      <w:r>
        <w:t xml:space="preserve"> or </w:t>
      </w:r>
      <w:r>
        <w:rPr>
          <w:rFonts w:ascii="Calibri" w:hAnsi="Calibri" w:eastAsia="Calibri" w:cs="Calibri"/>
          <w:b/>
        </w:rPr>
        <w:t>Common-package proxy position</w:t>
      </w:r>
      <w:r>
        <w:t>.</w:t>
      </w:r>
    </w:p>
    <w:p>
      <w:pPr>
        <w:widowControl/>
        <w:sectPr>
          <w:headerReference w:type="default" r:id="rId15"/>
          <w:footerReference w:type="default" r:id="rId16"/>
          <w:pgSz w:w="12240" w:h="15840"/>
          <w:pgMar w:top="1440" w:right="1440" w:bottom="1440" w:left="1440" w:header="708" w:footer="708" w:gutter="0"/>
          <w:cols w:space="720"/>
          <w:docGrid w:linePitch="360"/>
        </w:sectPr>
      </w:pPr>
    </w:p>
    <w:p>
      <w:pPr>
        <w:pStyle w:val="Heading2"/>
        <w:widowControl/>
        <w:ind w:right="1800" w:left="1800"/>
      </w:pPr>
      <w:r>
        <w:rPr>
          <w:color w:val="000000"/>
        </w:rPr>
        <w:t>Result 1 potential reach under one common missing data scenario</w:t>
      </w:r>
    </w:p>
    <w:p>
      <w:pPr>
        <w:widowControl/>
        <w:ind w:right="1800" w:left="1800"/>
      </w:pPr>
      <w:r>
        <w:t>The point multiplier is 89.57%; the displayed sensitivity range is 70%-99%. Missing comparable academic-register evidence keeps the common scenario instead of deleting or lowering a target. Chinese in the Simplified-script profile is position 1. Indonesian is position 9 after retaining the direct 2022 BPS communicative-ability population as its point population. Russian is position 10; Ukrainian is position 62 in the pinned CLDR reach layer. Those are potential-reach positions, not judgments about people or final funding positions.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615"/>
        <w:gridCol w:w="2566"/>
        <w:gridCol w:w="1696"/>
        <w:gridCol w:w="1912"/>
        <w:gridCol w:w="2070"/>
        <w:gridCol w:w="3101"/>
      </w:tblGrid>
      <w:tr>
        <w:trPr>
          <w:tblHeader w:val="true"/>
          <w:cantSplit w:val="true"/>
        </w:trPr>
        <w:tc>
          <w:tcPr>
            <w:tcW w:type="dxa" w:w="161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Reach position</w:t>
            </w:r>
          </w:p>
        </w:tc>
        <w:tc>
          <w:tcPr>
            <w:tcW w:type="dxa" w:w="25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Exact edition profile</w:t>
            </w:r>
          </w:p>
        </w:tc>
        <w:tc>
          <w:tcPr>
            <w:tcW w:type="dxa" w:w="169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Population point</w:t>
            </w:r>
          </w:p>
        </w:tc>
        <w:tc>
          <w:tcPr>
            <w:tcW w:type="dxa" w:w="191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Plausibly helped point</w:t>
            </w:r>
          </w:p>
        </w:tc>
        <w:tc>
          <w:tcPr>
            <w:tcW w:type="dxa" w:w="20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Sensitivity range</w:t>
            </w:r>
          </w:p>
        </w:tc>
        <w:tc>
          <w:tcPr>
            <w:tcW w:type="dxa" w:w="31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Population basis</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Simplified Standard Written Chinese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1.286 billion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1.152 billion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900.2 million-1.273 billion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Hindi,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519.8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406.2 million-574.5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Spanish,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507.6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454.7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355.3 million-502.5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378.8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339.3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265.2 million-375.0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French,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233.1 million-329.6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Urdu,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313.1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219.2 million-310.0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Bangla,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279.9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195.9 million-277.1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Portuguese,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249.5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223.5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174.6 million-247.0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248.5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222.6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126.4 million-246.0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DIRECT_BPS_2022_INDONESIAN_COMMUNICATIVE_ABILITY_POINT_WITH_CLDR_CONTEXT</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Russian,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201.2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140.8 million-199.1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Swahili,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194.1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135.9 million-192.2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Punjabi, Shahmukhi/Perso-Arabic-script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176.7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123.7 million-174.9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German,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127.1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99.3 million-140.5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Japanese, Japanese-script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117.6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105.3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82.3 million-116.4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Telugu, Telugu-script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101.5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71.0 million-100.4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Western Panjabi,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101.0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70.7 million-100.0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Marathi,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88.4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69.0 million-97.7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Javanese,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96.1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86.1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67.3 million-95.2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Vietnamese,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92.4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82.7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64.7 million-91.4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Tamil, Tamil-script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81.2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63.4 million-89.7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Persian,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89.2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79.9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62.4 million-88.3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Wu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85.0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76.1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59.5 million-84.1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Turkish,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82.4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57.7 million-81.6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Korean, Korean-script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79.3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55.5 million-78.5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Cantonese,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66.0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51.5 million-72.9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Filipino,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65.6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51.2 million-72.5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Egyptian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71.2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63.8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49.8 million-70.5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Italian,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70.5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63.1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49.3 million-69.8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Gujarati, Gujarati-script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65.6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45.9 million-65.0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Pashto,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52.0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40.6 million-57.5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Thai, Thai-script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39.2 million-55.4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Kannada, Kannada-script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52.1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46.7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36.5 million-51.6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Nigerian Pidgin,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49.7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44.5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34.8 million-49.2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Malayalam, Malayalam-script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32.1 million-45.5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Odia, Odia-script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31.6 million-44.6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Levantine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43.7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30.6 million-43.2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Punjabi, Gurmukhi-script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42.9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38.5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30.1 million-42.5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Hausa,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29.3 million-41.5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Polish,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29.1 million-41.1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Xiang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36.8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28.7 million-40.7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Amharic, Ethiopic-script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27.4 million-38.8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Traditional Written Chinese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27.4 million-38.7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Algerian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27.3 million-38.6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Oromo,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38.3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34.3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26.8 million-37.9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Sindhi,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26.5 million-37.5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Burmese, Myanmar-script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26.0 million-36.8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Malay,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36.8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25.8 million-36.4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Bhojpuri,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34.6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24.2 million-34.3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Sundanese,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23.7 million-33.4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Dutch,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23.0 million-32.5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Hakka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 million-32.2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Moroccan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 million-32.2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Yoruba,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22.2 million-31.4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Uzbek,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22.1 million-31.2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Sudanese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21.5 million-30.5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Igbo,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21.5 million-30.5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Saraiki,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21.2 million-30.0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Cebuano,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19.9 million-28.1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Awadhi,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19.2 million-27.2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Min Nan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18.8 million-26.6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Malagasy,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23.7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18.6 million-26.2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Ukrainian,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16.9 million-23.8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Gan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16.9 million-23.8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Bavarian,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16.0 million-22.6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Azerbaijani,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15.8 million-22.3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Nepali,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19.5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15.2 million-21.5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Maithili,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14.2 million-20.1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Romanian,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14.0 million-19.8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Nyanja,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13.2 million-18.7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Somali,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13.0 million-18.4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Assamese,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12.8 million-18.1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Madurese,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12.4 million-17.6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Rangpuri,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11.9 million-16.9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Haryanvi,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Magahi,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Marwari,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Northeastern Thai, Thai-script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11.7 million-16.6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Nigerian Fulfulde,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11.1 million-15.7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Chhattisgarhi,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10.9 million-15.3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Khmer, Khmer-script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10.6 million-15.0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Zulu,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10.5 million-14.8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Sinhala, Sinhala-script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10.5 million-14.8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Deccan,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9.8 million-13.8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Shona,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9.7 million-13.8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Akan,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 million-13.4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Min Nan Chinese, Traditional-script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 million-13.3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Swedish,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9.3 million-13.2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Czech,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9.3 million-13.1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Wolof,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9.2 million-13.1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Kazakh,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9.1 million-12.8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Hungarian,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8.6 million-12.2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Greek, Greek-script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8.6 million-12.1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Low German,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Kinyarwanda,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Quechua,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Iloko,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7.9 million-11.2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Luba-Lulua,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7.8 million-11.0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Tigrinya, Ethiopic-script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7.7 million-10.8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Xhosa,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7.6 million-10.8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Tunisian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7.6 million-10.7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bl>
    <w:p>
      <w:pPr>
        <w:widowControl/>
        <w:spacing w:before="0" w:after="40"/>
      </w:pPr>
    </w:p>
    <w:p>
      <w:pPr>
        <w:widowControl/>
        <w:sectPr>
          <w:headerReference w:type="default" r:id="rId220"/>
          <w:footerReference w:type="default" r:id="rId221"/>
          <w:pgSz w:w="15840" w:h="12240" w:orient="landscape"/>
          <w:pgMar w:top="1440" w:right="1440" w:bottom="1440" w:left="1440" w:header="708" w:footer="708" w:gutter="0"/>
          <w:cols w:space="720"/>
          <w:docGrid w:linePitch="360"/>
        </w:sectPr>
      </w:pPr>
    </w:p>
    <w:p>
      <w:pPr>
        <w:pStyle w:val="Heading2"/>
        <w:widowControl/>
      </w:pPr>
      <w:r>
        <w:rPr>
          <w:color w:val="000000"/>
        </w:rPr>
        <w:t>Result 2 the same package divided by standardized token event workload</w:t>
      </w:r>
    </w:p>
    <w:p>
      <w:pPr>
        <w:widowControl/>
      </w:pPr>
      <w:r>
        <w:t>This is the first quantitative compute-allocation bridge. It holds the package and nominal QA target fixed, uses a measured language/script workload where a defensible binding exists, and otherwise uses the identical language-blind envelope. Missing tokenization evidence therefore cannot remove a row. The displayed unit is potential readers per one million fresh-equivalent token events.</w:t>
      </w:r>
    </w:p>
    <w:p>
      <w:pPr>
        <w:widowControl/>
      </w:pPr>
      <w:r>
        <w:t>It is a conditional proxy, not the final efficiency result: it assumes equal incremental educational effect and equal delivery. Fresh-equivalent token events are not physical compute, time, energy, money, or quality.</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657"/>
        <w:gridCol w:w="2000"/>
        <w:gridCol w:w="1257"/>
        <w:gridCol w:w="1563"/>
        <w:gridCol w:w="1563"/>
        <w:gridCol w:w="1320"/>
      </w:tblGrid>
      <w:tr>
        <w:trPr>
          <w:tblHeader w:val="true"/>
          <w:cantSplit w:val="true"/>
        </w:trPr>
        <w:tc>
          <w:tcPr>
            <w:tcW w:type="dxa" w:w="16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Common-package proxy position</w:t>
            </w:r>
          </w:p>
        </w:tc>
        <w:tc>
          <w:tcPr>
            <w:tcW w:type="dxa" w:w="200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Exact edition profile</w:t>
            </w:r>
          </w:p>
        </w:tc>
        <w:tc>
          <w:tcPr>
            <w:tcW w:type="dxa" w:w="12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Reach position</w:t>
            </w:r>
          </w:p>
        </w:tc>
        <w:tc>
          <w:tcPr>
            <w:tcW w:type="dxa" w:w="15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Point readers per 1m FECU</w:t>
            </w:r>
          </w:p>
        </w:tc>
        <w:tc>
          <w:tcPr>
            <w:tcW w:type="dxa" w:w="15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Sensitivity range</w:t>
            </w:r>
          </w:p>
        </w:tc>
        <w:tc>
          <w:tcPr>
            <w:tcW w:type="dxa" w:w="13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Workload profile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858,078,700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285,579,704-1,815,176,552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zho_Hans</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347,929,450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121,588,218-714,941,435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Spanish,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330,708,224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112,523,621-685,505,384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spa_Latn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215,448,628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65,561,796-486,510,536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French,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213,167,471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72,947,385-445,370,541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fra_Latn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Urdu,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183,122,705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64,241,656-377,096,747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Portuguese,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167,824,727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56,781,781-352,028,512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por_Latn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165,773,561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40,669,148-346,830,957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160,790,872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56,660,233-327,339,326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ben_Beng</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126,609,405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43,088,824-262,644,274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Swahili,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110,400,876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33,595,385-249,299,286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Punjabi, Shahmukhi/Perso-Arabic-script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100,477,258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30,575,593-226,890,489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German,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92,656,399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31,610,086-191,930,951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deu_Latn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Japanese, Japanese-script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68,675,694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23,998,228-140,625,240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jpn_Jpan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Javanese,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61,541,346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21,007,940-128,074,730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jav_Latn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Western Panjabi,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57,435,613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17,477,865-129,696,954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Vietnamese,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56,859,648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19,670,421-116,635,627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Marathi,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54,856,862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19,524,561-110,944,071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mar_Deva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Telugu, Telugu-script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54,715,793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19,426,504-110,731,661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tel_Telu</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Turkish,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51,706,068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17,708,902-107,688,320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tur_Latn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50,739,748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15,440,289-114,576,836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Wu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48,324,693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14,705,379-109,123,332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Tamil, Tamil-script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48,188,313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17,300,503-97,178,539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tam_Taml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Korean, Korean-script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45,091,943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13,721,641-101,823,369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Egyptian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45,042,843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15,378,427-93,722,097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arz_Arab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Italian,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43,669,442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15,129,536-89,714,453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ita_Latn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Cantonese,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41,881,400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12,744,662-94,573,554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Filipino,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41,633,549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12,669,239-94,013,874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Gujarati, Gujarati-script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36,827,395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13,036,851-75,249,249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guj_Gujr</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Pashto,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33,024,855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10,049,583-74,574,342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Thai-script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29,876,777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10,801,084-61,115,876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tha_Thai</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Nigerian Pidgin,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28,277,832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8,605,046-63,854,958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Levantine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28,193,586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9,626,392-58,924,982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apc_Arab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Kannada, Kannada-script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27,796,911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9,998,822-55,339,835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kan_Knda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Odia, Odia-script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25,647,402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7,804,597-57,915,110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25,283,771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8,743,942-52,009,619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Traditional Written Chinese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24,624,002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8,388,300-51,327,781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zho_Hant</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Malayalam, Malayalam-script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24,579,283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8,785,283-49,969,023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mal_Mlym</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Polish,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24,379,279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8,531,559-49,624,459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pol_Latn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Xiang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23,356,935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7,107,600-52,742,943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Algerian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22,198,628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6,755,123-50,127,339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Dutch,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21,933,157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7,398,669-46,278,700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nld_Latn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Oromo,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21,763,944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6,622,847-49,145,766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Sindhi,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21,759,491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7,691,771-44,210,075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snd_Arab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Sundanese,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21,521,599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7,400,475-44,167,883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sun_Latn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Malay,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20,929,961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6,369,063-47,262,527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Moroccan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20,063,920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6,931,069-41,979,056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ary_Arab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Bhojpuri,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19,552,816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6,875,905-39,921,220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bho_Deva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Punjabi, Gurmukhi-script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19,393,058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7,214,028-38,398,074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pan_Guru</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Hakka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18,524,465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5,637,062-41,830,611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Uzbek,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17,951,469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5,462,697-40,536,711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Igbo,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17,945,322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6,267,833-37,339,167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ibo_Latn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Sudanese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17,509,842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5,328,308-39,539,461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Saraiki,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17,224,673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5,241,530-38,895,512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Cebuano,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16,489,398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5,792,931-33,947,185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ceb_Latn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Yoruba,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16,223,657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5,868,853-32,896,594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yor_Latn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Awadhi,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15,804,968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5,490,259-32,657,733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awa_Deva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Min Nan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15,302,819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4,656,703-34,555,721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Malagasy,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15,076,827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4,587,933-34,045,403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Burmese, Myanmar-script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14,876,938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5,746,932-28,802,470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mya_Mymr</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Gan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13,691,997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4,166,524-30,918,277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13,681,980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4,837,925-27,946,199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Bavarian,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12,979,402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3,949,679-29,309,150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Azerbaijani,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12,807,237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3,897,289-28,920,378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Nepali,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12,362,580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3,761,978-27,916,285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Romanian,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11,796,814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4,138,069-23,954,389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ron_Latn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Maithili,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11,522,314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4,061,376-23,809,199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mai_Deva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Nyanja,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11,166,916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3,896,672-23,170,985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nya_Latn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10,667,282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3,767,168-21,845,790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som_Latn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Ethiopic-script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10,139,854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4,192,238-18,900,993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amh_Ethi</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Madurese,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10,089,205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3,070,181-22,782,713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Magahi,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9,701,929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3,419,911-19,663,746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mag_Deva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Assamese,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9,698,578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3,498,573-19,312,565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asm_Beng</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Rangpuri,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9,683,187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2,946,629-21,865,874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Haryanvi,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9,617,776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2,926,724-21,718,166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Marwari,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9,617,776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2,926,724-21,718,166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Northeastern Thai, Thai-script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9,544,676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2,904,479-21,553,099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Nigerian Fulfulde,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9,427,287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3,267,255-19,652,445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fuv_Latn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Chhattisgarhi,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8,859,563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3,131,912-18,126,548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hne_Deva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Swedish,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8,595,279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2,935,387-17,821,088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swe_Latn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Zulu,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8,577,486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3,042,718-17,364,401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zul_Latn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Shona,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8,007,978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2,807,045-16,325,172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sna_Latn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Deccan,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7,934,665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2,414,547-17,917,487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Czech,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7,876,222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2,754,709-16,143,409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ces_Latn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Kazakh,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7,743,142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2,709,332-16,243,517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kaz_Cyrl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Min Nan Chinese, Traditional-script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7,663,232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2,331,949-17,304,556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Wolof,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7,539,675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2,663,154-15,263,071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wol_Latn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Akan,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6,968,724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2,450,267-14,448,773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aka_Latn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Hungarian,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6,904,214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2,447,869-14,000,203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hun_Latn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6,871,180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2,422,456-14,031,008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Low German,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6,853,344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2,085,497-15,475,727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Tunisian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6,825,498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2,309,719-14,301,733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aeb_Arab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Quechua,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6,792,664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2,067,032-15,338,703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Sinhala, Sinhala-script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6,631,827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2,501,608-12,873,484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sin_Sinh</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Xhosa,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6,406,871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2,245,955-13,115,068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xho_Latn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Luba-Lulua,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6,389,488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2,206,449-13,217,364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lua_Latn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Iloko,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6,276,195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2,239,045-12,720,226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ilo_Latn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Afrikaans,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6,259,618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2,160,727-13,013,521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afr_Latn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Greek, Greek-script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6,236,033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2,268,502-12,345,370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ell_Grek</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Umbundu,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6,058,396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2,139,308-12,437,394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umb_Latn</w:t>
            </w:r>
          </w:p>
        </w:tc>
      </w:tr>
    </w:tbl>
    <w:p>
      <w:pPr>
        <w:widowControl/>
        <w:spacing w:before="0" w:after="40"/>
      </w:pPr>
    </w:p>
    <w:p>
      <w:pPr>
        <w:pStyle w:val="Heading2"/>
        <w:widowControl/>
      </w:pPr>
      <w:r>
        <w:rPr>
          <w:color w:val="000000"/>
        </w:rPr>
        <w:t>Why the two orders can differ</w:t>
      </w:r>
    </w:p>
    <w:p>
      <w:pPr>
        <w:widowControl/>
      </w:pPr>
      <w:r>
        <w:t>Potential reach is the numerator. The common-package proxy divides it by an estimated end-to-end token-event workload for the same package. Script and tokenizer representation can change the workload estimate, but no claim is made that token counts capture all production difficulty. In the final model, a target with smaller potential reach can lead when a specific package produces a larger additional functional effect, costs less to produce and deliver, or uniquely reaches people not served by another edition.</w:t>
      </w:r>
    </w:p>
    <w:p>
      <w:pPr>
        <w:pStyle w:val="Heading2"/>
        <w:widowControl/>
      </w:pPr>
      <w:r>
        <w:rPr>
          <w:color w:val="000000"/>
        </w:rPr>
        <w:t>What remains before a final allocation claim</w:t>
      </w:r>
    </w:p>
    <w:p>
      <w:pPr>
        <w:widowControl/>
      </w:pPr>
      <w:r>
        <w:t>For each intervention the model still needs a named educational endpoint, an independently usable baseline, a defensible incremental effect, exposure and delivery pathways, accessibility costs, measured physical compute, reusable-work accounting, and beneficiary overlap. The correct final object is portfolio-marginal additional functional access per standardized physical compute, with uncertainty and reversal thresholds, not the nonordinal profile catalogue or this common-package proxy alone.</w:t>
      </w:r>
    </w:p>
    <w:p>
      <w:pPr>
        <w:widowControl/>
      </w:pPr>
      <w:r>
        <w:t>English academic-to-non-academic register translation remains a coequal but analytically separate intervention because its production process and audience nonoverlap cannot be inferred from ordinary English fluency. Signed-language, accessibility-format, displaced-community, and evidence-supported interlanguage interventions likewise remain possible outrankers outside this spoken/written CLDR table.</w:t>
      </w:r>
    </w:p>
    <w:p>
      <w:pPr>
        <w:pStyle w:val="Heading2"/>
        <w:widowControl/>
      </w:pPr>
      <w:r>
        <w:rPr>
          <w:color w:val="000000"/>
        </w:rPr>
        <w:t>Source and nonadditivity cautions</w:t>
      </w:r>
    </w:p>
    <w:p>
      <w:pPr>
        <w:widowControl/>
      </w:pPr>
      <w:r>
        <w:t>CLDR 48 is an open locale-planning source. Its language-population estimates represent people fluent enough to use a computer or smartphone interface and include L1 and L2 users. Resolving likely scripts improves edition specificity but does not prove literacy in that script. Multilingual people, macrolanguages and constituent languages, and alternative scripts can overlap; these rows cannot be summed into a world total. The direct Indonesian population context measures communicative ability, not independent academic reading. All such distinctions are preserved in the machine-readable evidence.</w:t>
      </w:r>
    </w:p>
    <w:sectPr w:rsidR="00FC693F" w:rsidRPr="0006063C" w:rsidSect="00034616">
      <w:headerReference w:type="default" r:id="rId222"/>
      <w:footerReference w:type="default" r:id="rId2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6"/>
      </w:rPr>
      <w:t>OPEN EDUCATIONAL ACCESS RESEARCH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MARGINAL EDUCATIONAL ACCESS</w:t>
    </w:r>
    <w:r>
      <w:rPr>
        <w:rFonts w:ascii="Calibri" w:hAnsi="Calibri" w:eastAsia="Calibri" w:cs="Calibri"/>
        <w:color w:val="66717E"/>
        <w:sz w:val="17"/>
      </w:rPr>
      <w:tab/>
      <w:t>RESEARCH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rPr>
        <w:rFonts w:ascii="Calibri" w:hAnsi="Calibri"/>
      </w:rPr>
    </w:lvl>
  </w:abstractNum>
  <w:abstractNum w:abstractNumId="10">
    <w:multiLevelType w:val="singleLevel"/>
    <w:lvl w:ilvl="0">
      <w:start w:val="1"/>
      <w:numFmt w:val="decimal"/>
      <w:lvlText w:val="%1."/>
      <w:suff w:val="tab"/>
      <w:pPr>
        <w:tabs>
          <w:tab w:val="num" w:pos="540"/>
        </w:tabs>
        <w:ind w:left="540" w:hanging="279"/>
      </w:pPr>
      <w:rPr>
        <w:rFonts w:ascii="Calibri" w:hAnsi="Calibri"/>
      </w:rPr>
    </w:lvl>
  </w:abstractNum>
  <w:num w:numId="1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eastAsia="Calibri" w:cs="Calibri"/>
      <w:b/>
      <w:bCs/>
      <w:color w:val="000000"/>
      <w:sz w:val="32"/>
      <w:szCs w:val="28"/>
      <w:lang w:val="en-US"/>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Calibri" w:hAnsi="Calibri" w:eastAsia="Calibri" w:cs="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80"/>
      <w:outlineLvl w:val="2"/>
    </w:pPr>
    <w:rPr>
      <w:rFonts w:asciiTheme="majorHAnsi" w:eastAsiaTheme="majorEastAsia" w:hAnsiTheme="majorHAnsi" w:cstheme="majorBidi" w:ascii="Calibri" w:hAnsi="Calibri" w:eastAsia="Calibri" w:cs="Calibri"/>
      <w:b/>
      <w:bCs/>
      <w:color w:val="000000"/>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jc w:val="center"/>
    </w:pPr>
    <w:rPr>
      <w:rFonts w:asciiTheme="majorHAnsi" w:eastAsiaTheme="majorEastAsia" w:hAnsiTheme="majorHAnsi" w:cstheme="majorBidi" w:ascii="Calibri" w:hAnsi="Calibri" w:eastAsia="Calibri" w:cs="Calibri"/>
      <w:b/>
      <w:color w:val="000000"/>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520"/>
      <w:jc w:val="center"/>
    </w:pPr>
    <w:rPr>
      <w:rFonts w:asciiTheme="majorHAnsi" w:eastAsiaTheme="majorEastAsia" w:hAnsiTheme="majorHAnsi" w:cstheme="majorBidi" w:ascii="Calibri" w:hAnsi="Calibri" w:eastAsia="Calibri" w:cs="Calibri"/>
      <w:i w:val="0"/>
      <w:iCs/>
      <w:color w:val="000000"/>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00" w:after="140"/>
    </w:pPr>
    <w:rPr>
      <w:rFonts w:ascii="Calibri" w:hAnsi="Calibri" w:eastAsia="Calibri" w:cs="Calibri"/>
      <w:b/>
      <w:bCs/>
      <w:i/>
      <w:color w:val="66717E"/>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List">
    <w:name w:val="Proposal List"/>
    <w:pPr>
      <w:widowControl/>
      <w:spacing w:before="0" w:after="80" w:line="290" w:lineRule="auto"/>
    </w:pPr>
    <w:rPr>
      <w:rFonts w:ascii="Calibri" w:hAnsi="Calibri" w:eastAsia="Calibri" w:cs="Calibri"/>
      <w:color w:val="000000"/>
      <w:sz w:val="22"/>
      <w:lang w:val="en-US"/>
    </w:rPr>
  </w:style>
  <w:style w:type="paragraph" w:customStyle="1" w:styleId="ReferenceEntry">
    <w:name w:val="Reference Entry"/>
    <w:pPr>
      <w:widowControl/>
      <w:spacing w:before="0" w:after="120" w:line="264" w:lineRule="auto"/>
      <w:ind w:left="360" w:hanging="360"/>
      <w:jc w:val="left"/>
    </w:pPr>
    <w:rPr>
      <w:rFonts w:ascii="Calibri" w:hAnsi="Calibri" w:eastAsia="Calibri" w:cs="Calibri"/>
      <w:color w:val="000000"/>
      <w:sz w:val="19"/>
      <w:lang w:val="en-US"/>
    </w:rPr>
  </w:style>
  <w:style w:type="paragraph" w:customStyle="1" w:styleId="Equation">
    <w:name w:val="Equation"/>
    <w:pPr>
      <w:keepLines/>
      <w:spacing w:before="140" w:after="180"/>
      <w:jc w:val="center"/>
    </w:pPr>
    <w:rPr>
      <w:rFonts w:ascii="Cambria Math" w:hAnsi="Cambria Math" w:eastAsia="Cambria Math" w:cs="Cambria Math"/>
      <w:color w:val="000000"/>
      <w:sz w:val="21"/>
      <w:lang w:val="en-US"/>
    </w:rPr>
  </w:style>
  <w:style w:type="paragraph" w:customStyle="1" w:styleId="TableSourceNote">
    <w:name w:val="Table Source Note"/>
    <w:pPr>
      <w:spacing w:before="80" w:after="80" w:line="240" w:lineRule="auto"/>
    </w:pPr>
    <w:rPr>
      <w:rFonts w:ascii="Calibri" w:hAnsi="Calibri" w:eastAsia="Calibri" w:cs="Calibri"/>
      <w:color w:val="66717E"/>
      <w:sz w:val="18"/>
      <w:lang w:val="en-US"/>
    </w:rPr>
  </w:style>
  <w:style w:type="paragraph" w:customStyle="1" w:styleId="ResearchQuote">
    <w:name w:val="Research Quote"/>
    <w:pPr>
      <w:widowControl/>
      <w:spacing w:before="100" w:after="180" w:line="288" w:lineRule="auto"/>
      <w:ind w:left="504" w:right="288"/>
    </w:pPr>
    <w:rPr>
      <w:rFonts w:ascii="Calibri" w:hAnsi="Calibri" w:eastAsia="Calibri" w:cs="Calibri"/>
      <w:color w:val="000000"/>
      <w:sz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yperlink" Target="https://doi.org/10.1515/applirev-2022-0093" TargetMode="External"/><Relationship Id="rId18" Type="http://schemas.openxmlformats.org/officeDocument/2006/relationships/hyperlink" Target="https://doi.org/10.1177/2332858419872212" TargetMode="External"/><Relationship Id="rId19" Type="http://schemas.openxmlformats.org/officeDocument/2006/relationships/hyperlink" Target="https://doi.org/10.1001/jama.287.21.2851" TargetMode="External"/><Relationship Id="rId20" Type="http://schemas.openxmlformats.org/officeDocument/2006/relationships/hyperlink" Target="https://doi.org/10.5281/zenodo.15525265" TargetMode="External"/><Relationship Id="rId21" Type="http://schemas.openxmlformats.org/officeDocument/2006/relationships/hyperlink" Target="https://doi.org/10.2196/jmir.2569" TargetMode="External"/><Relationship Id="rId22" Type="http://schemas.openxmlformats.org/officeDocument/2006/relationships/hyperlink" Target="https://doi.org/10.1016/j.cognition.2022.105070" TargetMode="External"/><Relationship Id="rId23" Type="http://schemas.openxmlformats.org/officeDocument/2006/relationships/hyperlink" Target="https://doi.org/10.1073/pnas.2302672120" TargetMode="External"/><Relationship Id="rId24" Type="http://schemas.openxmlformats.org/officeDocument/2006/relationships/hyperlink" Target="https://doi.org/10.1016/j.jclinepi.2023.11.009" TargetMode="External"/><Relationship Id="rId25" Type="http://schemas.openxmlformats.org/officeDocument/2006/relationships/hyperlink" Target="https://www.cdpf.org.cn/zwgk/ghjh/af85c8a4edd744159b1a60f659a36d9b.htm" TargetMode="External"/><Relationship Id="rId26" Type="http://schemas.openxmlformats.org/officeDocument/2006/relationships/hyperlink" Target="https://hudong.moe.gov.cn/jyb_sjzl/wenzi/202108/t20210827_554992.html" TargetMode="External"/><Relationship Id="rId27" Type="http://schemas.openxmlformats.org/officeDocument/2006/relationships/hyperlink" Target="https://www.moe.gov.cn/fbh/live/2025/77791/mtbd/202512/t20251231_1425330.html" TargetMode="External"/><Relationship Id="rId28" Type="http://schemas.openxmlformats.org/officeDocument/2006/relationships/hyperlink" Target="https://www.moe.gov.cn/jyb_sjzl/sjzl_fztjgb/202607/t20260706_1442870.html" TargetMode="External"/><Relationship Id="rId29" Type="http://schemas.openxmlformats.org/officeDocument/2006/relationships/hyperlink" Target="https://www.stats.gov.cn/english/PressRelease/202605/t20260522_1963789.html" TargetMode="External"/><Relationship Id="rId30" Type="http://schemas.openxmlformats.org/officeDocument/2006/relationships/hyperlink" Target="https://www.stats.gov.cn/sj/zxfb/202604/t20260430_1963472.html" TargetMode="External"/><Relationship Id="rId31" Type="http://schemas.openxmlformats.org/officeDocument/2006/relationships/hyperlink" Target="https://www.stats.gov.cn/zs/tjwh/tjkw/tjzl/202304/P020230419425666818737.pdf" TargetMode="External"/><Relationship Id="rId32" Type="http://schemas.openxmlformats.org/officeDocument/2006/relationships/hyperlink" Target="https://www.nppa.gov.cn/xxfb/ywdt/202607/t20260709_998348.html" TargetMode="External"/><Relationship Id="rId33" Type="http://schemas.openxmlformats.org/officeDocument/2006/relationships/hyperlink" Target="https://doi.org/10.1371/journal.pone.0324760" TargetMode="External"/><Relationship Id="rId34" Type="http://schemas.openxmlformats.org/officeDocument/2006/relationships/hyperlink" Target="https://anads.ansd.sn/index.php/catalog/311/download/3095" TargetMode="External"/><Relationship Id="rId35" Type="http://schemas.openxmlformats.org/officeDocument/2006/relationships/hyperlink" Target="https://fmino.gov.ng/fg-reaffirms-english-as-medium-of-instruction-launches-inclusive-language-policy-to-promote-national-unity-2/" TargetMode="External"/><Relationship Id="rId36" Type="http://schemas.openxmlformats.org/officeDocument/2006/relationships/hyperlink" Target="https://census2021.statsghana.gov.gh/" TargetMode="External"/><Relationship Id="rId37" Type="http://schemas.openxmlformats.org/officeDocument/2006/relationships/hyperlink" Target="https://www.instat-mali.org/laravel-filemanager/files/shares/rgph/rapport-scolarisation-instruction-alphabetisation-rgph5_rgph.pdf" TargetMode="External"/><Relationship Id="rId38" Type="http://schemas.openxmlformats.org/officeDocument/2006/relationships/hyperlink" Target="https://www.nigerianstat.gov.ng/pdfuploads/2021%20MICS%20Statistical%20Snapshots%20Report.pdf" TargetMode="External"/><Relationship Id="rId39" Type="http://schemas.openxmlformats.org/officeDocument/2006/relationships/hyperlink" Target="https://www.unicode.org/L2/L2018/18094-arabic-hausa.pdf" TargetMode="External"/><Relationship Id="rId40" Type="http://schemas.openxmlformats.org/officeDocument/2006/relationships/hyperlink" Target="https://ifra-nigeria.org/research/former-projects/89-guide-to-standard-naija-orthography-an-nla-harmonized-writing-system-for-common-naija-publications" TargetMode="External"/><Relationship Id="rId41" Type="http://schemas.openxmlformats.org/officeDocument/2006/relationships/hyperlink" Target="https://www.nbte.gov.ng/nbte/digest%20of%20statistics" TargetMode="External"/><Relationship Id="rId42" Type="http://schemas.openxmlformats.org/officeDocument/2006/relationships/hyperlink" Target="https://www.nerdc.gov.ng/content_manager/ldc_achievements.html" TargetMode="External"/><Relationship Id="rId43" Type="http://schemas.openxmlformats.org/officeDocument/2006/relationships/hyperlink" Target="https://www.nerdc.gov.ng/content_manager/cd.html" TargetMode="External"/><Relationship Id="rId44" Type="http://schemas.openxmlformats.org/officeDocument/2006/relationships/hyperlink" Target="https://teras.tetfund.gov.ng/services" TargetMode="External"/><Relationship Id="rId45" Type="http://schemas.openxmlformats.org/officeDocument/2006/relationships/hyperlink" Target="https://www.unicef.org/nigeria/media/9211/file/Nigeria%20Education%20Fact%20Sheets.pdf" TargetMode="External"/><Relationship Id="rId46" Type="http://schemas.openxmlformats.org/officeDocument/2006/relationships/hyperlink" Target="https://www.unicef.org/nigeria/reports/national-assessment-learning-achievement-basic-education" TargetMode="External"/><Relationship Id="rId47" Type="http://schemas.openxmlformats.org/officeDocument/2006/relationships/hyperlink" Target="https://data.worldbank.org/country/nigeria" TargetMode="External"/><Relationship Id="rId48" Type="http://schemas.openxmlformats.org/officeDocument/2006/relationships/hyperlink" Target="https://data.worldbank.org/country/pakistan" TargetMode="External"/><Relationship Id="rId49" Type="http://schemas.openxmlformats.org/officeDocument/2006/relationships/hyperlink" Target="https://data.worldbank.org/country/ukraine" TargetMode="External"/><Relationship Id="rId50" Type="http://schemas.openxmlformats.org/officeDocument/2006/relationships/hyperlink" Target="https://data.worldbank.org/country/russian-federation" TargetMode="External"/><Relationship Id="rId51" Type="http://schemas.openxmlformats.org/officeDocument/2006/relationships/hyperlink" Target="https://github.com/openstax/osbooks-prealgebra-bundle/tree/38cae454e644abf9f0a623e876994553881597c9" TargetMode="External"/><Relationship Id="rId52" Type="http://schemas.openxmlformats.org/officeDocument/2006/relationships/hyperlink" Target="https://github.com/openstax/osbooks-introductory-statistics-bundle/tree/1f6a35825395bb4aa2834cf1eca37512655f920c" TargetMode="External"/><Relationship Id="rId53" Type="http://schemas.openxmlformats.org/officeDocument/2006/relationships/hyperlink" Target="https://github.com/openstax/osbooks-biology-bundle/tree/63f8b6f8d129dd1582989bb755011e9a6d523471" TargetMode="External"/><Relationship Id="rId54" Type="http://schemas.openxmlformats.org/officeDocument/2006/relationships/hyperlink" Target="https://github.com/openstax/osbooks-chemistry-bundle/tree/3be4b60ff501f29a445f0cacf003e5f5cc16244d" TargetMode="External"/><Relationship Id="rId55" Type="http://schemas.openxmlformats.org/officeDocument/2006/relationships/hyperlink" Target="https://github.com/openstax/osbooks-college-physics-bundle/tree/fd1b25dfd5d8c6580c6e2b2b34a19e29cc69ada9" TargetMode="External"/><Relationship Id="rId56" Type="http://schemas.openxmlformats.org/officeDocument/2006/relationships/hyperlink" Target="https://github.com/openstax/osbooks-principles-of-management-bundle/tree/f2b749648a176dbe114dbc4e35ec20c030be4713" TargetMode="External"/><Relationship Id="rId57" Type="http://schemas.openxmlformats.org/officeDocument/2006/relationships/hyperlink" Target="https://github.com/openstax/osbooks-principles-finance/tree/e3e5135ae36e21282d7afb4cccd5ce09f421d830" TargetMode="External"/><Relationship Id="rId58" Type="http://schemas.openxmlformats.org/officeDocument/2006/relationships/hyperlink" Target="https://github.com/openstax/osbooks-anatomy-physiology/tree/716383a4c6c16037b14d75a156c65145e75e895e" TargetMode="External"/><Relationship Id="rId59" Type="http://schemas.openxmlformats.org/officeDocument/2006/relationships/hyperlink" Target="https://github.com/openstax/osbooks-introduction-python-programming/tree/d215dd3b99c33db855c49315152ebd5fbadc8534" TargetMode="External"/><Relationship Id="rId60" Type="http://schemas.openxmlformats.org/officeDocument/2006/relationships/hyperlink" Target="https://www.houstonisd.org/fs/resource-manager/view/a76fe050-7086-4b96-9bdc-540738502595" TargetMode="External"/><Relationship Id="rId61" Type="http://schemas.openxmlformats.org/officeDocument/2006/relationships/hyperlink" Target="https://www.houstonisd.org/schools-academics/academics/multilingual/multilingual-program-models" TargetMode="External"/><Relationship Id="rId62" Type="http://schemas.openxmlformats.org/officeDocument/2006/relationships/hyperlink" Target="https://www.houstonisd.org/schools-academics/academics/multilingual/testing-identification" TargetMode="External"/><Relationship Id="rId63" Type="http://schemas.openxmlformats.org/officeDocument/2006/relationships/hyperlink" Target="https://tea.texas.gov/curriculum-and-instruction/instructional-materials/bluebonnet-learning/bluebonnet-learning-k-5-math-and-secondary-mathematics" TargetMode="External"/><Relationship Id="rId64" Type="http://schemas.openxmlformats.org/officeDocument/2006/relationships/hyperlink" Target="https://tea.texas.gov/laws-and-rules/state-board-education/teks/texas-essential-knowledge-and-skills-spanish" TargetMode="External"/><Relationship Id="rId65" Type="http://schemas.openxmlformats.org/officeDocument/2006/relationships/hyperlink" Target="https://wharton.houstonisd.org/academics-programs/academic-offerings" TargetMode="External"/><Relationship Id="rId66" Type="http://schemas.openxmlformats.org/officeDocument/2006/relationships/hyperlink" Target="https://www.worldbank.org/en/country/thailand/publication/fostering-foundational-skills-in-thailand" TargetMode="External"/><Relationship Id="rId67" Type="http://schemas.openxmlformats.org/officeDocument/2006/relationships/hyperlink" Target="https://www.unicef.org/myanmar/learning" TargetMode="External"/><Relationship Id="rId68" Type="http://schemas.openxmlformats.org/officeDocument/2006/relationships/hyperlink" Target="https://mooc.unam.mx/" TargetMode="External"/><Relationship Id="rId69" Type="http://schemas.openxmlformats.org/officeDocument/2006/relationships/hyperlink" Target="https://sensus.bps.go.id/topik/tabular/sp2022/196/1/0" TargetMode="External"/><Relationship Id="rId70" Type="http://schemas.openxmlformats.org/officeDocument/2006/relationships/hyperlink" Target="https://sensus.bps.go.id/topik/tabular/sp2022/197/0/0" TargetMode="External"/><Relationship Id="rId71" Type="http://schemas.openxmlformats.org/officeDocument/2006/relationships/hyperlink" Target="https://peraturan.bpk.go.id/Download/32160/UU%20Nomor%2020%20Tahun%202003.pdf" TargetMode="External"/><Relationship Id="rId72" Type="http://schemas.openxmlformats.org/officeDocument/2006/relationships/hyperlink" Target="https://www.bps.go.id/id/publication/2025/08/29/beaa2be400eda6ce6c636ef8/telecommunication-statistics-in-indonesia-2024.html" TargetMode="External"/><Relationship Id="rId73" Type="http://schemas.openxmlformats.org/officeDocument/2006/relationships/hyperlink" Target="https://buku.kemendikdasmen.go.id/katalog" TargetMode="External"/><Relationship Id="rId74" Type="http://schemas.openxmlformats.org/officeDocument/2006/relationships/hyperlink" Target="https://pskp.kemendikdasmen.go.id/assets_front/images/produk/1-gtk/kebijakan/Policy_Brief-Optimising_the_Use_of_Local_Languages_in_Early_Grades_FIN_%281%29.pdf" TargetMode="External"/><Relationship Id="rId75" Type="http://schemas.openxmlformats.org/officeDocument/2006/relationships/hyperlink" Target="https://www.ebookbou.edu.bd/wp/OS/osbba3_1.php" TargetMode="External"/><Relationship Id="rId76" Type="http://schemas.openxmlformats.org/officeDocument/2006/relationships/hyperlink" Target="https://banbeis.gov.bd/pages/static-pages/6a338d7fcb6cb358ff185b6c" TargetMode="External"/><Relationship Id="rId77" Type="http://schemas.openxmlformats.org/officeDocument/2006/relationships/hyperlink" Target="https://bbs.gov.bd/pages/files/6a609418b859b8767ff841e0" TargetMode="External"/><Relationship Id="rId78" Type="http://schemas.openxmlformats.org/officeDocument/2006/relationships/hyperlink" Target="https://doi.org/10.24815/siele.v12i1.38407" TargetMode="External"/><Relationship Id="rId79" Type="http://schemas.openxmlformats.org/officeDocument/2006/relationships/hyperlink" Target="https://doi.org/10.1080/15348458.2020.1871353" TargetMode="External"/><Relationship Id="rId80" Type="http://schemas.openxmlformats.org/officeDocument/2006/relationships/hyperlink" Target="https://doi.org/10.1016/j.ijedudev.2023.102951" TargetMode="External"/><Relationship Id="rId81" Type="http://schemas.openxmlformats.org/officeDocument/2006/relationships/hyperlink" Target="https://doi.org/10.1787/53f23881-en" TargetMode="External"/><Relationship Id="rId82" Type="http://schemas.openxmlformats.org/officeDocument/2006/relationships/hyperlink" Target="https://stat.link/hpg9nd" TargetMode="External"/><Relationship Id="rId83" Type="http://schemas.openxmlformats.org/officeDocument/2006/relationships/hyperlink" Target="https://stat.link/znxau8" TargetMode="External"/><Relationship Id="rId84" Type="http://schemas.openxmlformats.org/officeDocument/2006/relationships/hyperlink" Target="https://www.oecd.org/content/dam/oecd/en/publications/reports/2023/11/pisa-2022-results-volume-i-and-ii-country-notes_2fca04b9/ukrainian-regions-18-of-27_de3ad3b1/78043794-en.pdf" TargetMode="External"/><Relationship Id="rId85" Type="http://schemas.openxmlformats.org/officeDocument/2006/relationships/hyperlink" Target="https://ec.europa.eu/eurostat/web/products-eurostat-news/w/ddn-20260811-1" TargetMode="External"/><Relationship Id="rId86" Type="http://schemas.openxmlformats.org/officeDocument/2006/relationships/hyperlink" Target="https://www.hse.ru/en/primarydata/oc2025" TargetMode="External"/><Relationship Id="rId87" Type="http://schemas.openxmlformats.org/officeDocument/2006/relationships/hyperlink" Target="https://www.kiis.com.ua/?cat=reports&amp;id=1619&amp;lang=eng&amp;page=1" TargetMode="External"/><Relationship Id="rId88" Type="http://schemas.openxmlformats.org/officeDocument/2006/relationships/hyperlink" Target="https://www.riigikontroll.ee/en/audits/estonian-language-training-russian-language-basic-school" TargetMode="External"/><Relationship Id="rId89" Type="http://schemas.openxmlformats.org/officeDocument/2006/relationships/hyperlink" Target="https://2001.ukrcensus.gov.ua/d/mono_eng.pdf" TargetMode="External"/><Relationship Id="rId90" Type="http://schemas.openxmlformats.org/officeDocument/2006/relationships/hyperlink" Target="https://ukraine.un.org/en/262987-analysis-war-damage-ukrainian-science-sector-and-its-consequences" TargetMode="External"/><Relationship Id="rId91" Type="http://schemas.openxmlformats.org/officeDocument/2006/relationships/hyperlink" Target="https://www.pbs.gov.pk/wp-content/uploads/2020/07/PSLM_Report_2024-25-janurary-26-Social-Reportupdated.pdf" TargetMode="External"/><Relationship Id="rId92" Type="http://schemas.openxmlformats.org/officeDocument/2006/relationships/hyperlink" Target="https://www.unicef.org/bangladesh/en/data-situation-children-bangladesh" TargetMode="External"/><Relationship Id="rId93" Type="http://schemas.openxmlformats.org/officeDocument/2006/relationships/hyperlink" Target="https://ocw.vu.edu.pk/Courses.aspx?cat=Mathematics" TargetMode="External"/><Relationship Id="rId94" Type="http://schemas.openxmlformats.org/officeDocument/2006/relationships/hyperlink" Target="https://utokyo-ipp.github.io/" TargetMode="External"/><Relationship Id="rId95" Type="http://schemas.openxmlformats.org/officeDocument/2006/relationships/hyperlink" Target="https://www.tup.tsinghua.edu.cn/booksCenter/book_09529801.html" TargetMode="External"/><Relationship Id="rId96" Type="http://schemas.openxmlformats.org/officeDocument/2006/relationships/hyperlink" Target="https://doi.org/10.1007/s11185-015-9150-9" TargetMode="External"/><Relationship Id="rId97" Type="http://schemas.openxmlformats.org/officeDocument/2006/relationships/hyperlink" Target="https://www.diva-portal.org/smash/get/diva2:22664/FULLTEXT01.pdf" TargetMode="External"/><Relationship Id="rId98" Type="http://schemas.openxmlformats.org/officeDocument/2006/relationships/hyperlink" Target="https://doi.org/10.1257/app.20150385" TargetMode="External"/><Relationship Id="rId99" Type="http://schemas.openxmlformats.org/officeDocument/2006/relationships/hyperlink" Target="https://doi.org/10.1257/app.1.1.112" TargetMode="External"/><Relationship Id="rId100" Type="http://schemas.openxmlformats.org/officeDocument/2006/relationships/hyperlink" Target="https://doi.org/10.1257/aer.20171112" TargetMode="External"/><Relationship Id="rId101" Type="http://schemas.openxmlformats.org/officeDocument/2006/relationships/hyperlink" Target="https://www.unicef.org/bangladesh/en/reports/bangladesh-multiple-indicator-cluster-survey-2025-0" TargetMode="External"/><Relationship Id="rId102" Type="http://schemas.openxmlformats.org/officeDocument/2006/relationships/hyperlink" Target="https://data.unicef.org/sdgs/country/bgd/" TargetMode="External"/><Relationship Id="rId103" Type="http://schemas.openxmlformats.org/officeDocument/2006/relationships/hyperlink" Target="https://mospi.gov.in/sites/default/files/publication_reports/Report_585_75th_round_Education_final_1507_0.pdf" TargetMode="External"/><Relationship Id="rId104" Type="http://schemas.openxmlformats.org/officeDocument/2006/relationships/hyperlink" Target="https://asercentre.org/wp-content/uploads/2022/12/ASER-2024-National-findings.pdf" TargetMode="External"/><Relationship Id="rId105" Type="http://schemas.openxmlformats.org/officeDocument/2006/relationships/hyperlink" Target="https://cdnbbsr.s3waas.gov.in/s392049debbe566ca5782a3045cf300a3c/uploads/2026/07/202607131602421770.pdf" TargetMode="External"/><Relationship Id="rId106" Type="http://schemas.openxmlformats.org/officeDocument/2006/relationships/hyperlink" Target="https://www.dsel-education.gov.in/statistics" TargetMode="External"/><Relationship Id="rId107" Type="http://schemas.openxmlformats.org/officeDocument/2006/relationships/hyperlink" Target="https://diksha.gov.in/help/faqs/user/features.html" TargetMode="External"/><Relationship Id="rId108" Type="http://schemas.openxmlformats.org/officeDocument/2006/relationships/hyperlink" Target="https://islrtc.nic.in/faq/" TargetMode="External"/><Relationship Id="rId109" Type="http://schemas.openxmlformats.org/officeDocument/2006/relationships/hyperlink" Target="https://ncert.nic.in/primers.php" TargetMode="External"/><Relationship Id="rId110" Type="http://schemas.openxmlformats.org/officeDocument/2006/relationships/hyperlink" Target="https://mospi.gov.in/sites/default/files/publication_reports/CMST_report_m.pdf" TargetMode="External"/><Relationship Id="rId111" Type="http://schemas.openxmlformats.org/officeDocument/2006/relationships/hyperlink" Target="https://nptel.ac.in/translation" TargetMode="External"/><Relationship Id="rId112" Type="http://schemas.openxmlformats.org/officeDocument/2006/relationships/hyperlink" Target="https://www.bunka.go.jp/seisaku/kokugo_nihongo/kokugo_shisaku/kikigengo/" TargetMode="External"/><Relationship Id="rId113" Type="http://schemas.openxmlformats.org/officeDocument/2006/relationships/hyperlink" Target="https://www8.cao.go.jp/shougai/suishin/jsl.html" TargetMode="External"/><Relationship Id="rId114" Type="http://schemas.openxmlformats.org/officeDocument/2006/relationships/hyperlink" Target="https://www.jstage.jst.go.jp/static/pages/JstageOverview/-char/en" TargetMode="External"/><Relationship Id="rId115" Type="http://schemas.openxmlformats.org/officeDocument/2006/relationships/hyperlink" Target="https://www.mext.go.jp/b_menu/toukei/002/002b/1417059_00009.htm" TargetMode="External"/><Relationship Id="rId116" Type="http://schemas.openxmlformats.org/officeDocument/2006/relationships/hyperlink" Target="https://www.mext.go.jp/content/20240808-mxt_kyokoku-000037366_4.pdf" TargetMode="External"/><Relationship Id="rId117" Type="http://schemas.openxmlformats.org/officeDocument/2006/relationships/hyperlink" Target="https://www.mext.go.jp/content/20240524-mxt_chousa02-100002205_2.pdf" TargetMode="External"/><Relationship Id="rId118" Type="http://schemas.openxmlformats.org/officeDocument/2006/relationships/hyperlink" Target="https://www.mext.go.jp/content/20240228-soseisk02-100000597_09.pdf" TargetMode="External"/><Relationship Id="rId119" Type="http://schemas.openxmlformats.org/officeDocument/2006/relationships/hyperlink" Target="https://www.nistep.go.jp/wp/wp-content/uploads/NISTEP-RM254-PressJ.pdf" TargetMode="External"/><Relationship Id="rId120" Type="http://schemas.openxmlformats.org/officeDocument/2006/relationships/hyperlink" Target="https://data.worldbank.org/country/japan" TargetMode="External"/><Relationship Id="rId121" Type="http://schemas.openxmlformats.org/officeDocument/2006/relationships/hyperlink" Target="https://censusindia.gov.in/nada/index.php/catalog/10191" TargetMode="External"/><Relationship Id="rId122" Type="http://schemas.openxmlformats.org/officeDocument/2006/relationships/hyperlink" Target="https://censusindia.gov.in/nada/index.php/catalog/10262" TargetMode="External"/><Relationship Id="rId123" Type="http://schemas.openxmlformats.org/officeDocument/2006/relationships/hyperlink" Target="https://www.deped.gov.ph/als-learning-materials/" TargetMode="External"/><Relationship Id="rId124" Type="http://schemas.openxmlformats.org/officeDocument/2006/relationships/hyperlink" Target="https://lrmds.deped.gov.ph/k_to_12" TargetMode="External"/><Relationship Id="rId125" Type="http://schemas.openxmlformats.org/officeDocument/2006/relationships/hyperlink" Target="https://www.deped.gov.ph/wp-content/uploads/DO_s2025_020r_8.pdf" TargetMode="External"/><Relationship Id="rId126" Type="http://schemas.openxmlformats.org/officeDocument/2006/relationships/hyperlink" Target="https://psa.gov.ph/content/tagalog-most-widely-spoken-language-home-2020-census-population-and-housing" TargetMode="External"/><Relationship Id="rId127" Type="http://schemas.openxmlformats.org/officeDocument/2006/relationships/hyperlink" Target="https://psa.gov.ph/content/more-50-million-have-access-internet-2020-census-population-and-housing" TargetMode="External"/><Relationship Id="rId128" Type="http://schemas.openxmlformats.org/officeDocument/2006/relationships/hyperlink" Target="https://psa.gov.ph/content/every-10-filipinos-9-have-basic-literacy-while-7-have-functional-literacy" TargetMode="External"/><Relationship Id="rId129" Type="http://schemas.openxmlformats.org/officeDocument/2006/relationships/hyperlink" Target="https://psa.gov.ph/content/percentage-households-internet-connection-increased-488-percent-2024-two-every-three" TargetMode="External"/><Relationship Id="rId130" Type="http://schemas.openxmlformats.org/officeDocument/2006/relationships/hyperlink" Target="https://stat.gov.kz/en/national/2021/" TargetMode="External"/><Relationship Id="rId131" Type="http://schemas.openxmlformats.org/officeDocument/2006/relationships/hyperlink" Target="https://media.unesco.org/sites/default/files/webform/r2e002/mongolian-state-report-on-the-implementation-of-the-1960-convention-and-recommendation-against-discrimination-in-education-15-nov-2020.pdf" TargetMode="External"/><Relationship Id="rId132" Type="http://schemas.openxmlformats.org/officeDocument/2006/relationships/hyperlink" Target="https://stat.gov.kg/kg/opendata/category/4263/" TargetMode="External"/><Relationship Id="rId133" Type="http://schemas.openxmlformats.org/officeDocument/2006/relationships/hyperlink" Target="https://stat.uz/images/umumtalim-eng-30_03_2022.pdf" TargetMode="External"/><Relationship Id="rId134" Type="http://schemas.openxmlformats.org/officeDocument/2006/relationships/hyperlink" Target="https://www.worldbank.org/en/topic/education/brief/learning-poverty" TargetMode="External"/><Relationship Id="rId135" Type="http://schemas.openxmlformats.org/officeDocument/2006/relationships/hyperlink" Target="https://tjj.xinjiang.gov.cn/tjj/tjgn/202106/e3605637963f4f7280654a6f07af0b0e.shtml" TargetMode="External"/><Relationship Id="rId136" Type="http://schemas.openxmlformats.org/officeDocument/2006/relationships/hyperlink" Target="https://www.pbs.gov.pk/wp-content/uploads/census_tables/tables/Table_4_national.pdf" TargetMode="External"/><Relationship Id="rId137" Type="http://schemas.openxmlformats.org/officeDocument/2006/relationships/hyperlink" Target="https://www.pbs.gov.pk/wp-content/uploads/census_tables/tables/table_11_national.pdf" TargetMode="External"/><Relationship Id="rId138" Type="http://schemas.openxmlformats.org/officeDocument/2006/relationships/hyperlink" Target="https://www.pbs.gov.pk/wp-content/uploads/census_tables/tables/table_12_national.pdf" TargetMode="External"/><Relationship Id="rId139" Type="http://schemas.openxmlformats.org/officeDocument/2006/relationships/hyperlink" Target="https://www.hec.gov.pk/english/services/students/DL/Pages/FAQs.aspx" TargetMode="External"/><Relationship Id="rId140" Type="http://schemas.openxmlformats.org/officeDocument/2006/relationships/hyperlink" Target="https://www.hec.gov.pk/english/news/AnnualReports/Annual-Report-2023-24.pdf" TargetMode="External"/><Relationship Id="rId141" Type="http://schemas.openxmlformats.org/officeDocument/2006/relationships/hyperlink" Target="https://mohr.gov.pk/SiteImage/Misc/files/Final%20Draft%20Year%20Book%202022-23%20ver%202nd%20April,%202024.pdf" TargetMode="External"/><Relationship Id="rId142" Type="http://schemas.openxmlformats.org/officeDocument/2006/relationships/hyperlink" Target="https://ncc.gov.pk/SiteImage/Misc/files/Inclusive%20Scheme%20of%20Studies%20Version%20I%281%29.pdf" TargetMode="External"/><Relationship Id="rId143" Type="http://schemas.openxmlformats.org/officeDocument/2006/relationships/hyperlink" Target="https://pie.gov.pk/SiteImage/Publication/NFE.pdf" TargetMode="External"/><Relationship Id="rId144" Type="http://schemas.openxmlformats.org/officeDocument/2006/relationships/hyperlink" Target="https://pie.gov.pk/SiteImage/Downloads/NAT%202023%20Findings%20Report%2006.03.2024%20-Final-%20v6.pdf" TargetMode="External"/><Relationship Id="rId145" Type="http://schemas.openxmlformats.org/officeDocument/2006/relationships/hyperlink" Target="https://twaweza.org/wp-content/uploads/2021/01/Tanzania-Report-FINAL3-2019-13-12-2019-Print-Readyzm.pdf" TargetMode="External"/><Relationship Id="rId146" Type="http://schemas.openxmlformats.org/officeDocument/2006/relationships/hyperlink" Target="https://drive.egovcloud.gov.bd/index.php/s/VeBQB1ZuzSZPRBJ" TargetMode="External"/><Relationship Id="rId147" Type="http://schemas.openxmlformats.org/officeDocument/2006/relationships/hyperlink" Target="https://interslavic-language.org/doc/ijeg-2019-interslavic.pdf" TargetMode="External"/><Relationship Id="rId148" Type="http://schemas.openxmlformats.org/officeDocument/2006/relationships/hyperlink" Target="https://bn.khanacademy.org/math/early-math/cc-early-math-counting-topic" TargetMode="External"/><Relationship Id="rId149" Type="http://schemas.openxmlformats.org/officeDocument/2006/relationships/hyperlink" Target="https://statistics.gov.rw/sites/default/files/documents/2025-02/Education.pdf" TargetMode="External"/><Relationship Id="rId150" Type="http://schemas.openxmlformats.org/officeDocument/2006/relationships/hyperlink" Target="https://www.reb.gov.rw/news-detail/translated-books-are-now-available-for-students-and-teachers" TargetMode="External"/><Relationship Id="rId151" Type="http://schemas.openxmlformats.org/officeDocument/2006/relationships/hyperlink" Target="https://www.pacificweb.org/library/preview.php?file=fsm/states/2023FSMMunicipality.xlsx" TargetMode="External"/><Relationship Id="rId152" Type="http://schemas.openxmlformats.org/officeDocument/2006/relationships/hyperlink" Target="https://open.alberta.ca/dataset/ac9f2505-2b2d-4e4f-919e-41769c41d6ca/resource/4c805ee1-02bf-4721-a62e-c78ba6875038/download/cree-12y-guide-to-implementation-7-9-draft.pdf" TargetMode="External"/><Relationship Id="rId153" Type="http://schemas.openxmlformats.org/officeDocument/2006/relationships/hyperlink" Target="https://www.assembly.nu.ca/sites/default/files/2024-11/EDU%20Annual%20Report%202022-23%20EN.pdf" TargetMode="External"/><Relationship Id="rId154" Type="http://schemas.openxmlformats.org/officeDocument/2006/relationships/hyperlink" Target="https://www.assembly.nu.ca/sites/default/files/2025-09/TD-463-6(2)-EN-Education%20Annual%20Report%202023-24.pdf" TargetMode="External"/><Relationship Id="rId155" Type="http://schemas.openxmlformats.org/officeDocument/2006/relationships/hyperlink" Target="https://censo2018.ine.gob.gt/archivos/Principales_resultados_Censo2018.pdf" TargetMode="External"/><Relationship Id="rId156" Type="http://schemas.openxmlformats.org/officeDocument/2006/relationships/hyperlink" Target="https://edu.mineduc.gob.gt/documents/memoriaLabores/Memoria_de_Labores_2022.pdf" TargetMode="External"/><Relationship Id="rId157" Type="http://schemas.openxmlformats.org/officeDocument/2006/relationships/hyperlink" Target="https://www.ihsi.gouv.ht/statistiques/statistiques_demographiques_et_sociales/projections_et_estimations_de_la_population" TargetMode="External"/><Relationship Id="rId158" Type="http://schemas.openxmlformats.org/officeDocument/2006/relationships/hyperlink" Target="https://prdrse4all.spc.int/sites/default/files/marshall_islands_census_report_2021.pdf" TargetMode="External"/><Relationship Id="rId159" Type="http://schemas.openxmlformats.org/officeDocument/2006/relationships/hyperlink" Target="https://www.ine.gov.py/ende/contenido.php?c=1484&amp;title=21_de_febrero,_D%C3%ADa_Internacional_de_la_Lengua_Materna" TargetMode="External"/><Relationship Id="rId160" Type="http://schemas.openxmlformats.org/officeDocument/2006/relationships/hyperlink" Target="https://siteal.iiep.unesco.org/sites/default/files/sit_accion_files/plan_nacional_de_transformacion_educativa_paraguay_2040.pdf" TargetMode="External"/><Relationship Id="rId161" Type="http://schemas.openxmlformats.org/officeDocument/2006/relationships/hyperlink" Target="https://repositorio.minedu.gob.pe/bitstream/handle/20.500.12799/6562/Resultados%202018%20Evaluaci%C3%B3n%20Censal%20de%20Estudiantes%20y%20Evaluaci%C3%B3n%20Muestral%20de%20Estudiantes%20evaluaciones%20de%20logros%20de%20aprendizaje.pdf?isAllowed=y&amp;sequence=1" TargetMode="External"/><Relationship Id="rId162" Type="http://schemas.openxmlformats.org/officeDocument/2006/relationships/hyperlink" Target="https://statistics.gov.sb/english-is-solomon-islands-most-predominant-language-in-communication/" TargetMode="External"/><Relationship Id="rId163" Type="http://schemas.openxmlformats.org/officeDocument/2006/relationships/hyperlink" Target="https://files.hawaii.gov/dbedt/economic/databook/db2018/section01.pdf" TargetMode="External"/><Relationship Id="rId164" Type="http://schemas.openxmlformats.org/officeDocument/2006/relationships/hyperlink" Target="https://www150.statcan.gc.ca/n1/pub/41-20-0002/412000022025002-eng.htm" TargetMode="External"/><Relationship Id="rId165" Type="http://schemas.openxmlformats.org/officeDocument/2006/relationships/hyperlink" Target="https://www150.statcan.gc.ca/n1/pub/41-20-0002/412000022025004-eng.htm" TargetMode="External"/><Relationship Id="rId166" Type="http://schemas.openxmlformats.org/officeDocument/2006/relationships/hyperlink" Target="https://stat.gl/publ/da/BE/202601/oversigt/Befolkningsstatus.htm" TargetMode="External"/><Relationship Id="rId167" Type="http://schemas.openxmlformats.org/officeDocument/2006/relationships/hyperlink" Target="https://tools.summaries.stats.govt.nz/ethnic-group/maori" TargetMode="External"/><Relationship Id="rId168" Type="http://schemas.openxmlformats.org/officeDocument/2006/relationships/hyperlink" Target="https://www.unicef.org/child-alert/haitis-children-confront-polycrisis" TargetMode="External"/><Relationship Id="rId169" Type="http://schemas.openxmlformats.org/officeDocument/2006/relationships/hyperlink" Target="https://files.eric.ed.gov/fulltext/ED573569.pdf" TargetMode="External"/><Relationship Id="rId170" Type="http://schemas.openxmlformats.org/officeDocument/2006/relationships/hyperlink" Target="https://documents1.worldbank.org/curated/en/178621563252790030/pdf/Solomon-Islands-Early-Grade-Reading-Assessment-Results-Report.pdf" TargetMode="External"/><Relationship Id="rId171" Type="http://schemas.openxmlformats.org/officeDocument/2006/relationships/hyperlink" Target="https://dadosabertos.capes.gov.br/dataset/c6bd4dca-a0fb-499a-9f7f-df0740563333/resource/70633e5c-5294-4cd4-abea-79341c63e406/download/metadados_discentes_pos_graduacao_2021_2024.pdf" TargetMode="External"/><Relationship Id="rId172" Type="http://schemas.openxmlformats.org/officeDocument/2006/relationships/hyperlink" Target="https://legis.senado.gov.br/norma/34639654" TargetMode="External"/><Relationship Id="rId173" Type="http://schemas.openxmlformats.org/officeDocument/2006/relationships/hyperlink" Target="https://ftp.ibge.gov.br/Censos/Censo_Demografico_2022/Etnias_e_Linguas_Indigenas_principais_caracteristicas_sociodemograficas_Resultados_do_universo/Tabelas_complementares/xlsx/Tabela_complementar_21.xlsx" TargetMode="External"/><Relationship Id="rId174" Type="http://schemas.openxmlformats.org/officeDocument/2006/relationships/hyperlink" Target="https://ftp.ibge.gov.br/Censos/Censo_Demografico_2022/Etnias_e_Linguas_Indigenas_principais_caracteristicas_sociodemograficas_Resultados_do_universo/Tabelas_selecionadas/xlsx/" TargetMode="External"/><Relationship Id="rId175" Type="http://schemas.openxmlformats.org/officeDocument/2006/relationships/hyperlink" Target="https://biblioteca.ibge.gov.br/visualizacao/periodicos/3111/cd_2022_indigenas_alfabetizacao.pdf" TargetMode="External"/><Relationship Id="rId176" Type="http://schemas.openxmlformats.org/officeDocument/2006/relationships/hyperlink" Target="https://download.inep.gov.br/publicacoes/institucionais/estatisticas_e_indicadores/resumo_tecnico_censo_escolar_2024.pdf" TargetMode="External"/><Relationship Id="rId177" Type="http://schemas.openxmlformats.org/officeDocument/2006/relationships/hyperlink" Target="https://download.inep.gov.br/publicacoes/institucionais/estatisticas_e_indicadores/notas_estatisticas_censo_escolar_da_educacao_superior_2024.pdf" TargetMode="External"/><Relationship Id="rId178" Type="http://schemas.openxmlformats.org/officeDocument/2006/relationships/hyperlink" Target="https://www.gov.br/planejamento/pt-br/assuntos/orcamento/agendas-transversais-e-multisetoriais/arquivos/2026/2026_05_05_atpovosindigenas.pdf/@@display-file/file" TargetMode="External"/><Relationship Id="rId179" Type="http://schemas.openxmlformats.org/officeDocument/2006/relationships/hyperlink" Target="https://www.oecd.org/content/dam/oecd/en/publications/reports/2023/11/pisa-2022-results-volume-i-and-ii-country-notes_2fca04b9/brazil_764ee0aa/61690648-en.pdf" TargetMode="External"/><Relationship Id="rId180" Type="http://schemas.openxmlformats.org/officeDocument/2006/relationships/hyperlink" Target="https://www.anuies.mx/informacion-y-servicios/informacion-estadistica-de-educacion-superior/anuario-estadistico-de-educacion-superior" TargetMode="External"/><Relationship Id="rId181" Type="http://schemas.openxmlformats.org/officeDocument/2006/relationships/hyperlink" Target="https://www.diputados.gob.mx/LeyesBiblio/pdf/LGIPD.pdf" TargetMode="External"/><Relationship Id="rId182" Type="http://schemas.openxmlformats.org/officeDocument/2006/relationships/hyperlink" Target="https://www.diputados.gob.mx/LeyesBiblio/pdf/LGE.pdf" TargetMode="External"/><Relationship Id="rId183" Type="http://schemas.openxmlformats.org/officeDocument/2006/relationships/hyperlink" Target="https://www.conaliteg.sep.gob.mx/" TargetMode="External"/><Relationship Id="rId184" Type="http://schemas.openxmlformats.org/officeDocument/2006/relationships/hyperlink" Target="https://www.inegi.org.mx/programas/ccpv/2020/" TargetMode="External"/><Relationship Id="rId185" Type="http://schemas.openxmlformats.org/officeDocument/2006/relationships/hyperlink" Target="https://www.inali.gob.mx/clin-inali/" TargetMode="External"/><Relationship Id="rId186" Type="http://schemas.openxmlformats.org/officeDocument/2006/relationships/hyperlink" Target="https://www.oecd.org/content/dam/oecd/en/publications/reports/2023/11/pisa-2022-results-volume-i-and-ii-country-notes_2fca04b9/mexico_51978f68/2d35d9e0-en.pdf" TargetMode="External"/><Relationship Id="rId187" Type="http://schemas.openxmlformats.org/officeDocument/2006/relationships/hyperlink" Target="https://www.scielo.org.mx/scielo.php?script=sci_alphabetic&amp;lng=es&amp;nrm=iso" TargetMode="External"/><Relationship Id="rId188" Type="http://schemas.openxmlformats.org/officeDocument/2006/relationships/hyperlink" Target="https://www.planeacion.sep.gob.mx/Doc/estadistica_e_indicadores/principales_cifras/principales_cifras_2024_2025_bolsillo.pdf" TargetMode="External"/><Relationship Id="rId189" Type="http://schemas.openxmlformats.org/officeDocument/2006/relationships/hyperlink" Target="https://dev.mexicox.gob.mx/" TargetMode="External"/><Relationship Id="rId190" Type="http://schemas.openxmlformats.org/officeDocument/2006/relationships/hyperlink" Target="https://moe.gov.et/storage/Books/Ethiopian%20Education%20Sector%20Development%20Program%206%20%28ESDP%20VI%29.pdf" TargetMode="External"/><Relationship Id="rId191" Type="http://schemas.openxmlformats.org/officeDocument/2006/relationships/hyperlink" Target="https://moe.gov.et/storage/Books/ESAA%202022-23%20Final.pdf" TargetMode="External"/><Relationship Id="rId192" Type="http://schemas.openxmlformats.org/officeDocument/2006/relationships/hyperlink" Target="https://www.dpgethiopia.org/wp-content/uploads/2024/03/Digital-Education-Strategy-and-Implementation-Plan-for-Ethiopia-.pdf" TargetMode="External"/><Relationship Id="rId193" Type="http://schemas.openxmlformats.org/officeDocument/2006/relationships/hyperlink" Target="https://www.moe.gov.et/storage/Books/Special%20Needs%20Inclusive%20Education%20Strategy.pdf" TargetMode="External"/><Relationship Id="rId194" Type="http://schemas.openxmlformats.org/officeDocument/2006/relationships/hyperlink" Target="https://www.moe.gov.et/storage/Books/Strategic%20Policy%20for%20National%20Science%20Technology%20and%20Mathematics%20Education_Full.pdf" TargetMode="External"/><Relationship Id="rId195" Type="http://schemas.openxmlformats.org/officeDocument/2006/relationships/hyperlink" Target="https://mols.gov.et/wp-content/uploads/2025/12/TVT-Strategy-English-Version-12-Nov-2025_Print.pdf" TargetMode="External"/><Relationship Id="rId196" Type="http://schemas.openxmlformats.org/officeDocument/2006/relationships/hyperlink" Target="https://ess.gov.et/wp-content/uploads/2007/09/Population-and-Housing-Census-2007-National_Statistical.pdf" TargetMode="External"/><Relationship Id="rId197" Type="http://schemas.openxmlformats.org/officeDocument/2006/relationships/hyperlink" Target="https://justice.gov.et/wp-content/uploads/2025/04/1368.pdf" TargetMode="External"/><Relationship Id="rId198" Type="http://schemas.openxmlformats.org/officeDocument/2006/relationships/hyperlink" Target="https://api.worldbank.org/v2/country/ETH?format=json" TargetMode="External"/><Relationship Id="rId199" Type="http://schemas.openxmlformats.org/officeDocument/2006/relationships/hyperlink" Target="https://wfp.tind.io/record/127524" TargetMode="External"/><Relationship Id="rId200" Type="http://schemas.openxmlformats.org/officeDocument/2006/relationships/hyperlink" Target="https://www.bie.edu/sites/default/files/documents/bie_strategic_direction_2024-2030.pdf" TargetMode="External"/><Relationship Id="rId201" Type="http://schemas.openxmlformats.org/officeDocument/2006/relationships/hyperlink" Target="https://www.bie.edu/sites/default/files/documents/sy_2023-2024_bie_sea_report_card.pdf" TargetMode="External"/><Relationship Id="rId202" Type="http://schemas.openxmlformats.org/officeDocument/2006/relationships/hyperlink" Target="https://www.bie.edu/sites/default/files/documents/bie_performance_report.pdf" TargetMode="External"/><Relationship Id="rId203" Type="http://schemas.openxmlformats.org/officeDocument/2006/relationships/hyperlink" Target="https://gupress.gallaudet.edu/Books/T/The-Hidden-Treasure-of-Black-ASL" TargetMode="External"/><Relationship Id="rId204" Type="http://schemas.openxmlformats.org/officeDocument/2006/relationships/hyperlink" Target="https://www.ed.gov/sites/ed/files/2023/08/NACIE-AnnualReport2023-508_completed.pdf" TargetMode="External"/><Relationship Id="rId205" Type="http://schemas.openxmlformats.org/officeDocument/2006/relationships/hyperlink" Target="https://nces.ed.gov/programs/coe/pdf/2023/cgf_508.pdf" TargetMode="External"/><Relationship Id="rId206" Type="http://schemas.openxmlformats.org/officeDocument/2006/relationships/hyperlink" Target="https://nces.ed.gov/programs/digest/d23/tables/xls/tabn203.10.xlsx" TargetMode="External"/><Relationship Id="rId207" Type="http://schemas.openxmlformats.org/officeDocument/2006/relationships/hyperlink" Target="https://nces.ed.gov/programs/digest/d24/tables/xls/tabn202.20.xlsx" TargetMode="External"/><Relationship Id="rId208" Type="http://schemas.openxmlformats.org/officeDocument/2006/relationships/hyperlink" Target="https://nces.ed.gov/programs/coe/pdf/2024/tob_508c.pdf" TargetMode="External"/><Relationship Id="rId209" Type="http://schemas.openxmlformats.org/officeDocument/2006/relationships/hyperlink" Target="https://nces.ed.gov/programs/digest/d25/tables/xls/tabn306.10.xlsx" TargetMode="External"/><Relationship Id="rId210" Type="http://schemas.openxmlformats.org/officeDocument/2006/relationships/hyperlink" Target="https://ncses.nsf.gov/pubs/nsf25300/assets/nsf25300.pdf" TargetMode="External"/><Relationship Id="rId211" Type="http://schemas.openxmlformats.org/officeDocument/2006/relationships/hyperlink" Target="https://nationaldeafcenter.org/wp-content/uploads/2022/11/Undergraduate20Enrollment2020of20Deaf20Students20in20the20United20States.pdf" TargetMode="External"/><Relationship Id="rId212" Type="http://schemas.openxmlformats.org/officeDocument/2006/relationships/hyperlink" Target="https://nationaldeafcenter.org/resources/research-data/deaf-college-student-data/access-belonging-and-affirmation/" TargetMode="External"/><Relationship Id="rId213" Type="http://schemas.openxmlformats.org/officeDocument/2006/relationships/hyperlink" Target="https://www.census.gov/content/dam/Census/library/publications/2022/acs/acs-50.pdf" TargetMode="External"/><Relationship Id="rId214" Type="http://schemas.openxmlformats.org/officeDocument/2006/relationships/hyperlink" Target="https://www2.census.gov/programs-surveys/demo/tables/language-use/2017/2017-2021-acs-lang-tables-nation.xlsx" TargetMode="External"/><Relationship Id="rId215" Type="http://schemas.openxmlformats.org/officeDocument/2006/relationships/hyperlink" Target="https://www2.census.gov/programs-surveys/demo/tables/language-use/2017/2017-2021-acs-lang-tables-state.xlsx" TargetMode="External"/><Relationship Id="rId216" Type="http://schemas.openxmlformats.org/officeDocument/2006/relationships/hyperlink" Target="https://www2.census.gov/programs-surveys/decennial/2020/technical-documentation/island-areas-tech-docs/detailed-cross-tabulations/2020-iac-dct-technical-documentation.pdf" TargetMode="External"/><Relationship Id="rId217" Type="http://schemas.openxmlformats.org/officeDocument/2006/relationships/hyperlink" Target="https://www2.census.gov/programs-surveys/decennial/2020/technical-documentation/island-areas-tech-docs/detailed-cross-tabulations/2020-iac-dct-guidance.pdf" TargetMode="External"/><Relationship Id="rId218" Type="http://schemas.openxmlformats.org/officeDocument/2006/relationships/hyperlink" Target="https://sites.ed.gov/idea/files/47th-ARC-for-IDEA.pdf" TargetMode="External"/><Relationship Id="rId219" Type="http://schemas.openxmlformats.org/officeDocument/2006/relationships/hyperlink" Target="https://api.worldbank.org/v2/country/USA?format=json" TargetMode="External"/><Relationship Id="rId220" Type="http://schemas.openxmlformats.org/officeDocument/2006/relationships/header" Target="header5.xml"/><Relationship Id="rId221" Type="http://schemas.openxmlformats.org/officeDocument/2006/relationships/footer" Target="footer5.xml"/><Relationship Id="rId222" Type="http://schemas.openxmlformats.org/officeDocument/2006/relationships/header" Target="header6.xml"/><Relationship Id="rId223"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Allocating AI assisted educational publishing for greater access</dc:title>
  <dc:subject>Living working paper on global educational access</dc:subject>
  <dc:creator>OpenAI Codex gpt-5.6-sol, Ultra</dc:creator>
  <cp:keywords>educational access; language; open educational resources; AI compute</cp:keywords>
  <dc:description>Built from PAPER.md using the narrative_proposal design preset.</dc:description>
  <cp:lastModifiedBy>OpenAI Codex gpt-5.6-sol, Ultra</cp:lastModifiedBy>
  <cp:revision>1</cp:revision>
  <dcterms:created xsi:type="dcterms:W3CDTF">2026-09-01T00:00:00Z</dcterms:created>
  <dcterms:modified xsi:type="dcterms:W3CDTF">2026-09-01T00:00:00Z</dcterms:modified>
  <cp:category>Research report</cp:category>
  <cp:version>from_scratch_20260901</cp:version>
  <cp:contentStatus>Ongoing non exhaustive working paper</cp:contentStatus>
</cp:coreProperties>
</file>