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line="360" w:lineRule="auto"/>
        <w:ind w:firstLine="0"/>
        <w:jc w:val="center"/>
      </w:pPr>
      <w:r>
        <w:rPr>
          <w:rFonts w:ascii="Times New Roman" w:cs="Times New Roman" w:eastAsia="Times New Roman" w:hAnsi="Times New Roman"/>
          <w:b/>
          <w:bCs/>
          <w:sz w:val="28"/>
          <w:szCs w:val="28"/>
        </w:rPr>
        <w:t xml:space="preserve">ГЛАВА 2. ПРОЕКТИРОВАНИЕ СИСТЕМЫ</w:t>
      </w:r>
    </w:p>
    <w:p>
      <w:pPr>
        <w:pStyle w:val="Heading2"/>
        <w:spacing w:after="120" w:before="360" w:line="360" w:lineRule="auto"/>
        <w:ind w:firstLine="709"/>
        <w:jc w:val="both"/>
      </w:pPr>
      <w:r>
        <w:rPr>
          <w:rFonts w:ascii="Times New Roman" w:cs="Times New Roman" w:eastAsia="Times New Roman" w:hAnsi="Times New Roman"/>
          <w:b/>
          <w:bCs/>
          <w:sz w:val="28"/>
          <w:szCs w:val="28"/>
        </w:rPr>
        <w:t xml:space="preserve">2.1. Проектирование архитектуры системы</w:t>
      </w:r>
    </w:p>
    <w:p>
      <w:pPr>
        <w:spacing w:after="0" w:before="0" w:line="360" w:lineRule="auto"/>
        <w:ind w:firstLine="709"/>
        <w:jc w:val="both"/>
      </w:pPr>
      <w:r>
        <w:rPr>
          <w:rFonts w:ascii="Times New Roman" w:cs="Times New Roman" w:eastAsia="Times New Roman" w:hAnsi="Times New Roman"/>
          <w:sz w:val="28"/>
          <w:szCs w:val="28"/>
        </w:rPr>
        <w:t xml:space="preserve">Система построена по принципам чистой архитектуры [4], основной постулат которой – правило зависимостей: зависимости в исходном коде направлены только внутрь, к более высокоуровневым политикам. Внешние слои (база данных, HTTP) зависят от внутренних (бизнес-логика, домен), но не наоборот. Это достигается через объявление интерфейсов на границах слоёв.</w:t>
      </w:r>
    </w:p>
    <w:p>
      <w:pPr>
        <w:spacing w:after="0" w:before="0" w:line="360" w:lineRule="auto"/>
        <w:ind w:firstLine="709"/>
        <w:jc w:val="both"/>
      </w:pPr>
      <w:r>
        <w:rPr>
          <w:rFonts w:ascii="Times New Roman" w:cs="Times New Roman" w:eastAsia="Times New Roman" w:hAnsi="Times New Roman"/>
          <w:sz w:val="28"/>
          <w:szCs w:val="28"/>
        </w:rPr>
        <w:t xml:space="preserve">Система включает четыре основных слоя и один выделенный пакет:</w:t>
      </w:r>
    </w:p>
    <w:p>
      <w:pPr>
        <w:spacing w:after="0" w:before="0" w:line="360" w:lineRule="auto"/>
        <w:ind w:left="709" w:hanging="360"/>
        <w:jc w:val="both"/>
      </w:pPr>
      <w:r>
        <w:rPr>
          <w:rFonts w:ascii="Times New Roman" w:cs="Times New Roman" w:eastAsia="Times New Roman" w:hAnsi="Times New Roman"/>
          <w:sz w:val="28"/>
          <w:szCs w:val="28"/>
        </w:rPr>
        <w:t xml:space="preserve">– Доменный слой (internal/domain/schedule) – базовые типы данных: Schedule, Assignment, SubjectPlan, Teacher, Group, Room, Building, Department, а также перечисления ClassType (lecture / practice / lab), Parity (always / odd / even), Day (monday–saturday), SemesterHalf (full / first / second). Этот слой не импортирует ничего кроме стандартной библиотеки Go. Все остальные слои зависят от него.</w:t>
      </w:r>
    </w:p>
    <w:p>
      <w:pPr>
        <w:spacing w:after="0" w:before="0" w:line="360" w:lineRule="auto"/>
        <w:ind w:left="709" w:hanging="360"/>
        <w:jc w:val="both"/>
      </w:pPr>
      <w:r>
        <w:rPr>
          <w:rFonts w:ascii="Times New Roman" w:cs="Times New Roman" w:eastAsia="Times New Roman" w:hAnsi="Times New Roman"/>
          <w:sz w:val="28"/>
          <w:szCs w:val="28"/>
        </w:rPr>
        <w:t xml:space="preserve">– Слой сценариев использования (internal/usecase/generator) – бизнес-логика: генерация расписания (Generate), получение расписания по ID (GetByID), список расписаний (List), удаление (Delete), ручная корректировка (PatchAssignment), импорт данных (ImportExcel). Зависимости от базы данных выражены через интерфейсы InputRepository, OutputRepository и ImportRepository, объявленные в файле ports.go того же пакета. Usecase-слой не содержит ни одного SQL-запроса и не импортирует пакет pgx.</w:t>
      </w:r>
    </w:p>
    <w:p>
      <w:pPr>
        <w:spacing w:after="0" w:before="0" w:line="360" w:lineRule="auto"/>
        <w:ind w:left="709" w:hanging="360"/>
        <w:jc w:val="both"/>
      </w:pPr>
      <w:r>
        <w:rPr>
          <w:rFonts w:ascii="Times New Roman" w:cs="Times New Roman" w:eastAsia="Times New Roman" w:hAnsi="Times New Roman"/>
          <w:sz w:val="28"/>
          <w:szCs w:val="28"/>
        </w:rPr>
        <w:t xml:space="preserve">– Слой инфраструктуры (internal/repository/postgres) – реализации репозиториев: InputRepository читает справочные данные (LoadInput выполняет шесть SELECT-запросов – по одному на каждую справочную таблицу), OutputRepository сохраняет и читает расписания, ImportRepository выполняет UPSERT сущностей из импортируемого файла. Все SQL-запросы сосредоточены в этом слое.</w:t>
      </w:r>
    </w:p>
    <w:p>
      <w:pPr>
        <w:spacing w:after="0" w:before="0" w:line="360" w:lineRule="auto"/>
        <w:ind w:left="709" w:hanging="360"/>
        <w:jc w:val="both"/>
      </w:pPr>
      <w:r>
        <w:rPr>
          <w:rFonts w:ascii="Times New Roman" w:cs="Times New Roman" w:eastAsia="Times New Roman" w:hAnsi="Times New Roman"/>
          <w:sz w:val="28"/>
          <w:szCs w:val="28"/>
        </w:rPr>
        <w:t xml:space="preserve">– Транспортный слой (internal/transport/http) – HTTP-обработчики: ScheduleHandler (генерация, CRUD расписаний, ручная корректировка), ExcelHandler (экспорт в Excel), ReferenceHandler (чтение справочников), ImportHandler (импорт из Excel). Маршрутизация задана в файле router.go. Слой преобразует HTTP-запросы в вызовы методов usecase-сервиса и формирует JSON-ответы.</w:t>
      </w:r>
    </w:p>
    <w:p>
      <w:pPr>
        <w:spacing w:after="0" w:before="0" w:line="360" w:lineRule="auto"/>
        <w:ind w:firstLine="709"/>
        <w:jc w:val="both"/>
      </w:pPr>
      <w:r>
        <w:rPr>
          <w:rFonts w:ascii="Times New Roman" w:cs="Times New Roman" w:eastAsia="Times New Roman" w:hAnsi="Times New Roman"/>
          <w:sz w:val="28"/>
          <w:szCs w:val="28"/>
        </w:rPr>
        <w:t xml:space="preserve">Пакет solver (internal/solver) выделен как независимый вычислительный модуль. Он импортирует только доменные типы (internal/domain/schedule) и не имеет зависимостей ни от pgx, ни от gorilla/mux. Функция SolveTeacher принимает schedule.InputData и возвращает *schedule.Schedule. Это позволяет запускать юнит-тесты алгоритма (fitness_test.go) без поднятия базы данных или HTTP-сервера.</w:t>
      </w:r>
    </w:p>
    <w:p>
      <w:pPr>
        <w:spacing w:after="0" w:before="0" w:line="360" w:lineRule="auto"/>
        <w:ind w:firstLine="709"/>
        <w:jc w:val="both"/>
      </w:pPr>
      <w:r>
        <w:rPr>
          <w:rFonts w:ascii="Times New Roman" w:cs="Times New Roman" w:eastAsia="Times New Roman" w:hAnsi="Times New Roman"/>
          <w:sz w:val="28"/>
          <w:szCs w:val="28"/>
        </w:rPr>
        <w:t xml:space="preserve">Точка входа (main.go) реализует ручное внедрение зависимостей без фреймворка: создаётся пул pgxpool, инициализируются репозитории, создаётся usecase-сервис, создаются обработчики, запускается HTTP-сервер на порту 8080. Порядок инициализации строго линейный; каждый компонент получает зависимости через конструктор.</w:t>
      </w:r>
    </w:p>
    <w:p>
      <w:pPr>
        <w:spacing w:after="0" w:line="360"/>
      </w:pPr>
      <w:r>
        <w:t xml:space="preserve"/>
      </w:r>
    </w:p>
    <w:p>
      <w:pPr>
        <w:spacing w:after="120" w:before="60" w:line="360" w:lineRule="auto"/>
        <w:ind w:firstLine="0"/>
        <w:jc w:val="center"/>
      </w:pPr>
      <w:r>
        <w:rPr>
          <w:rFonts w:ascii="Times New Roman" w:cs="Times New Roman" w:eastAsia="Times New Roman" w:hAnsi="Times New Roman"/>
          <w:sz w:val="28"/>
          <w:szCs w:val="28"/>
        </w:rPr>
        <w:t xml:space="preserve">Рисунок 2.1 – Компонентная диаграмма системы</w:t>
      </w:r>
    </w:p>
    <w:p>
      <w:pPr>
        <w:spacing w:after="0" w:line="360"/>
      </w:pPr>
      <w:r>
        <w:t xml:space="preserve"/>
      </w:r>
    </w:p>
    <w:p>
      <w:pPr>
        <w:pStyle w:val="Heading2"/>
        <w:spacing w:after="120" w:before="360" w:line="360" w:lineRule="auto"/>
        <w:ind w:firstLine="709"/>
        <w:jc w:val="both"/>
      </w:pPr>
      <w:r>
        <w:rPr>
          <w:rFonts w:ascii="Times New Roman" w:cs="Times New Roman" w:eastAsia="Times New Roman" w:hAnsi="Times New Roman"/>
          <w:b/>
          <w:bCs/>
          <w:sz w:val="28"/>
          <w:szCs w:val="28"/>
        </w:rPr>
        <w:t xml:space="preserve">2.2. Диаграмма вариантов использования</w:t>
      </w:r>
    </w:p>
    <w:p>
      <w:pPr>
        <w:spacing w:after="0" w:before="0" w:line="360" w:lineRule="auto"/>
        <w:ind w:firstLine="709"/>
        <w:jc w:val="both"/>
      </w:pPr>
      <w:r>
        <w:rPr>
          <w:rFonts w:ascii="Times New Roman" w:cs="Times New Roman" w:eastAsia="Times New Roman" w:hAnsi="Times New Roman"/>
          <w:sz w:val="28"/>
          <w:szCs w:val="28"/>
        </w:rPr>
        <w:t xml:space="preserve">Диаграмма вариантов использования (рисунок 2.2) описывает взаимодействие пользователей системы с её функциями на уровне требований, без привязки к технической реализации. Система имеет двух акторов.</w:t>
      </w:r>
    </w:p>
    <w:p>
      <w:pPr>
        <w:spacing w:after="0" w:before="0" w:line="360" w:lineRule="auto"/>
        <w:ind w:firstLine="709"/>
        <w:jc w:val="both"/>
      </w:pPr>
      <w:r>
        <w:rPr>
          <w:rFonts w:ascii="Times New Roman" w:cs="Times New Roman" w:eastAsia="Times New Roman" w:hAnsi="Times New Roman"/>
          <w:sz w:val="28"/>
          <w:szCs w:val="28"/>
        </w:rPr>
        <w:t xml:space="preserve">Актор «Администратор расписания» – основной пользователь системы, ответственный за составление расписания кафедры. Он выполняет следующие варианты использования: «Просмотр справочных данных» (преподаватели, группы, аудитории, учебные планы через GET-маршруты); «Генерация расписания» (запуск алгоритма teacher-driven с параметрами имени, тайм-аута и периода семестра); «Просмотр расписания» (получение списка всех версий расписания и полного содержимого по ID); «Корректировка назначения» (изменение временного слота, аудитории или чётности конкретного занятия с проверкой HC1–HC3); «Экспорт в Excel» (выгрузка расписания в трёх режимах: по группе, по преподавателю, все преподаватели); «Удаление расписания» (удаление устаревшей версии).</w:t>
      </w:r>
    </w:p>
    <w:p>
      <w:pPr>
        <w:spacing w:after="0" w:before="0" w:line="360" w:lineRule="auto"/>
        <w:ind w:firstLine="709"/>
        <w:jc w:val="both"/>
      </w:pPr>
      <w:r>
        <w:rPr>
          <w:rFonts w:ascii="Times New Roman" w:cs="Times New Roman" w:eastAsia="Times New Roman" w:hAnsi="Times New Roman"/>
          <w:sz w:val="28"/>
          <w:szCs w:val="28"/>
        </w:rPr>
        <w:t xml:space="preserve">Актор «Системный администратор» отвечает за подготовку входных данных. Он выполняет: «Наполнение базы данных» (загрузка зданий, аудиторий, кафедр, преподавателей, групп и учебных планов через SQL-скрипты 01_buildings.sql–06_subject_plans.sql); «Импорт данных из Excel» (разбор Excel-файла и UPSERT-обновление справочных таблиц через POST /import/excel). Операция импорта является расширением варианта «Наполнение базы данных» и применяется при необходимости массового обновления данных из внешних источников.</w:t>
      </w:r>
    </w:p>
    <w:p>
      <w:pPr>
        <w:spacing w:after="0" w:line="360"/>
      </w:pPr>
      <w:r>
        <w:t xml:space="preserve"/>
      </w:r>
    </w:p>
    <w:p>
      <w:pPr>
        <w:spacing w:after="120" w:before="60" w:line="360" w:lineRule="auto"/>
        <w:ind w:firstLine="0"/>
        <w:jc w:val="center"/>
      </w:pPr>
      <w:r>
        <w:rPr>
          <w:rFonts w:ascii="Times New Roman" w:cs="Times New Roman" w:eastAsia="Times New Roman" w:hAnsi="Times New Roman"/>
          <w:sz w:val="28"/>
          <w:szCs w:val="28"/>
        </w:rPr>
        <w:t xml:space="preserve">Рисунок 2.2 – Диаграмма вариантов использования</w:t>
      </w:r>
    </w:p>
    <w:p>
      <w:pPr>
        <w:spacing w:after="0" w:line="360"/>
      </w:pPr>
      <w:r>
        <w:t xml:space="preserve"/>
      </w:r>
    </w:p>
    <w:p>
      <w:pPr>
        <w:pStyle w:val="Heading2"/>
        <w:spacing w:after="120" w:before="360" w:line="360" w:lineRule="auto"/>
        <w:ind w:firstLine="709"/>
        <w:jc w:val="both"/>
      </w:pPr>
      <w:r>
        <w:rPr>
          <w:rFonts w:ascii="Times New Roman" w:cs="Times New Roman" w:eastAsia="Times New Roman" w:hAnsi="Times New Roman"/>
          <w:b/>
          <w:bCs/>
          <w:sz w:val="28"/>
          <w:szCs w:val="28"/>
        </w:rPr>
        <w:t xml:space="preserve">2.3. Модель данных</w:t>
      </w:r>
    </w:p>
    <w:p>
      <w:pPr>
        <w:spacing w:after="0" w:before="0" w:line="360" w:lineRule="auto"/>
        <w:ind w:firstLine="709"/>
        <w:jc w:val="both"/>
      </w:pPr>
      <w:r>
        <w:rPr>
          <w:rFonts w:ascii="Times New Roman" w:cs="Times New Roman" w:eastAsia="Times New Roman" w:hAnsi="Times New Roman"/>
          <w:sz w:val="28"/>
          <w:szCs w:val="28"/>
        </w:rPr>
        <w:t xml:space="preserve">Схема базы данных включает семь таблиц, разделённых на две группы: входные данные (buildings, rooms, departments, teachers, groups, subject_plans) и выходные данные (schedules). Таблица 2.1 содержит описание каждой таблицы.</w:t>
      </w:r>
    </w:p>
    <w:p>
      <w:pPr>
        <w:spacing w:after="0" w:line="360"/>
      </w:pPr>
      <w:r>
        <w:t xml:space="preserve"/>
      </w:r>
    </w:p>
    <w:p>
      <w:pPr>
        <w:spacing w:after="60" w:before="120" w:line="360" w:lineRule="auto"/>
        <w:ind w:firstLine="0"/>
        <w:jc w:val="left"/>
      </w:pPr>
      <w:r>
        <w:rPr>
          <w:rFonts w:ascii="Times New Roman" w:cs="Times New Roman" w:eastAsia="Times New Roman" w:hAnsi="Times New Roman"/>
          <w:sz w:val="28"/>
          <w:szCs w:val="28"/>
        </w:rPr>
        <w:t xml:space="preserve">Таблица 2.1 – Таблицы базы данных</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55"/>
      </w:tblGrid>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b/>
                <w:bCs/>
                <w:sz w:val="28"/>
                <w:szCs w:val="28"/>
              </w:rPr>
              <w:t xml:space="preserve">Таблица</w:t>
            </w:r>
          </w:p>
        </w:tc>
        <w:tc>
          <w:tcPr>
            <w:tcW w:type="dxa" w:w="3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b/>
                <w:bCs/>
                <w:sz w:val="28"/>
                <w:szCs w:val="28"/>
              </w:rPr>
              <w:t xml:space="preserve">Ключевые поля</w:t>
            </w:r>
          </w:p>
        </w:tc>
        <w:tc>
          <w:tcPr>
            <w:tcW w:type="dxa" w:w="41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b/>
                <w:bCs/>
                <w:sz w:val="28"/>
                <w:szCs w:val="28"/>
              </w:rPr>
              <w:t xml:space="preserve">Назначение</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buildings</w:t>
            </w:r>
          </w:p>
        </w:tc>
        <w:tc>
          <w:tcPr>
            <w:tcW w:type="dxa" w:w="3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id (text), name, address</w:t>
            </w:r>
          </w:p>
        </w:tc>
        <w:tc>
          <w:tcPr>
            <w:tcW w:type="dxa" w:w="41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Корпуса университета</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rooms</w:t>
            </w:r>
          </w:p>
        </w:tc>
        <w:tc>
          <w:tcPr>
            <w:tcW w:type="dxa" w:w="3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id, number, building_id, capacity, type</w:t>
            </w:r>
          </w:p>
        </w:tc>
        <w:tc>
          <w:tcPr>
            <w:tcW w:type="dxa" w:w="41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Аудитории (lecture / lab)</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departments</w:t>
            </w:r>
          </w:p>
        </w:tc>
        <w:tc>
          <w:tcPr>
            <w:tcW w:type="dxa" w:w="3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id, name</w:t>
            </w:r>
          </w:p>
        </w:tc>
        <w:tc>
          <w:tcPr>
            <w:tcW w:type="dxa" w:w="41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Кафедры</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teachers</w:t>
            </w:r>
          </w:p>
        </w:tc>
        <w:tc>
          <w:tcPr>
            <w:tcW w:type="dxa" w:w="3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id, name, department_id, max_weekly_hours, unavailable_slots (JSONB), preferred_buildings (JSONB)</w:t>
            </w:r>
          </w:p>
        </w:tc>
        <w:tc>
          <w:tcPr>
            <w:tcW w:type="dxa" w:w="41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Преподаватели с ограничениями нагрузки и доступности</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groups</w:t>
            </w:r>
          </w:p>
        </w:tc>
        <w:tc>
          <w:tcPr>
            <w:tcW w:type="dxa" w:w="3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id, name, student_count, building_ids (JSONB)</w:t>
            </w:r>
          </w:p>
        </w:tc>
        <w:tc>
          <w:tcPr>
            <w:tcW w:type="dxa" w:w="41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Учебные группы с корпусной привязкой</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subject_plans</w:t>
            </w:r>
          </w:p>
        </w:tc>
        <w:tc>
          <w:tcPr>
            <w:tcW w:type="dxa" w:w="3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id, name, department_id, teacher_id, group_ids (JSONB), lecture_hours, practice_hours, lab_hours, requires_room_type, required_building_id, parity, semester_half</w:t>
            </w:r>
          </w:p>
        </w:tc>
        <w:tc>
          <w:tcPr>
            <w:tcW w:type="dxa" w:w="41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Учебные планы – основа для генерации расписания</w:t>
            </w:r>
          </w:p>
        </w:tc>
      </w:tr>
      <w:tr>
        <w:tc>
          <w:tcPr>
            <w:tcW w:type="dxa" w:w="22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schedules</w:t>
            </w:r>
          </w:p>
        </w:tc>
        <w:tc>
          <w:tcPr>
            <w:tcW w:type="dxa" w:w="3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id, name, score, assignments (JSONB), created_at</w:t>
            </w:r>
          </w:p>
        </w:tc>
        <w:tc>
          <w:tcPr>
            <w:tcW w:type="dxa" w:w="41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Сгенерированные расписания</w:t>
            </w:r>
          </w:p>
        </w:tc>
      </w:tr>
    </w:tbl>
    <w:p>
      <w:pPr>
        <w:spacing w:after="0" w:before="0" w:line="360" w:lineRule="auto"/>
        <w:ind w:firstLine="709"/>
        <w:jc w:val="both"/>
      </w:pPr>
      <w:r>
        <w:rPr>
          <w:rFonts w:ascii="Times New Roman" w:cs="Times New Roman" w:eastAsia="Times New Roman" w:hAnsi="Times New Roman"/>
          <w:sz w:val="28"/>
          <w:szCs w:val="28"/>
        </w:rPr>
        <w:t xml:space="preserve">Идентификаторы всех справочных сущностей имеют тип text, а не serial (автоинкремент). Это решение принято для удобства заполнения через SQL-скрипты: идентификаторы осмысленны ("korpus_a", "itas"), не зависят от порядка вставки строк и не требуют предварительного запроса последовательности. Ссылочная целостность обеспечивается внешними ключами (REFERENCES).</w:t>
      </w:r>
    </w:p>
    <w:p>
      <w:pPr>
        <w:spacing w:after="0" w:before="0" w:line="360" w:lineRule="auto"/>
        <w:ind w:firstLine="709"/>
        <w:jc w:val="both"/>
      </w:pPr>
      <w:r>
        <w:rPr>
          <w:rFonts w:ascii="Times New Roman" w:cs="Times New Roman" w:eastAsia="Times New Roman" w:hAnsi="Times New Roman"/>
          <w:sz w:val="28"/>
          <w:szCs w:val="28"/>
        </w:rPr>
        <w:t xml:space="preserve">Поля с переменным числом значений хранятся в формате JSONB. Поле unavailable_slots таблицы teachers содержит массив объектов {day, pair_num}, описывающих временные слоты, в которых преподаватель недоступен (командировки, совместительство, личные ограничения). Поле preferred_buildings – массив строк с идентификаторами предпочтительных корпусов, используется алгоритмом при выборе аудитории. Поле group_ids таблицы subject_plans содержит массив идентификаторов групп: для потоковых лекций массив включает несколько групп, для практик и лабораторных работ – одну.</w:t>
      </w:r>
    </w:p>
    <w:p>
      <w:pPr>
        <w:spacing w:after="0" w:before="0" w:line="360" w:lineRule="auto"/>
        <w:ind w:firstLine="709"/>
        <w:jc w:val="both"/>
      </w:pPr>
      <w:r>
        <w:rPr>
          <w:rFonts w:ascii="Times New Roman" w:cs="Times New Roman" w:eastAsia="Times New Roman" w:hAnsi="Times New Roman"/>
          <w:sz w:val="28"/>
          <w:szCs w:val="28"/>
        </w:rPr>
        <w:t xml:space="preserve">Поле parity таблицы subject_plans и соответствующее поле Assignment принимают одно из трёх значений: always (занятие проводится каждую неделю семестра), odd (только в нечётные недели), even (только в чётные недели). Это ограничение передаётся из учебного плана в создаваемое назначение и учитывается при проверке конфликтов: два назначения в одном временном слоте с чётностями odd и even не конфликтуют, так как никогда не совпадают в одну и ту же неделю.</w:t>
      </w:r>
    </w:p>
    <w:p>
      <w:pPr>
        <w:spacing w:after="0" w:before="0" w:line="360" w:lineRule="auto"/>
        <w:ind w:firstLine="709"/>
        <w:jc w:val="both"/>
      </w:pPr>
      <w:r>
        <w:rPr>
          <w:rFonts w:ascii="Times New Roman" w:cs="Times New Roman" w:eastAsia="Times New Roman" w:hAnsi="Times New Roman"/>
          <w:sz w:val="28"/>
          <w:szCs w:val="28"/>
        </w:rPr>
        <w:t xml:space="preserve">Поле semester_half определяет, в какой части семестра ведётся дисциплина: full – весь семестр (практики, лабы, постоянные лекции), first – первая половина семестра (недели 1–8, например вводные лекционные курсы), second – вторая половина (недели 9–16, например защиты курсовых работ). При запросе генерации с параметром semester_half="second" учебные планы с полем semester_half="first" исключаются из входных данных до передачи в алгоритм.</w:t>
      </w:r>
    </w:p>
    <w:p>
      <w:pPr>
        <w:spacing w:after="0" w:before="0" w:line="360" w:lineRule="auto"/>
        <w:ind w:firstLine="709"/>
        <w:jc w:val="both"/>
      </w:pPr>
      <w:r>
        <w:rPr>
          <w:rFonts w:ascii="Times New Roman" w:cs="Times New Roman" w:eastAsia="Times New Roman" w:hAnsi="Times New Roman"/>
          <w:sz w:val="28"/>
          <w:szCs w:val="28"/>
        </w:rPr>
        <w:t xml:space="preserve">Таблица schedules хранит сгенерированные расписания. Поле assignments содержит полный массив объектов Assignment в формате JSONB. Каждый элемент описывает одно занятие: идентификатор учебного плана (subject_id), преподаватель (teacher_id), аудитория (room_id), список групп (group_ids), тип занятия (type: lecture / practice / lab), временной слот ({day, pair_num}), чётность (parity) и корпус (building_id). Хранение всего расписания в одном JSONB-поле позволяет извлекать его единственным SELECT-запросом без JOIN-операций. Поле score содержит суммарный штраф по функции оценки качества – меньшее значение соответствует более качественному расписанию.</w:t>
      </w:r>
    </w:p>
    <w:p>
      <w:pPr>
        <w:spacing w:after="0" w:line="360"/>
      </w:pPr>
      <w:r>
        <w:t xml:space="preserve"/>
      </w:r>
    </w:p>
    <w:p>
      <w:pPr>
        <w:spacing w:after="120" w:before="60" w:line="360" w:lineRule="auto"/>
        <w:ind w:firstLine="0"/>
        <w:jc w:val="center"/>
      </w:pPr>
      <w:r>
        <w:rPr>
          <w:rFonts w:ascii="Times New Roman" w:cs="Times New Roman" w:eastAsia="Times New Roman" w:hAnsi="Times New Roman"/>
          <w:sz w:val="28"/>
          <w:szCs w:val="28"/>
        </w:rPr>
        <w:t xml:space="preserve">Рисунок 2.3 – Диаграмма классов (ER-диаграмма) модели данных</w:t>
      </w:r>
    </w:p>
    <w:p>
      <w:pPr>
        <w:spacing w:after="0" w:line="360"/>
      </w:pPr>
      <w:r>
        <w:t xml:space="preserve"/>
      </w:r>
    </w:p>
    <w:p>
      <w:pPr>
        <w:pStyle w:val="Heading2"/>
        <w:spacing w:after="120" w:before="360" w:line="360" w:lineRule="auto"/>
        <w:ind w:firstLine="709"/>
        <w:jc w:val="both"/>
      </w:pPr>
      <w:r>
        <w:rPr>
          <w:rFonts w:ascii="Times New Roman" w:cs="Times New Roman" w:eastAsia="Times New Roman" w:hAnsi="Times New Roman"/>
          <w:b/>
          <w:bCs/>
          <w:sz w:val="28"/>
          <w:szCs w:val="28"/>
        </w:rPr>
        <w:t xml:space="preserve">2.4. Проектирование REST API</w:t>
      </w:r>
    </w:p>
    <w:p>
      <w:pPr>
        <w:spacing w:after="0" w:before="0" w:line="360" w:lineRule="auto"/>
        <w:ind w:firstLine="709"/>
        <w:jc w:val="both"/>
      </w:pPr>
      <w:r>
        <w:rPr>
          <w:rFonts w:ascii="Times New Roman" w:cs="Times New Roman" w:eastAsia="Times New Roman" w:hAnsi="Times New Roman"/>
          <w:sz w:val="28"/>
          <w:szCs w:val="28"/>
        </w:rPr>
        <w:t xml:space="preserve">API организован вокруг единственного ресурса schedules и набора справочных ресурсов только для чтения. Базовый путь всех маршрутов: /api/v1. Все запросы и ответы используют формат JSON с заголовком Content-Type: application/json. Таблица 2.2 содержит полный перечень маршрутов.</w:t>
      </w:r>
    </w:p>
    <w:p>
      <w:pPr>
        <w:spacing w:after="0" w:line="360"/>
      </w:pPr>
      <w:r>
        <w:t xml:space="preserve"/>
      </w:r>
    </w:p>
    <w:p>
      <w:pPr>
        <w:spacing w:after="60" w:before="120" w:line="360" w:lineRule="auto"/>
        <w:ind w:firstLine="0"/>
        <w:jc w:val="left"/>
      </w:pPr>
      <w:r>
        <w:rPr>
          <w:rFonts w:ascii="Times New Roman" w:cs="Times New Roman" w:eastAsia="Times New Roman" w:hAnsi="Times New Roman"/>
          <w:sz w:val="28"/>
          <w:szCs w:val="28"/>
        </w:rPr>
        <w:t xml:space="preserve">Таблица 2.2 – Маршруты REST API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55"/>
      </w:tblGrid>
      <w:tr>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center"/>
            </w:pPr>
            <w:r>
              <w:rPr>
                <w:rFonts w:ascii="Times New Roman" w:cs="Times New Roman" w:eastAsia="Times New Roman" w:hAnsi="Times New Roman"/>
                <w:b/>
                <w:bCs/>
                <w:sz w:val="28"/>
                <w:szCs w:val="28"/>
              </w:rPr>
              <w:t xml:space="preserve">Метод</w:t>
            </w:r>
          </w:p>
        </w:tc>
        <w:tc>
          <w:tcPr>
            <w:tcW w:type="dxa" w:w="3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b/>
                <w:bCs/>
                <w:sz w:val="28"/>
                <w:szCs w:val="28"/>
              </w:rPr>
              <w:t xml:space="preserve">Путь</w:t>
            </w:r>
          </w:p>
        </w:tc>
        <w:tc>
          <w:tcPr>
            <w:tcW w:type="dxa" w:w="45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b/>
                <w:bCs/>
                <w:sz w:val="28"/>
                <w:szCs w:val="28"/>
              </w:rPr>
              <w:t xml:space="preserve">Описание</w:t>
            </w:r>
          </w:p>
        </w:tc>
      </w:tr>
      <w:tr>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center"/>
            </w:pPr>
            <w:r>
              <w:rPr>
                <w:rFonts w:ascii="Times New Roman" w:cs="Times New Roman" w:eastAsia="Times New Roman" w:hAnsi="Times New Roman"/>
                <w:sz w:val="28"/>
                <w:szCs w:val="28"/>
              </w:rPr>
              <w:t xml:space="preserve">GET</w:t>
            </w:r>
          </w:p>
        </w:tc>
        <w:tc>
          <w:tcPr>
            <w:tcW w:type="dxa" w:w="3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/health</w:t>
            </w:r>
          </w:p>
        </w:tc>
        <w:tc>
          <w:tcPr>
            <w:tcW w:type="dxa" w:w="45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Проверка работоспособности сервера</w:t>
            </w:r>
          </w:p>
        </w:tc>
      </w:tr>
      <w:tr>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center"/>
            </w:pPr>
            <w:r>
              <w:rPr>
                <w:rFonts w:ascii="Times New Roman" w:cs="Times New Roman" w:eastAsia="Times New Roman" w:hAnsi="Times New Roman"/>
                <w:sz w:val="28"/>
                <w:szCs w:val="28"/>
              </w:rPr>
              <w:t xml:space="preserve">POST</w:t>
            </w:r>
          </w:p>
        </w:tc>
        <w:tc>
          <w:tcPr>
            <w:tcW w:type="dxa" w:w="3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/api/v1/schedules/generate</w:t>
            </w:r>
          </w:p>
        </w:tc>
        <w:tc>
          <w:tcPr>
            <w:tcW w:type="dxa" w:w="45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Запуск генерации нового расписания</w:t>
            </w:r>
          </w:p>
        </w:tc>
      </w:tr>
      <w:tr>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center"/>
            </w:pPr>
            <w:r>
              <w:rPr>
                <w:rFonts w:ascii="Times New Roman" w:cs="Times New Roman" w:eastAsia="Times New Roman" w:hAnsi="Times New Roman"/>
                <w:sz w:val="28"/>
                <w:szCs w:val="28"/>
              </w:rPr>
              <w:t xml:space="preserve">GET</w:t>
            </w:r>
          </w:p>
        </w:tc>
        <w:tc>
          <w:tcPr>
            <w:tcW w:type="dxa" w:w="3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/api/v1/schedules</w:t>
            </w:r>
          </w:p>
        </w:tc>
        <w:tc>
          <w:tcPr>
            <w:tcW w:type="dxa" w:w="45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Список всех расписаний (без assignments)</w:t>
            </w:r>
          </w:p>
        </w:tc>
      </w:tr>
      <w:tr>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center"/>
            </w:pPr>
            <w:r>
              <w:rPr>
                <w:rFonts w:ascii="Times New Roman" w:cs="Times New Roman" w:eastAsia="Times New Roman" w:hAnsi="Times New Roman"/>
                <w:sz w:val="28"/>
                <w:szCs w:val="28"/>
              </w:rPr>
              <w:t xml:space="preserve">GET</w:t>
            </w:r>
          </w:p>
        </w:tc>
        <w:tc>
          <w:tcPr>
            <w:tcW w:type="dxa" w:w="3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/api/v1/schedules/{id}</w:t>
            </w:r>
          </w:p>
        </w:tc>
        <w:tc>
          <w:tcPr>
            <w:tcW w:type="dxa" w:w="45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Полное расписание с массивом назначений</w:t>
            </w:r>
          </w:p>
        </w:tc>
      </w:tr>
      <w:tr>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center"/>
            </w:pPr>
            <w:r>
              <w:rPr>
                <w:rFonts w:ascii="Times New Roman" w:cs="Times New Roman" w:eastAsia="Times New Roman" w:hAnsi="Times New Roman"/>
                <w:sz w:val="28"/>
                <w:szCs w:val="28"/>
              </w:rPr>
              <w:t xml:space="preserve">DELETE</w:t>
            </w:r>
          </w:p>
        </w:tc>
        <w:tc>
          <w:tcPr>
            <w:tcW w:type="dxa" w:w="3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/api/v1/schedules/{id}</w:t>
            </w:r>
          </w:p>
        </w:tc>
        <w:tc>
          <w:tcPr>
            <w:tcW w:type="dxa" w:w="45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Удаление расписания по ID</w:t>
            </w:r>
          </w:p>
        </w:tc>
      </w:tr>
      <w:tr>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center"/>
            </w:pPr>
            <w:r>
              <w:rPr>
                <w:rFonts w:ascii="Times New Roman" w:cs="Times New Roman" w:eastAsia="Times New Roman" w:hAnsi="Times New Roman"/>
                <w:sz w:val="28"/>
                <w:szCs w:val="28"/>
              </w:rPr>
              <w:t xml:space="preserve">PATCH</w:t>
            </w:r>
          </w:p>
        </w:tc>
        <w:tc>
          <w:tcPr>
            <w:tcW w:type="dxa" w:w="3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/api/v1/schedules/{id}/assignments/{idx}</w:t>
            </w:r>
          </w:p>
        </w:tc>
        <w:tc>
          <w:tcPr>
            <w:tcW w:type="dxa" w:w="45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Ручная корректировка одного назначения</w:t>
            </w:r>
          </w:p>
        </w:tc>
      </w:tr>
      <w:tr>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center"/>
            </w:pPr>
            <w:r>
              <w:rPr>
                <w:rFonts w:ascii="Times New Roman" w:cs="Times New Roman" w:eastAsia="Times New Roman" w:hAnsi="Times New Roman"/>
                <w:sz w:val="28"/>
                <w:szCs w:val="28"/>
              </w:rPr>
              <w:t xml:space="preserve">GET</w:t>
            </w:r>
          </w:p>
        </w:tc>
        <w:tc>
          <w:tcPr>
            <w:tcW w:type="dxa" w:w="3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/api/v1/schedules/{id}/excel</w:t>
            </w:r>
          </w:p>
        </w:tc>
        <w:tc>
          <w:tcPr>
            <w:tcW w:type="dxa" w:w="45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Экспорт расписания в Excel</w:t>
            </w:r>
          </w:p>
        </w:tc>
      </w:tr>
      <w:tr>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center"/>
            </w:pPr>
            <w:r>
              <w:rPr>
                <w:rFonts w:ascii="Times New Roman" w:cs="Times New Roman" w:eastAsia="Times New Roman" w:hAnsi="Times New Roman"/>
                <w:sz w:val="28"/>
                <w:szCs w:val="28"/>
              </w:rPr>
              <w:t xml:space="preserve">GET</w:t>
            </w:r>
          </w:p>
        </w:tc>
        <w:tc>
          <w:tcPr>
            <w:tcW w:type="dxa" w:w="3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/api/v1/teachers</w:t>
            </w:r>
          </w:p>
        </w:tc>
        <w:tc>
          <w:tcPr>
            <w:tcW w:type="dxa" w:w="45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Список преподавателей</w:t>
            </w:r>
          </w:p>
        </w:tc>
      </w:tr>
      <w:tr>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center"/>
            </w:pPr>
            <w:r>
              <w:rPr>
                <w:rFonts w:ascii="Times New Roman" w:cs="Times New Roman" w:eastAsia="Times New Roman" w:hAnsi="Times New Roman"/>
                <w:sz w:val="28"/>
                <w:szCs w:val="28"/>
              </w:rPr>
              <w:t xml:space="preserve">GET</w:t>
            </w:r>
          </w:p>
        </w:tc>
        <w:tc>
          <w:tcPr>
            <w:tcW w:type="dxa" w:w="3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/api/v1/groups</w:t>
            </w:r>
          </w:p>
        </w:tc>
        <w:tc>
          <w:tcPr>
            <w:tcW w:type="dxa" w:w="45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Список учебных групп</w:t>
            </w:r>
          </w:p>
        </w:tc>
      </w:tr>
      <w:tr>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center"/>
            </w:pPr>
            <w:r>
              <w:rPr>
                <w:rFonts w:ascii="Times New Roman" w:cs="Times New Roman" w:eastAsia="Times New Roman" w:hAnsi="Times New Roman"/>
                <w:sz w:val="28"/>
                <w:szCs w:val="28"/>
              </w:rPr>
              <w:t xml:space="preserve">GET</w:t>
            </w:r>
          </w:p>
        </w:tc>
        <w:tc>
          <w:tcPr>
            <w:tcW w:type="dxa" w:w="3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/api/v1/rooms</w:t>
            </w:r>
          </w:p>
        </w:tc>
        <w:tc>
          <w:tcPr>
            <w:tcW w:type="dxa" w:w="45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Список аудиторий</w:t>
            </w:r>
          </w:p>
        </w:tc>
      </w:tr>
      <w:tr>
        <w:tc>
          <w:tcPr>
            <w:tcW w:type="dxa" w:w="1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center"/>
            </w:pPr>
            <w:r>
              <w:rPr>
                <w:rFonts w:ascii="Times New Roman" w:cs="Times New Roman" w:eastAsia="Times New Roman" w:hAnsi="Times New Roman"/>
                <w:sz w:val="28"/>
                <w:szCs w:val="28"/>
              </w:rPr>
              <w:t xml:space="preserve">GET</w:t>
            </w:r>
          </w:p>
        </w:tc>
        <w:tc>
          <w:tcPr>
            <w:tcW w:type="dxa" w:w="38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/api/v1/subject-plans</w:t>
            </w:r>
          </w:p>
        </w:tc>
        <w:tc>
          <w:tcPr>
            <w:tcW w:type="dxa" w:w="45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Список учебных планов</w:t>
            </w:r>
          </w:p>
        </w:tc>
      </w:tr>
    </w:tbl>
    <w:p>
      <w:pPr>
        <w:pStyle w:val="Heading3"/>
        <w:spacing w:after="80" w:before="240" w:line="360" w:lineRule="auto"/>
        <w:ind w:firstLine="709"/>
        <w:jc w:val="both"/>
      </w:pPr>
      <w:r>
        <w:rPr>
          <w:rFonts w:ascii="Times New Roman" w:cs="Times New Roman" w:eastAsia="Times New Roman" w:hAnsi="Times New Roman"/>
          <w:b/>
          <w:bCs/>
          <w:sz w:val="28"/>
          <w:szCs w:val="28"/>
        </w:rPr>
        <w:t xml:space="preserve">2.4.1. Генерация расписания</w:t>
      </w:r>
    </w:p>
    <w:p>
      <w:pPr>
        <w:spacing w:after="0" w:before="0" w:line="360" w:lineRule="auto"/>
        <w:ind w:firstLine="709"/>
        <w:jc w:val="both"/>
      </w:pPr>
      <w:r>
        <w:rPr>
          <w:rFonts w:ascii="Times New Roman" w:cs="Times New Roman" w:eastAsia="Times New Roman" w:hAnsi="Times New Roman"/>
          <w:sz w:val="28"/>
          <w:szCs w:val="28"/>
        </w:rPr>
        <w:t xml:space="preserve">Маршрут POST /api/v1/schedules/generate принимает JSON-тело с четырьмя параметрами. Параметр name (строка) задаёт произвольное название расписания для идентификации пользователем; при отсутствии подставляется "Untitled". Параметр solver_type определяет алгоритм; единственное поддерживаемое значение – teacher (алгоритм teacher-driven, подробно описан в главе 3); при отсутствии используется teacher. Параметр timeout_sec (целое) задаёт максимальное время выполнения алгоритма в секундах; при отсутствии или значении 0 подставляется значение по умолчанию 30 секунд. Параметр semester_half фильтрует учебные планы: пустая строка или full означает отсутствие фильтрации, second исключает планы с semester_half="first".</w:t>
      </w:r>
    </w:p>
    <w:p>
      <w:pPr>
        <w:spacing w:after="0" w:before="0" w:line="360" w:lineRule="auto"/>
        <w:ind w:firstLine="709"/>
        <w:jc w:val="both"/>
      </w:pPr>
      <w:r>
        <w:rPr>
          <w:rFonts w:ascii="Times New Roman" w:cs="Times New Roman" w:eastAsia="Times New Roman" w:hAnsi="Times New Roman"/>
          <w:sz w:val="28"/>
          <w:szCs w:val="28"/>
        </w:rPr>
        <w:t xml:space="preserve">После разбора тела запроса usecase-сервис загружает справочные данные из базы данных вызовом LoadInput, при необходимости фильтрует учебные планы и запускает алгоритм в горутине под управлением context.WithTimeout. Если горутина завершилась раньше тайм-аута, результат передаётся через буферизованный канал размером 1, расписание сохраняется в базе данных и возвращается клиенту с кодом 201 Created. Если тайм-аут истёк первым, горутина продолжает работу (Go не предоставляет механизма принудительного завершения горутины), однако её результат будет проигнорирован; клиенту возвращается HTTP 500 с сообщением "solver timeout after Ns".</w:t>
      </w:r>
    </w:p>
    <w:p>
      <w:pPr>
        <w:pStyle w:val="Heading3"/>
        <w:spacing w:after="80" w:before="240" w:line="360" w:lineRule="auto"/>
        <w:ind w:firstLine="709"/>
        <w:jc w:val="both"/>
      </w:pPr>
      <w:r>
        <w:rPr>
          <w:rFonts w:ascii="Times New Roman" w:cs="Times New Roman" w:eastAsia="Times New Roman" w:hAnsi="Times New Roman"/>
          <w:b/>
          <w:bCs/>
          <w:sz w:val="28"/>
          <w:szCs w:val="28"/>
        </w:rPr>
        <w:t xml:space="preserve">2.4.2. Ручная корректировка назначения</w:t>
      </w:r>
    </w:p>
    <w:p>
      <w:pPr>
        <w:spacing w:after="0" w:before="0" w:line="360" w:lineRule="auto"/>
        <w:ind w:firstLine="709"/>
        <w:jc w:val="both"/>
      </w:pPr>
      <w:r>
        <w:rPr>
          <w:rFonts w:ascii="Times New Roman" w:cs="Times New Roman" w:eastAsia="Times New Roman" w:hAnsi="Times New Roman"/>
          <w:sz w:val="28"/>
          <w:szCs w:val="28"/>
        </w:rPr>
        <w:t xml:space="preserve">Маршрут PATCH /api/v1/schedules/{id}/assignments/{idx} позволяет изменить параметры одного назначения в уже сгенерированном расписании. Параметр пути idx – целочисленный индекс (начиная с 0) элемента в массиве assignments. Тело запроса содержит поля time_slot (объект {day, pair_num}), room_id (строка) и parity (строка); все поля необязательны – изменяются только указанные.</w:t>
      </w:r>
    </w:p>
    <w:p>
      <w:pPr>
        <w:spacing w:after="0" w:before="0" w:line="360" w:lineRule="auto"/>
        <w:ind w:firstLine="709"/>
        <w:jc w:val="both"/>
      </w:pPr>
      <w:r>
        <w:rPr>
          <w:rFonts w:ascii="Times New Roman" w:cs="Times New Roman" w:eastAsia="Times New Roman" w:hAnsi="Times New Roman"/>
          <w:sz w:val="28"/>
          <w:szCs w:val="28"/>
        </w:rPr>
        <w:t xml:space="preserve">Usecase-сервис загружает расписание из базы данных по id, применяет изменения к назначению с индексом idx, затем проверяет жёсткие ограничения HC1–HC3 (отсутствие конфликта преподавателя, группы, аудитории) для изменённого назначения относительно всех остальных. Проверка выполняется функцией checkConflict, которая вызывает slotsConflict для определения пересечения временных слотов с учётом чётности. При обнаружении конфликта изменение откатывается (исходное назначение восстанавливается) и клиенту возвращается HTTP 409 Conflict с JSON-объектом {type, resource_id, conflict_with}, где conflict_with – индекс конфликтующего назначения. При успешной проверке пересчитывается суммарный штраф (CalculateFitness) и обновлённое расписание записывается в базу данных.</w:t>
      </w:r>
    </w:p>
    <w:p>
      <w:pPr>
        <w:pStyle w:val="Heading3"/>
        <w:spacing w:after="80" w:before="240" w:line="360" w:lineRule="auto"/>
        <w:ind w:firstLine="709"/>
        <w:jc w:val="both"/>
      </w:pPr>
      <w:r>
        <w:rPr>
          <w:rFonts w:ascii="Times New Roman" w:cs="Times New Roman" w:eastAsia="Times New Roman" w:hAnsi="Times New Roman"/>
          <w:b/>
          <w:bCs/>
          <w:sz w:val="28"/>
          <w:szCs w:val="28"/>
        </w:rPr>
        <w:t xml:space="preserve">2.4.3. Экспорт расписания в Excel</w:t>
      </w:r>
    </w:p>
    <w:p>
      <w:pPr>
        <w:spacing w:after="0" w:before="0" w:line="360" w:lineRule="auto"/>
        <w:ind w:firstLine="709"/>
        <w:jc w:val="both"/>
      </w:pPr>
      <w:r>
        <w:rPr>
          <w:rFonts w:ascii="Times New Roman" w:cs="Times New Roman" w:eastAsia="Times New Roman" w:hAnsi="Times New Roman"/>
          <w:sz w:val="28"/>
          <w:szCs w:val="28"/>
        </w:rPr>
        <w:t xml:space="preserve">Маршрут GET /api/v1/schedules/{id}/excel формирует файл .xlsx и возвращает его как бинарный поток с заголовком Content-Disposition: attachment; filename="schedule.xlsx". Поддерживаются три режима через параметр запроса type.</w:t>
      </w:r>
    </w:p>
    <w:p>
      <w:pPr>
        <w:spacing w:after="0" w:before="0" w:line="360" w:lineRule="auto"/>
        <w:ind w:firstLine="709"/>
        <w:jc w:val="both"/>
      </w:pPr>
      <w:r>
        <w:rPr>
          <w:rFonts w:ascii="Times New Roman" w:cs="Times New Roman" w:eastAsia="Times New Roman" w:hAnsi="Times New Roman"/>
          <w:sz w:val="28"/>
          <w:szCs w:val="28"/>
        </w:rPr>
        <w:t xml:space="preserve">Режим all_teachers: все преподаватели кафедры в одном файле; каждый лист соответствует одному преподавателю, имя листа – ФИО преподавателя. Строки листа соответствуют номерам пар (1–8), столбцы – дням недели (понедельник–суббота). Ячейка содержит название дисциплины, тип занятия и номер аудитории. Занятия с чётностью odd выделяются зелёным фоном, что позволяет визуально различать чётные и нечётные пары на одном листе. Если преподаватель ведёт занятия в обоих типах чётности в одном слоте, ячейки объединяются или отображаются последовательно.</w:t>
      </w:r>
    </w:p>
    <w:p>
      <w:pPr>
        <w:spacing w:after="0" w:before="0" w:line="360" w:lineRule="auto"/>
        <w:ind w:firstLine="709"/>
        <w:jc w:val="both"/>
      </w:pPr>
      <w:r>
        <w:rPr>
          <w:rFonts w:ascii="Times New Roman" w:cs="Times New Roman" w:eastAsia="Times New Roman" w:hAnsi="Times New Roman"/>
          <w:sz w:val="28"/>
          <w:szCs w:val="28"/>
        </w:rPr>
        <w:t xml:space="preserve">Режим teacher: расписание одного преподавателя на отдельном листе. Требует параметра id (идентификатор преподавателя) и принимает опциональный параметр week со значениями both (по умолчанию, оба типа чётности), odd (только нечётные недели) или even (только чётные недели). Режим group аналогичен: требует параметра id (идентификатор группы) и поддерживает параметр week. Этот режим агрегирует все назначения, в которых group_ids содержит указанный идентификатор группы.</w:t>
      </w:r>
    </w:p>
    <w:p>
      <w:pPr>
        <w:pStyle w:val="Heading3"/>
        <w:spacing w:after="80" w:before="240" w:line="360" w:lineRule="auto"/>
        <w:ind w:firstLine="709"/>
        <w:jc w:val="both"/>
      </w:pPr>
      <w:r>
        <w:rPr>
          <w:rFonts w:ascii="Times New Roman" w:cs="Times New Roman" w:eastAsia="Times New Roman" w:hAnsi="Times New Roman"/>
          <w:b/>
          <w:bCs/>
          <w:sz w:val="28"/>
          <w:szCs w:val="28"/>
        </w:rPr>
        <w:t xml:space="preserve">2.4.4. Коды HTTP-ответов и формат ошибок</w:t>
      </w:r>
    </w:p>
    <w:p>
      <w:pPr>
        <w:spacing w:after="0" w:before="0" w:line="360" w:lineRule="auto"/>
        <w:ind w:firstLine="709"/>
        <w:jc w:val="both"/>
      </w:pPr>
      <w:r>
        <w:rPr>
          <w:rFonts w:ascii="Times New Roman" w:cs="Times New Roman" w:eastAsia="Times New Roman" w:hAnsi="Times New Roman"/>
          <w:sz w:val="28"/>
          <w:szCs w:val="28"/>
        </w:rPr>
        <w:t xml:space="preserve">Система использует стандартные HTTP-коды ответа в соответствии с семантикой операций: 200 OK для успешного чтения данных и экспорта, 201 Created для успешного создания расписания через генерацию, 204 No Content для успешного удаления, 400 Bad Request при ошибках разбора JSON или недопустимых значениях параметров пути, 404 Not Found при обращении к несуществующему расписанию, 409 Conflict при нарушении жёстких ограничений при ручной корректировке, 500 Internal Server Error при ошибках базы данных или тайм-ауте алгоритма генерации.</w:t>
      </w:r>
    </w:p>
    <w:p>
      <w:pPr>
        <w:spacing w:after="0" w:before="0" w:line="360" w:lineRule="auto"/>
        <w:ind w:firstLine="709"/>
        <w:jc w:val="both"/>
      </w:pPr>
      <w:r>
        <w:rPr>
          <w:rFonts w:ascii="Times New Roman" w:cs="Times New Roman" w:eastAsia="Times New Roman" w:hAnsi="Times New Roman"/>
          <w:sz w:val="28"/>
          <w:szCs w:val="28"/>
        </w:rPr>
        <w:t xml:space="preserve">Все ошибочные ответы возвращаются в едином JSON-формате: {"error": "описание ошибки"}. Исключением является ответ 409, который имеет расширенную структуру: {"type": "teacher_busy", "resource_id": "petrov_aa", "conflict_with": 42}. Поле type принимает значения teacher_busy, group_busy или room_busy и указывает, какое именно жёсткое ограничение нарушено. Поле resource_id содержит идентификатор занятого ресурса. Поле conflict_with – индекс назначения в массиве, с которым возник конфликт.</w:t>
      </w:r>
    </w:p>
    <w:p>
      <w:pPr>
        <w:spacing w:after="0" w:line="360"/>
      </w:pPr>
      <w:r>
        <w:t xml:space="preserve"/>
      </w:r>
    </w:p>
    <w:p>
      <w:pPr>
        <w:spacing w:after="120" w:before="60" w:line="360" w:lineRule="auto"/>
        <w:ind w:firstLine="0"/>
        <w:jc w:val="center"/>
      </w:pPr>
      <w:r>
        <w:rPr>
          <w:rFonts w:ascii="Times New Roman" w:cs="Times New Roman" w:eastAsia="Times New Roman" w:hAnsi="Times New Roman"/>
          <w:sz w:val="28"/>
          <w:szCs w:val="28"/>
        </w:rPr>
        <w:t xml:space="preserve">Рисунок 2.4 – Диаграмма последовательности: генерация расписания</w:t>
      </w:r>
    </w:p>
    <w:p>
      <w:pPr>
        <w:spacing w:after="0" w:line="360"/>
      </w:pPr>
      <w:r>
        <w:t xml:space="preserve"/>
      </w:r>
    </w:p>
    <w:p>
      <w:pPr>
        <w:spacing w:after="0" w:line="360"/>
      </w:pPr>
      <w:r>
        <w:t xml:space="preserve"/>
      </w:r>
    </w:p>
    <w:p>
      <w:pPr>
        <w:spacing w:after="120" w:before="60" w:line="360" w:lineRule="auto"/>
        <w:ind w:firstLine="0"/>
        <w:jc w:val="center"/>
      </w:pPr>
      <w:r>
        <w:rPr>
          <w:rFonts w:ascii="Times New Roman" w:cs="Times New Roman" w:eastAsia="Times New Roman" w:hAnsi="Times New Roman"/>
          <w:sz w:val="28"/>
          <w:szCs w:val="28"/>
        </w:rPr>
        <w:t xml:space="preserve">Рисунок 2.5 – Диаграмма последовательности: ручная корректировка назначения</w:t>
      </w:r>
    </w:p>
    <w:p>
      <w:pPr>
        <w:spacing w:after="0" w:line="360"/>
      </w:pPr>
      <w:r>
        <w:t xml:space="preserve"/>
      </w:r>
    </w:p>
    <w:p>
      <w:pPr>
        <w:pStyle w:val="Heading2"/>
        <w:spacing w:after="120" w:before="360" w:line="360" w:lineRule="auto"/>
        <w:ind w:firstLine="709"/>
        <w:jc w:val="both"/>
      </w:pPr>
      <w:r>
        <w:rPr>
          <w:rFonts w:ascii="Times New Roman" w:cs="Times New Roman" w:eastAsia="Times New Roman" w:hAnsi="Times New Roman"/>
          <w:b/>
          <w:bCs/>
          <w:sz w:val="28"/>
          <w:szCs w:val="28"/>
        </w:rPr>
        <w:t xml:space="preserve">2.5. Структура пакетов проекта</w:t>
      </w:r>
    </w:p>
    <w:p>
      <w:pPr>
        <w:spacing w:after="0" w:before="0" w:line="360" w:lineRule="auto"/>
        <w:ind w:firstLine="709"/>
        <w:jc w:val="both"/>
      </w:pPr>
      <w:r>
        <w:rPr>
          <w:rFonts w:ascii="Times New Roman" w:cs="Times New Roman" w:eastAsia="Times New Roman" w:hAnsi="Times New Roman"/>
          <w:sz w:val="28"/>
          <w:szCs w:val="28"/>
        </w:rPr>
        <w:t xml:space="preserve">Исходный код проекта организован в соответствии с принятыми соглашениями Go-проектов и слоями чистой архитектуры. Таблица 2.3 описывает назначение ключевых пакетов и файлов.</w:t>
      </w:r>
    </w:p>
    <w:p>
      <w:pPr>
        <w:spacing w:after="0" w:line="360"/>
      </w:pPr>
      <w:r>
        <w:t xml:space="preserve"/>
      </w:r>
    </w:p>
    <w:p>
      <w:pPr>
        <w:spacing w:after="60" w:before="120" w:line="360" w:lineRule="auto"/>
        <w:ind w:firstLine="0"/>
        <w:jc w:val="left"/>
      </w:pPr>
      <w:r>
        <w:rPr>
          <w:rFonts w:ascii="Times New Roman" w:cs="Times New Roman" w:eastAsia="Times New Roman" w:hAnsi="Times New Roman"/>
          <w:sz w:val="28"/>
          <w:szCs w:val="28"/>
        </w:rPr>
        <w:t xml:space="preserve">Таблица 2.3 – Структура пакетов проекта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000"/>
        <w:gridCol w:w="5355"/>
      </w:tblGrid>
      <w:tr>
        <w:tc>
          <w:tcPr>
            <w:tcW w:type="dxa" w:w="4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b/>
                <w:bCs/>
                <w:sz w:val="28"/>
                <w:szCs w:val="28"/>
              </w:rPr>
              <w:t xml:space="preserve">Пакет / путь</w:t>
            </w:r>
          </w:p>
        </w:tc>
        <w:tc>
          <w:tcPr>
            <w:tcW w:type="dxa" w:w="53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b/>
                <w:bCs/>
                <w:sz w:val="28"/>
                <w:szCs w:val="28"/>
              </w:rPr>
              <w:t xml:space="preserve">Назначение</w:t>
            </w:r>
          </w:p>
        </w:tc>
      </w:tr>
      <w:tr>
        <w:tc>
          <w:tcPr>
            <w:tcW w:type="dxa" w:w="4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internal/domain/schedule</w:t>
            </w:r>
          </w:p>
        </w:tc>
        <w:tc>
          <w:tcPr>
            <w:tcW w:type="dxa" w:w="53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Доменные типы: Assignment, Schedule, Teacher, Group, Room, SubjectPlan, Building, Department и все перечисления</w:t>
            </w:r>
          </w:p>
        </w:tc>
      </w:tr>
      <w:tr>
        <w:tc>
          <w:tcPr>
            <w:tcW w:type="dxa" w:w="4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internal/usecase/generator</w:t>
            </w:r>
          </w:p>
        </w:tc>
        <w:tc>
          <w:tcPr>
            <w:tcW w:type="dxa" w:w="53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Бизнес-логика (service.go) и интерфейсы репозиториев (ports.go): InputRepository, OutputRepository, ImportRepository</w:t>
            </w:r>
          </w:p>
        </w:tc>
      </w:tr>
      <w:tr>
        <w:tc>
          <w:tcPr>
            <w:tcW w:type="dxa" w:w="4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internal/repository/postgres</w:t>
            </w:r>
          </w:p>
        </w:tc>
        <w:tc>
          <w:tcPr>
            <w:tcW w:type="dxa" w:w="53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Реализации репозиториев: input_repo.go (LoadInput), output_repo.go (Save/Get/List/Delete/Update Schedule), import_repo.go (UpsertAll)</w:t>
            </w:r>
          </w:p>
        </w:tc>
      </w:tr>
      <w:tr>
        <w:tc>
          <w:tcPr>
            <w:tcW w:type="dxa" w:w="4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internal/transport/http</w:t>
            </w:r>
          </w:p>
        </w:tc>
        <w:tc>
          <w:tcPr>
            <w:tcW w:type="dxa" w:w="53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router.go (маршрутизация), handlers/ (ScheduleHandler, ExcelHandler, ReferenceHandler, ImportHandler, dto.go)</w:t>
            </w:r>
          </w:p>
        </w:tc>
      </w:tr>
      <w:tr>
        <w:tc>
          <w:tcPr>
            <w:tcW w:type="dxa" w:w="4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internal/solver</w:t>
            </w:r>
          </w:p>
        </w:tc>
        <w:tc>
          <w:tcPr>
            <w:tcW w:type="dxa" w:w="53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Алгоритм: teacher_solver.go (SolveTeacher), constraints.go (HC1–HC10), fitness.go (CalculateFitness), local_search.go (2-opt, or-opt), heuristics.go</w:t>
            </w:r>
          </w:p>
        </w:tc>
      </w:tr>
      <w:tr>
        <w:tc>
          <w:tcPr>
            <w:tcW w:type="dxa" w:w="4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internal/importer</w:t>
            </w:r>
          </w:p>
        </w:tc>
        <w:tc>
          <w:tcPr>
            <w:tcW w:type="dxa" w:w="53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Парсер Excel-расписания: excel_parser.go (ParseReader/ParseFile), cell_parser.go, models.go</w:t>
            </w:r>
          </w:p>
        </w:tc>
      </w:tr>
      <w:tr>
        <w:tc>
          <w:tcPr>
            <w:tcW w:type="dxa" w:w="4000"/>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data/</w:t>
            </w:r>
          </w:p>
        </w:tc>
        <w:tc>
          <w:tcPr>
            <w:tcW w:type="dxa" w:w="5355"/>
            <w:tcBorders>
              <w:top w:val="single" w:color="000000" w:sz="4"/>
              <w:left w:val="single" w:color="000000" w:sz="4"/>
              <w:bottom w:val="single" w:color="000000" w:sz="4"/>
              <w:right w:val="single" w:color="000000" w:sz="4"/>
            </w:tcBorders>
            <w:tcMar>
              <w:top w:type="dxa" w:w="60"/>
              <w:left w:type="dxa" w:w="120"/>
              <w:bottom w:type="dxa" w:w="60"/>
              <w:right w:type="dxa" w:w="120"/>
            </w:tcMar>
          </w:tcPr>
          <w:p>
            <w:pPr>
              <w:spacing w:after="0" w:before="0" w:line="300" w:lineRule="auto"/>
              <w:jc w:val="left"/>
            </w:pPr>
            <w:r>
              <w:rPr>
                <w:rFonts w:ascii="Times New Roman" w:cs="Times New Roman" w:eastAsia="Times New Roman" w:hAnsi="Times New Roman"/>
                <w:sz w:val="28"/>
                <w:szCs w:val="28"/>
              </w:rPr>
              <w:t xml:space="preserve">SQL-скрипты начального наполнения БД: 01_buildings.sql – 06_subject_plans.sql</w:t>
            </w:r>
          </w:p>
        </w:tc>
      </w:tr>
    </w:tbl>
    <w:p>
      <w:pPr>
        <w:spacing w:after="0" w:before="0" w:line="360" w:lineRule="auto"/>
        <w:ind w:firstLine="709"/>
        <w:jc w:val="both"/>
      </w:pPr>
      <w:r>
        <w:rPr>
          <w:rFonts w:ascii="Times New Roman" w:cs="Times New Roman" w:eastAsia="Times New Roman" w:hAnsi="Times New Roman"/>
          <w:sz w:val="28"/>
          <w:szCs w:val="28"/>
        </w:rPr>
        <w:t xml:space="preserve">Директория internal используется по соглашению Go: пакеты внутри неё недоступны для импорта из внешних модулей. Это гарантирует, что слоистая структура архитектуры не будет нарушена внешними потребителями библиотеки. Все зависимости между пакетами направлены в соответствии с правилом чистой архитектуры: domain не импортирует ничего из internal; usecase импортирует только domain; repository и transport импортируют usecase и domain.</w:t>
      </w:r>
    </w:p>
    <w:p>
      <w:pPr>
        <w:pStyle w:val="Heading2"/>
        <w:spacing w:after="120" w:before="360" w:line="360" w:lineRule="auto"/>
        <w:ind w:firstLine="709"/>
        <w:jc w:val="both"/>
      </w:pPr>
      <w:r>
        <w:rPr>
          <w:rFonts w:ascii="Times New Roman" w:cs="Times New Roman" w:eastAsia="Times New Roman" w:hAnsi="Times New Roman"/>
          <w:b/>
          <w:bCs/>
          <w:sz w:val="28"/>
          <w:szCs w:val="28"/>
        </w:rPr>
        <w:t xml:space="preserve">2.6. Выводы по главе 2</w:t>
      </w:r>
    </w:p>
    <w:p>
      <w:pPr>
        <w:spacing w:after="0" w:before="0" w:line="360" w:lineRule="auto"/>
        <w:ind w:firstLine="709"/>
        <w:jc w:val="both"/>
      </w:pPr>
      <w:r>
        <w:rPr>
          <w:rFonts w:ascii="Times New Roman" w:cs="Times New Roman" w:eastAsia="Times New Roman" w:hAnsi="Times New Roman"/>
          <w:sz w:val="28"/>
          <w:szCs w:val="28"/>
        </w:rPr>
        <w:t xml:space="preserve">В данной главе разработана полная архитектура системы автоматизированного составления учебного расписания кафедры. Компонентная диаграмма подтвердила соответствие реализации принципу чистой архитектуры: зависимости в исходном коде направлены от инфраструктурных слоёв (HTTP, PostgreSQL) к доменному слою. Пакет solver не имеет зависимостей от HTTP или PostgreSQL, что обеспечивает возможность его независимого тестирования без поднятия инфраструктуры.</w:t>
      </w:r>
    </w:p>
    <w:p>
      <w:pPr>
        <w:spacing w:after="0" w:before="0" w:line="360" w:lineRule="auto"/>
        <w:ind w:firstLine="709"/>
        <w:jc w:val="both"/>
      </w:pPr>
      <w:r>
        <w:rPr>
          <w:rFonts w:ascii="Times New Roman" w:cs="Times New Roman" w:eastAsia="Times New Roman" w:hAnsi="Times New Roman"/>
          <w:sz w:val="28"/>
          <w:szCs w:val="28"/>
        </w:rPr>
        <w:t xml:space="preserve">Диаграмма вариантов использования определила двух акторов: администратора расписания, взаимодействующего с шестью вариантами использования (просмотр справочников, генерация, просмотр, корректировка, экспорт, удаление), и системного администратора, отвечающего за наполнение базы данных и импорт данных из Excel.</w:t>
      </w:r>
    </w:p>
    <w:p>
      <w:pPr>
        <w:spacing w:after="0" w:before="0" w:line="360" w:lineRule="auto"/>
        <w:ind w:firstLine="709"/>
        <w:jc w:val="both"/>
      </w:pPr>
      <w:r>
        <w:rPr>
          <w:rFonts w:ascii="Times New Roman" w:cs="Times New Roman" w:eastAsia="Times New Roman" w:hAnsi="Times New Roman"/>
          <w:sz w:val="28"/>
          <w:szCs w:val="28"/>
        </w:rPr>
        <w:t xml:space="preserve">Модель данных из семи таблиц охватывает все сущности предметной области. Использование JSONB-полей для хранения переменно-структурированных данных сокращает число таблиц и упрощает запросы: всё расписание извлекается одним SELECT без JOIN-операций. REST API из девяти маршрутов покрывает все функциональные требования: генерацию расписания с контролем тайм-аута, хранение произвольного числа версий, ручную корректировку с проверкой жёстких ограничений HC1–HC3 и возвратом структурированного описания конфликта, а также экспорт в Excel в трёх режимах. Диаграммы последовательности детализировали внутреннее взаимодействие компонентов при генерации и корректировке. Разработанная архитектура является основой для реализации алгоритма, описанной в главе 3.</w:t>
      </w:r>
    </w:p>
    <w:p>
      <w:r>
        <w:br w:type="page"/>
      </w:r>
    </w:p>
    <w:sectPr>
      <w:footerReference w:type="default" r:id="rId7"/>
      <w:pgSz w:w="11906" w:h="16838" w:orient="portrait"/>
      <w:pgMar w:top="1134" w:right="851" w:bottom="1134" w:left="170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240"/>
      <w:outlineLvl w:val="2"/>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2026-07-07T10:21:11.858Z</dcterms:created>
  <dcterms:modified xsi:type="dcterms:W3CDTF">2026-07-07T10:21:11.873Z</dcterms:modified>
</cp:coreProperties>
</file>

<file path=docProps/custom.xml><?xml version="1.0" encoding="utf-8"?>
<Properties xmlns="http://schemas.openxmlformats.org/officeDocument/2006/custom-properties" xmlns:vt="http://schemas.openxmlformats.org/officeDocument/2006/docPropsVTypes"/>
</file>