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3. ТЕХНИКО-ЭКОНОМИЧЕСКОЕ ОБОСНОВАНИЕ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Данная глава посвящена оценке экономической целесообразности разработки автоматизированной системы составления учебного расписания. Проведён расчёт затрат на создание программного продукта, определены эксплуатационные расходы, выполнен сравнительный анализ с альтернативными решениями и рассчитан срок окупаемости.</w:t>
      </w:r>
    </w:p>
    <w:p>
      <w:pPr>
        <w:spacing w:after="0" w:line="36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Оценка трудоёмкости разработки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системы выполнялась в рамках учебно-исследовательской работы. Для оценки затрат применяется метод аналогий с разбивкой на этапы. Трудоёмкость каждого этапа определена экспертным методом на основании объёма реализованного функционала (таблица 3.1).</w:t>
      </w:r>
    </w:p>
    <w:p>
      <w:pPr>
        <w:spacing w:after="0" w:line="360"/>
      </w:pPr>
      <w:r>
        <w:t xml:space="preserve"/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3.1 — Трудоёмкость разработки по этапам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800"/>
      </w:tblGrid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разработки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Трудоёмкость, ч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 работ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предметной области и требований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Изучение задачи UTP, систематизация ограничений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архитектуры и модели данных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Схема БД, чистая архитектура, интерфейсы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Реализация алгоритмов и серверной части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Teacher-driven solver, 2-opt, or-opt, fitness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REST API и транспортного слоя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HTTP-обработчики, маршрутизация, DTO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Реализация экспорта в Excel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Три режима экспорта через excelize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Тестирование и отладка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Unit-тесты, верификация на реальных данных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Документирование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Пояснительная записка, комментарии к коду</w:t>
            </w:r>
          </w:p>
        </w:tc>
      </w:tr>
      <w:t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трудоёмкость разработки составила 660 человеко-часов, что соответствует примерно 4.1 месяцам работы одного разработчика.</w:t>
      </w:r>
    </w:p>
    <w:p>
      <w:pPr>
        <w:spacing w:after="0" w:line="36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Расчёт затрат на разработку</w:t>
      </w:r>
    </w:p>
    <w:p>
      <w:pPr>
        <w:spacing w:after="0" w:line="360"/>
      </w:pPr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3.2.1. Затраты на оплату труда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выполнения работы привлекался один разработчик-бэкенд со среднемесячной заработной платой 70 000 рублей. Среднечасовая тарифная ставка составляет: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 = 70 000 / 160 = 438 руб./ч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оплаты труда за период разработки: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 = 438 × 660 = 289 080 руб.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Отчисления на страховые взносы (ОПС, ОМС, ФСС) по суммарной ставке 30,2%: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 = 289 080 × 0,302 = 87 302 руб.</w:t>
      </w:r>
    </w:p>
    <w:p>
      <w:pPr>
        <w:spacing w:after="0" w:line="360"/>
      </w:pPr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3.2.2. Накладные расходы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Накладные расходы включают амортизацию компьютерного оборудования, оплату интернет-соединения и прочие косвенные затраты. Принимается норматив 30% от ФОТ: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НР = 289 080 × 0,30 = 86 724 руб.</w:t>
      </w:r>
    </w:p>
    <w:p>
      <w:pPr>
        <w:spacing w:after="0" w:line="360"/>
      </w:pPr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3.2.3. Итоговые единовременные затраты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Сводная смета затрат на разработку представлена в таблице 3.2.</w:t>
      </w:r>
    </w:p>
    <w:p>
      <w:pPr>
        <w:spacing w:after="0" w:line="360"/>
      </w:pPr>
      <w:r>
        <w:t xml:space="preserve"/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3.2 — Смета затрат на разработку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100"/>
      </w:tblGrid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руб.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Фонд оплаты труда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289 080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Страховые взносы (30,2%)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87 302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Накладные расходы (30%)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86 724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463 106</w:t>
            </w:r>
          </w:p>
        </w:tc>
      </w:tr>
    </w:tbl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суммарные затраты на разработку программного продукта составляют 463 106 рублей.</w:t>
      </w:r>
    </w:p>
    <w:p>
      <w:pPr>
        <w:spacing w:after="0" w:line="36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Эксплуатационные расходы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Эксплуатационные расходы включают затраты на поддержание работоспособности системы в течение года. Система разворачивается на сервере кафедры ИТАС, что исключает арендные платежи за облачные ресурсы. В состав ежегодных расходов входят: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затраты на электроэнергию для питания сервера (непрерывная работа): 6 000 руб./год;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оплата труда системного администратора за техническое сопровождение (8 ч × 600 руб./ч): 4 800 руб./год.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Итоговые ежегодные эксплуатационные затраты: 10 800 руб./год. Данный уровень расходов объясняется тем, что используется уже имеющееся серверное оборудование кафедры.</w:t>
      </w:r>
    </w:p>
    <w:p>
      <w:pPr>
        <w:spacing w:after="0" w:line="36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Оценка экономического эффекта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оценки экономического эффекта сравниваются три варианта организации процесса составления расписания.</w:t>
      </w:r>
    </w:p>
    <w:p>
      <w:pPr>
        <w:spacing w:after="0" w:line="360"/>
      </w:pPr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3.4.1. Вариант А: ручное составление (базовый)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внедрения системы расписание на кафедру ИТАС составлялось вручную двумя специалистами (методистами) в течение двух рабочих недель на каждый семестр. Трудозатраты одного специалиста составляют не менее 40 часов. Часовая ставка специалиста административного персонала принята равной 500 руб./ч.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Затраты на ручное составление за 1 семестр: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З₁ = 2 × 40 × 500 = 40000 руб.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2 семестров в год, а также затрат на последующие корректировки расписания (замены, переносы) ориентировочно ещё 20 ч × 2 специалиста × 2 семестра: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= 80 000 + 20 000 = 100 000 руб./год</w:t>
      </w:r>
    </w:p>
    <w:p>
      <w:pPr>
        <w:spacing w:after="0" w:line="360"/>
      </w:pPr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3.4.2. Вариант Б: приобретение коммерческого ПО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Среди отечественных коммерческих систем составления расписания рассматривались продукты, ориентированные на вузовский сегмент. Стоимость годовой лицензии для кафедры численностью 37 преподавателей составляет от 80 000 до 200 000 рублей в год. Дополнительно учитываются расходы на внедрение и обучение персонала (от 20 000 руб. единовременно), а также на подключение к корпоративной учётной системе. Высокая стоимость и отсутствие возможности адаптации алгоритма под специфику кафедры делают данный вариант менее предпочтительным.</w:t>
      </w:r>
    </w:p>
    <w:p>
      <w:pPr>
        <w:spacing w:after="0" w:line="360"/>
      </w:pPr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3.4.3. Вариант В: разработанная система (предлагаемый)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использовании разработанной системы генерация расписания производится автоматически в течение не более 120 секунд. Работа специалиста сводится к загрузке нагрузочного плана в формате Excel (ФТ-2) и при необходимости — к ручной корректировке отдельных назначений (ФТ-5). Ожидаемые трудозатраты не превышают 5 часов на семестр, или 10 часов в год. Дополнительная экономия обеспечивается повышением качества расписания: алгоритм гарантирует отсутствие окон у студентов и равномерное распределение нагрузки по дням недели, что положительно влияет на академическую успеваемость.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Сравнительный анализ вариантов приведён в таблице 3.3.</w:t>
      </w:r>
    </w:p>
    <w:p>
      <w:pPr>
        <w:spacing w:after="0" w:line="360"/>
      </w:pPr>
      <w:r>
        <w:t xml:space="preserve"/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3.3 — Сравнительный анализ вариантов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900"/>
        <w:gridCol w:w="180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Ручной труд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Коммерческое ПО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Разраб. система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Ежегодные затраты, руб.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100 000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80 000 – 200 000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10 800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генерации расписания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нед.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1–2 дня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мин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Гарантия отсутствия конфликтов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Возможность кастомизации алгоритма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Полная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Интеграция через REST API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0" w:line="36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Расчёт срока окупаемости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окупаемости капитальных вложений определяется как отношение единовременных затрат на разработку к ежегодному экономическому эффекту.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Ежегодный экономический эффект (экономия по сравнению с ручным трудом):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 = ЗА − Зопекс = 100 000 − 10 800 = 89 200 руб./год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окупаемости: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Ток = К / Э = 463 106 / 89 200 ≈ 5.2 года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окупаемости разработки составляет около 5.2 лет. Следует учитывать, что экономический эффект не исчерпывается прямой экономией на оплате труда: повышение качества расписания снижает число конфликтных ситуаций и рекламаций от преподавателей, а наличие REST API создаёт основу для интеграции с другими информационными системами вуза (электронный журнал, деканат), что формирует долгосрочный организационный эффект.</w:t>
      </w:r>
    </w:p>
    <w:p>
      <w:pPr>
        <w:spacing w:after="0" w:line="360"/>
      </w:pPr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3.6. Выводы по главе 3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третьей главе выполнено технико-экономическое обоснование разработки автоматизированной системы составления учебного расписания.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трудоёмкости разработки составила 660 человеко-часов. Суммарные единовременные затраты на создание продукта равны 463 106 рублям, в том числе фонд оплаты труда — 289 080 рублей, страховые взносы — 87 302 рублей, накладные расходы — 86 724 рублей.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Ежегодные эксплуатационные расходы не превышают 10 800 рублей в год. По сравнению с ручным составлением расписания ежегодный экономический эффект составляет 89 200 рублей, что обеспечивает срок окупаемости порядка 5.2 лет.</w:t>
      </w:r>
    </w:p>
    <w:p>
      <w:pPr>
        <w:spacing w:after="0" w:line="360"/>
      </w:pPr>
      <w: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Сравнительный анализ показал, что разработанная система превосходит ручной подход по времени генерации (2 минуты против 2 недель), гарантирует соблюдение жёстких ограничений и обеспечивает полную гибкость настройки алгоритма — преимущества, недостижимые при использовании сторонних коммерческих продуктов в рамках бюджета кафедры.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Технико-экономическое обоснование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2026-07-05T10:27:54.230Z</dcterms:created>
  <dcterms:modified xsi:type="dcterms:W3CDTF">2026-07-05T10:27:54.232Z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