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sz w:val="30"/>
          <w:szCs w:val="30"/>
        </w:rPr>
        <w:t xml:space="preserve">OLIST BRAZILIAN E-COMMERCE</w:t>
      </w:r>
    </w:p>
    <w:p>
      <w:pPr>
        <w:spacing w:after="60"/>
      </w:pPr>
      <w:r>
        <w:rPr>
          <w:rFonts w:ascii="Calibri" w:cs="Calibri" w:eastAsia="Calibri" w:hAnsi="Calibri"/>
          <w:b/>
          <w:bCs/>
          <w:sz w:val="26"/>
          <w:szCs w:val="26"/>
        </w:rPr>
        <w:t xml:space="preserve">Business Intelligence Project</w:t>
      </w:r>
    </w:p>
    <w:p>
      <w:pPr>
        <w:spacing w:after="60"/>
      </w:pPr>
      <w:r>
        <w:rPr>
          <w:rFonts w:ascii="Calibri" w:cs="Calibri" w:eastAsia="Calibri" w:hAnsi="Calibri"/>
          <w:b/>
          <w:bCs/>
          <w:sz w:val="26"/>
          <w:szCs w:val="26"/>
        </w:rPr>
        <w:t xml:space="preserve">Data Modeling Document</w:t>
      </w:r>
    </w:p>
    <w:p>
      <w:pPr>
        <w:spacing w:after="300"/>
      </w:pPr>
      <w:r>
        <w:rPr>
          <w:rFonts w:ascii="Calibri" w:cs="Calibri" w:eastAsia="Calibri" w:hAnsi="Calibri"/>
          <w:i/>
          <w:iCs/>
          <w:sz w:val="22"/>
          <w:szCs w:val="22"/>
        </w:rPr>
        <w:t xml:space="preserve">Phase 5 of the End-to-End BI Project Lifecycle</w:t>
      </w:r>
    </w:p>
    <w:p>
      <w:pPr>
        <w:spacing w:after="80"/>
      </w:pPr>
      <w:r>
        <w:rPr>
          <w:rFonts w:ascii="Calibri" w:cs="Calibri" w:eastAsia="Calibri" w:hAnsi="Calibri"/>
          <w:b/>
          <w:bCs/>
          <w:sz w:val="22"/>
          <w:szCs w:val="22"/>
        </w:rPr>
        <w:t xml:space="preserve">Project: </w:t>
      </w:r>
      <w:r>
        <w:rPr>
          <w:rFonts w:ascii="Calibri" w:cs="Calibri" w:eastAsia="Calibri" w:hAnsi="Calibri"/>
          <w:sz w:val="22"/>
          <w:szCs w:val="22"/>
        </w:rPr>
        <w:t xml:space="preserve">Olist Brazilian E-Commerce Analytics Dashboard</w:t>
      </w:r>
    </w:p>
    <w:p>
      <w:pPr>
        <w:spacing w:after="80"/>
      </w:pPr>
      <w:r>
        <w:rPr>
          <w:rFonts w:ascii="Calibri" w:cs="Calibri" w:eastAsia="Calibri" w:hAnsi="Calibri"/>
          <w:b/>
          <w:bCs/>
          <w:sz w:val="22"/>
          <w:szCs w:val="22"/>
        </w:rPr>
        <w:t xml:space="preserve">Document Stage: </w:t>
      </w:r>
      <w:r>
        <w:rPr>
          <w:rFonts w:ascii="Calibri" w:cs="Calibri" w:eastAsia="Calibri" w:hAnsi="Calibri"/>
          <w:sz w:val="22"/>
          <w:szCs w:val="22"/>
        </w:rPr>
        <w:t xml:space="preserve">Phase 5 — Data Modeling</w:t>
      </w:r>
    </w:p>
    <w:p>
      <w:pPr>
        <w:spacing w:after="80"/>
      </w:pPr>
      <w:r>
        <w:rPr>
          <w:rFonts w:ascii="Calibri" w:cs="Calibri" w:eastAsia="Calibri" w:hAnsi="Calibri"/>
          <w:b/>
          <w:bCs/>
          <w:sz w:val="22"/>
          <w:szCs w:val="22"/>
        </w:rPr>
        <w:t xml:space="preserve">Prepared By: </w:t>
      </w:r>
      <w:r>
        <w:rPr>
          <w:rFonts w:ascii="Calibri" w:cs="Calibri" w:eastAsia="Calibri" w:hAnsi="Calibri"/>
          <w:sz w:val="22"/>
          <w:szCs w:val="22"/>
        </w:rPr>
        <w:t xml:space="preserve">[Your Name] — Business Intelligence Analyst</w:t>
      </w:r>
    </w:p>
    <w:p>
      <w:pPr>
        <w:spacing w:after="80"/>
      </w:pPr>
      <w:r>
        <w:rPr>
          <w:rFonts w:ascii="Calibri" w:cs="Calibri" w:eastAsia="Calibri" w:hAnsi="Calibri"/>
          <w:b/>
          <w:bCs/>
          <w:sz w:val="22"/>
          <w:szCs w:val="22"/>
        </w:rPr>
        <w:t xml:space="preserve">Date: </w:t>
      </w:r>
      <w:r>
        <w:rPr>
          <w:rFonts w:ascii="Calibri" w:cs="Calibri" w:eastAsia="Calibri" w:hAnsi="Calibri"/>
          <w:sz w:val="22"/>
          <w:szCs w:val="22"/>
        </w:rPr>
        <w:t xml:space="preserve">July 2026</w:t>
      </w:r>
    </w:p>
    <w:p>
      <w:pPr>
        <w:pBdr>
          <w:bottom w:val="single" w:color="999999" w:sz="6" w:space="1"/>
        </w:pBdr>
        <w:spacing w:after="200" w:before="100"/>
      </w:pPr>
      <w:r>
        <w:t xml:space="preserve"/>
      </w:r>
    </w:p>
    <w:p>
      <w:pPr>
        <w:pStyle w:val="Heading1"/>
        <w:spacing w:after="160" w:before="360"/>
      </w:pPr>
      <w:r>
        <w:t xml:space="preserve">1. Purpose of This Document</w:t>
      </w:r>
    </w:p>
    <w:p>
      <w:pPr>
        <w:spacing w:after="160"/>
      </w:pPr>
      <w:r>
        <w:rPr>
          <w:rFonts w:ascii="Calibri" w:cs="Calibri" w:eastAsia="Calibri" w:hAnsi="Calibri"/>
          <w:sz w:val="22"/>
          <w:szCs w:val="22"/>
        </w:rPr>
        <w:t xml:space="preserve">This document records the data modeling decisions made during Phase 5 of the Olist Business Intelligence project. It defines the schema architecture selected for Power BI reporting, the fact and dimension views delivered, the reasoning behind each modeling decision, and the validation performed before handing the model off to the Exploratory Data Analysis (Phase 6) and dashboard development (Phase 7+) stages.</w:t>
      </w:r>
    </w:p>
    <w:p>
      <w:pPr>
        <w:spacing w:after="160"/>
      </w:pPr>
      <w:r>
        <w:rPr>
          <w:rFonts w:ascii="Calibri" w:cs="Calibri" w:eastAsia="Calibri" w:hAnsi="Calibri"/>
          <w:sz w:val="22"/>
          <w:szCs w:val="22"/>
        </w:rPr>
        <w:t xml:space="preserve">Modeling was performed directly in PostgreSQL using CREATE OR REPLACE VIEW statements layered on top of the cleaned tables documented in the Phase 4 Data Cleaning Log. Views — rather than materialized tables — were used so that filtering logic (e.g., delivered-only scoping, delivery validity flags) can evolve without re-running ETL, consistent with the project principle that filtering belongs in the BI layer rather than being hardcoded upstream.</w:t>
      </w:r>
    </w:p>
    <w:p>
      <w:pPr>
        <w:pStyle w:val="Heading1"/>
        <w:spacing w:after="160" w:before="360"/>
      </w:pPr>
      <w:r>
        <w:t xml:space="preserve">2. Schema Architecture Decision</w:t>
      </w:r>
    </w:p>
    <w:p>
      <w:pPr>
        <w:pStyle w:val="Heading2"/>
        <w:spacing w:after="120" w:before="260"/>
      </w:pPr>
      <w:r>
        <w:t xml:space="preserve">2.1 Chosen Architecture: Three-Fact Galaxy Schema</w:t>
      </w:r>
    </w:p>
    <w:p>
      <w:pPr>
        <w:spacing w:after="160"/>
      </w:pPr>
      <w:r>
        <w:rPr>
          <w:rFonts w:ascii="Calibri" w:cs="Calibri" w:eastAsia="Calibri" w:hAnsi="Calibri"/>
          <w:sz w:val="22"/>
          <w:szCs w:val="22"/>
        </w:rPr>
        <w:t xml:space="preserve">Rather than a single, pure star schema, the model was built as a galaxy schema (also called a fact constellation) with three fact tables sharing a set of conformed dimensions:</w:t>
      </w:r>
    </w:p>
    <w:p>
      <w:pPr>
        <w:pStyle w:val="ListParagraph"/>
        <w:numPr>
          <w:ilvl w:val="0"/>
          <w:numId w:val="1"/>
        </w:numPr>
        <w:spacing w:after="100"/>
      </w:pPr>
      <w:r>
        <w:rPr>
          <w:rFonts w:ascii="Calibri" w:cs="Calibri" w:eastAsia="Calibri" w:hAnsi="Calibri"/>
          <w:sz w:val="22"/>
          <w:szCs w:val="22"/>
        </w:rPr>
        <w:t xml:space="preserve">fact_orders — grain: one row per order</w:t>
      </w:r>
    </w:p>
    <w:p>
      <w:pPr>
        <w:pStyle w:val="ListParagraph"/>
        <w:numPr>
          <w:ilvl w:val="0"/>
          <w:numId w:val="1"/>
        </w:numPr>
        <w:spacing w:after="100"/>
      </w:pPr>
      <w:r>
        <w:rPr>
          <w:rFonts w:ascii="Calibri" w:cs="Calibri" w:eastAsia="Calibri" w:hAnsi="Calibri"/>
          <w:sz w:val="22"/>
          <w:szCs w:val="22"/>
        </w:rPr>
        <w:t xml:space="preserve">fact_order_items — grain: one row per order line item (product within an order)</w:t>
      </w:r>
    </w:p>
    <w:p>
      <w:pPr>
        <w:pStyle w:val="ListParagraph"/>
        <w:numPr>
          <w:ilvl w:val="0"/>
          <w:numId w:val="1"/>
        </w:numPr>
        <w:spacing w:after="100"/>
      </w:pPr>
      <w:r>
        <w:rPr>
          <w:rFonts w:ascii="Calibri" w:cs="Calibri" w:eastAsia="Calibri" w:hAnsi="Calibri"/>
          <w:sz w:val="22"/>
          <w:szCs w:val="22"/>
        </w:rPr>
        <w:t xml:space="preserve">fact_payments — grain: one row per payment installment</w:t>
      </w:r>
    </w:p>
    <w:p>
      <w:pPr>
        <w:spacing w:after="160"/>
      </w:pPr>
      <w:r>
        <w:rPr>
          <w:rFonts w:ascii="Calibri" w:cs="Calibri" w:eastAsia="Calibri" w:hAnsi="Calibri"/>
          <w:sz w:val="22"/>
          <w:szCs w:val="22"/>
        </w:rPr>
        <w:t xml:space="preserve">Shared conformed dimensions — dim_date and dim_customer — connect to all three fact tables, allowing consistent filtering and slicing across revenue, item-level, and payment-level analysis. dim_product connects to fact_order_items only, since product detail does not exist at the order or payment grain.</w:t>
      </w:r>
    </w:p>
    <w:p>
      <w:pPr>
        <w:pStyle w:val="Heading2"/>
        <w:spacing w:after="120" w:before="260"/>
      </w:pPr>
      <w:r>
        <w:t xml:space="preserve">2.2 Why Not a Single Star Schema</w:t>
      </w:r>
    </w:p>
    <w:p>
      <w:pPr>
        <w:spacing w:after="160"/>
      </w:pPr>
      <w:r>
        <w:rPr>
          <w:rFonts w:ascii="Calibri" w:cs="Calibri" w:eastAsia="Calibri" w:hAnsi="Calibri"/>
          <w:sz w:val="22"/>
          <w:szCs w:val="22"/>
        </w:rPr>
        <w:t xml:space="preserve">The Business Understanding phase defined revenue using payment_value (order-payment grain), while product category and pricing analysis depends on price (order-item grain). These two fields do not share a grain: an order can have multiple payment installments and multiple line items, and the totals do not reconcile to the cent (see Section 6, Known Revenue Variance). Forcing both into a single fact table would require pre-aggregating one side, which risks double-counting revenue when joined to order_items, or losing item-level product detail when joined to payments.</w:t>
      </w:r>
    </w:p>
    <w:p>
      <w:pPr>
        <w:spacing w:after="160"/>
      </w:pPr>
      <w:r>
        <w:rPr>
          <w:rFonts w:ascii="Calibri" w:cs="Calibri" w:eastAsia="Calibri" w:hAnsi="Calibri"/>
          <w:sz w:val="22"/>
          <w:szCs w:val="22"/>
        </w:rPr>
        <w:t xml:space="preserve">Splitting the grain into three fact tables avoids this trap entirely: each fact table answers the questions it is structurally suited for, and no visual in Power BI mixes incompatible grains without an explicit, intentional design choice.</w:t>
      </w:r>
    </w:p>
    <w:p>
      <w:pPr>
        <w:pStyle w:val="Heading1"/>
        <w:spacing w:after="160" w:before="360"/>
      </w:pPr>
      <w:r>
        <w:t xml:space="preserve">3. Entity Relationship Diagram</w:t>
      </w:r>
    </w:p>
    <w:p>
      <w:pPr>
        <w:spacing w:after="160"/>
      </w:pPr>
      <w:r>
        <w:rPr>
          <w:rFonts w:ascii="Calibri" w:cs="Calibri" w:eastAsia="Calibri" w:hAnsi="Calibri"/>
          <w:sz w:val="22"/>
          <w:szCs w:val="22"/>
        </w:rPr>
        <w:t xml:space="preserve">The diagram below summarizes the galaxy schema. Arrows indicate single-direction filter relationships flowing from dimension tables into fact tables, consistent with Power BI star-schema best practice.</w:t>
      </w:r>
    </w:p>
    <w:p>
      <w:pPr>
        <w:spacing w:after="160"/>
      </w:pPr>
      <w:r>
        <w:rPr>
          <w:rFonts w:ascii="Calibri" w:cs="Calibri" w:eastAsia="Calibri" w:hAnsi="Calibri"/>
          <w:i/>
          <w:iCs/>
          <w:sz w:val="22"/>
          <w:szCs w:val="22"/>
        </w:rPr>
        <w:t xml:space="preserve">dim_date → fact_orders, fact_order_items, fact_payments</w:t>
      </w:r>
    </w:p>
    <w:p>
      <w:pPr>
        <w:spacing w:after="160"/>
      </w:pPr>
      <w:r>
        <w:rPr>
          <w:rFonts w:ascii="Calibri" w:cs="Calibri" w:eastAsia="Calibri" w:hAnsi="Calibri"/>
          <w:i/>
          <w:iCs/>
          <w:sz w:val="22"/>
          <w:szCs w:val="22"/>
        </w:rPr>
        <w:t xml:space="preserve">dim_customer → fact_orders, fact_order_items, fact_payments</w:t>
      </w:r>
    </w:p>
    <w:p>
      <w:pPr>
        <w:spacing w:after="160"/>
      </w:pPr>
      <w:r>
        <w:rPr>
          <w:rFonts w:ascii="Calibri" w:cs="Calibri" w:eastAsia="Calibri" w:hAnsi="Calibri"/>
          <w:i/>
          <w:iCs/>
          <w:sz w:val="22"/>
          <w:szCs w:val="22"/>
        </w:rPr>
        <w:t xml:space="preserve">dim_product → fact_order_items</w:t>
      </w:r>
    </w:p>
    <w:p>
      <w:pPr>
        <w:spacing w:after="200"/>
      </w:pPr>
      <w:r>
        <w:rPr>
          <w:rFonts w:ascii="Calibri" w:cs="Calibri" w:eastAsia="Calibri" w:hAnsi="Calibri"/>
          <w:i/>
          <w:iCs/>
          <w:sz w:val="22"/>
          <w:szCs w:val="22"/>
        </w:rPr>
        <w:t xml:space="preserve">Full Mermaid ERD source was produced alongside the SQL views and is available in the project's modeling artifacts for reference in technical documentation or the GitHub repository.</w:t>
      </w:r>
    </w:p>
    <w:p>
      <w:pPr>
        <w:pStyle w:val="Heading1"/>
        <w:spacing w:after="160" w:before="360"/>
      </w:pPr>
      <w:r>
        <w:t xml:space="preserve">4. Fact Views</w:t>
      </w:r>
    </w:p>
    <w:p>
      <w:pPr>
        <w:pStyle w:val="Heading2"/>
        <w:spacing w:after="120" w:before="260"/>
      </w:pPr>
      <w:r>
        <w:t xml:space="preserve">4.1 fact_orders</w:t>
      </w:r>
    </w:p>
    <w:p>
      <w:pPr>
        <w:spacing w:after="160"/>
      </w:pPr>
      <w:r>
        <w:rPr>
          <w:rFonts w:ascii="Calibri" w:cs="Calibri" w:eastAsia="Calibri" w:hAnsi="Calibri"/>
          <w:sz w:val="22"/>
          <w:szCs w:val="22"/>
        </w:rPr>
        <w:t xml:space="preserve">Grain: one row per order_id.</w:t>
      </w:r>
    </w:p>
    <w:p>
      <w:pPr>
        <w:spacing w:after="160"/>
      </w:pPr>
      <w:r>
        <w:rPr>
          <w:rFonts w:ascii="Calibri" w:cs="Calibri" w:eastAsia="Calibri" w:hAnsi="Calibri"/>
          <w:sz w:val="22"/>
          <w:szCs w:val="22"/>
        </w:rPr>
        <w:t xml:space="preserve">Purpose: primary source for order volume, order-level revenue (via payment aggregation), and delivery performance KPIs.</w:t>
      </w:r>
    </w:p>
    <w:p>
      <w:pPr>
        <w:pStyle w:val="ListParagraph"/>
        <w:numPr>
          <w:ilvl w:val="0"/>
          <w:numId w:val="1"/>
        </w:numPr>
        <w:spacing w:after="100"/>
      </w:pPr>
      <w:r>
        <w:rPr>
          <w:rFonts w:ascii="Calibri" w:cs="Calibri" w:eastAsia="Calibri" w:hAnsi="Calibri"/>
          <w:sz w:val="22"/>
          <w:szCs w:val="22"/>
        </w:rPr>
        <w:t xml:space="preserve">All order statuses are retained in the view; status-based filtering (e.g., restricting to ‘delivered’) is left to the BI layer, not hardcoded in SQL.</w:t>
      </w:r>
    </w:p>
    <w:p>
      <w:pPr>
        <w:pStyle w:val="ListParagraph"/>
        <w:numPr>
          <w:ilvl w:val="0"/>
          <w:numId w:val="1"/>
        </w:numPr>
        <w:spacing w:after="100"/>
      </w:pPr>
      <w:r>
        <w:rPr>
          <w:rFonts w:ascii="Calibri" w:cs="Calibri" w:eastAsia="Calibri" w:hAnsi="Calibri"/>
          <w:sz w:val="22"/>
          <w:szCs w:val="22"/>
        </w:rPr>
        <w:t xml:space="preserve">Delivery validity flags (e.g., has_valid_delivery_sequence) are computed live within the view using CASE logic against the date-sequence anomalies identified in Phase 4, rather than hardcoded exclusion lists.</w:t>
      </w:r>
    </w:p>
    <w:p>
      <w:pPr>
        <w:pStyle w:val="ListParagraph"/>
        <w:numPr>
          <w:ilvl w:val="0"/>
          <w:numId w:val="1"/>
        </w:numPr>
        <w:spacing w:after="100"/>
      </w:pPr>
      <w:r>
        <w:rPr>
          <w:rFonts w:ascii="Calibri" w:cs="Calibri" w:eastAsia="Calibri" w:hAnsi="Calibri"/>
          <w:sz w:val="22"/>
          <w:szCs w:val="22"/>
        </w:rPr>
        <w:t xml:space="preserve">Joins to dim_customer and dim_date on the order purchase date.</w:t>
      </w:r>
    </w:p>
    <w:p>
      <w:pPr>
        <w:pStyle w:val="Heading2"/>
        <w:spacing w:after="120" w:before="260"/>
      </w:pPr>
      <w:r>
        <w:t xml:space="preserve">4.2 fact_order_items</w:t>
      </w:r>
    </w:p>
    <w:p>
      <w:pPr>
        <w:spacing w:after="160"/>
      </w:pPr>
      <w:r>
        <w:rPr>
          <w:rFonts w:ascii="Calibri" w:cs="Calibri" w:eastAsia="Calibri" w:hAnsi="Calibri"/>
          <w:sz w:val="22"/>
          <w:szCs w:val="22"/>
        </w:rPr>
        <w:t xml:space="preserve">Grain: one row per order_id + order_item_id (line item).</w:t>
      </w:r>
    </w:p>
    <w:p>
      <w:pPr>
        <w:spacing w:after="160"/>
      </w:pPr>
      <w:r>
        <w:rPr>
          <w:rFonts w:ascii="Calibri" w:cs="Calibri" w:eastAsia="Calibri" w:hAnsi="Calibri"/>
          <w:sz w:val="22"/>
          <w:szCs w:val="22"/>
        </w:rPr>
        <w:t xml:space="preserve">Purpose: primary source for product category performance, item-level pricing, and freight analysis.</w:t>
      </w:r>
    </w:p>
    <w:p>
      <w:pPr>
        <w:pStyle w:val="ListParagraph"/>
        <w:numPr>
          <w:ilvl w:val="0"/>
          <w:numId w:val="1"/>
        </w:numPr>
        <w:spacing w:after="100"/>
      </w:pPr>
      <w:r>
        <w:rPr>
          <w:rFonts w:ascii="Calibri" w:cs="Calibri" w:eastAsia="Calibri" w:hAnsi="Calibri"/>
          <w:sz w:val="22"/>
          <w:szCs w:val="22"/>
        </w:rPr>
        <w:t xml:space="preserve">Joins to dim_product; the 610 products with no category resolve to ‘Uncategorized’ via COALESCE rather than being dropped, preserving their revenue contribution in category-level reporting.</w:t>
      </w:r>
    </w:p>
    <w:p>
      <w:pPr>
        <w:pStyle w:val="ListParagraph"/>
        <w:numPr>
          <w:ilvl w:val="0"/>
          <w:numId w:val="1"/>
        </w:numPr>
        <w:spacing w:after="100"/>
      </w:pPr>
      <w:r>
        <w:rPr>
          <w:rFonts w:ascii="Calibri" w:cs="Calibri" w:eastAsia="Calibri" w:hAnsi="Calibri"/>
          <w:sz w:val="22"/>
          <w:szCs w:val="22"/>
        </w:rPr>
        <w:t xml:space="preserve">Joins to dim_customer and dim_date via the parent order.</w:t>
      </w:r>
    </w:p>
    <w:p>
      <w:pPr>
        <w:pStyle w:val="Heading2"/>
        <w:spacing w:after="120" w:before="260"/>
      </w:pPr>
      <w:r>
        <w:t xml:space="preserve">4.3 fact_payments</w:t>
      </w:r>
    </w:p>
    <w:p>
      <w:pPr>
        <w:spacing w:after="160"/>
      </w:pPr>
      <w:r>
        <w:rPr>
          <w:rFonts w:ascii="Calibri" w:cs="Calibri" w:eastAsia="Calibri" w:hAnsi="Calibri"/>
          <w:sz w:val="22"/>
          <w:szCs w:val="22"/>
        </w:rPr>
        <w:t xml:space="preserve">Grain: one row per order_id + payment_sequential (payment installment).</w:t>
      </w:r>
    </w:p>
    <w:p>
      <w:pPr>
        <w:spacing w:after="160"/>
      </w:pPr>
      <w:r>
        <w:rPr>
          <w:rFonts w:ascii="Calibri" w:cs="Calibri" w:eastAsia="Calibri" w:hAnsi="Calibri"/>
          <w:sz w:val="22"/>
          <w:szCs w:val="22"/>
        </w:rPr>
        <w:t xml:space="preserve">Purpose: the authoritative source for revenue reporting, per the Business Understanding definition of revenue as payment_value.</w:t>
      </w:r>
    </w:p>
    <w:p>
      <w:pPr>
        <w:pStyle w:val="ListParagraph"/>
        <w:numPr>
          <w:ilvl w:val="0"/>
          <w:numId w:val="1"/>
        </w:numPr>
        <w:spacing w:after="100"/>
      </w:pPr>
      <w:r>
        <w:rPr>
          <w:rFonts w:ascii="Calibri" w:cs="Calibri" w:eastAsia="Calibri" w:hAnsi="Calibri"/>
          <w:sz w:val="22"/>
          <w:szCs w:val="22"/>
        </w:rPr>
        <w:t xml:space="preserve">Joins to dim_customer and dim_date via the parent order.</w:t>
      </w:r>
    </w:p>
    <w:p>
      <w:pPr>
        <w:pStyle w:val="ListParagraph"/>
        <w:numPr>
          <w:ilvl w:val="0"/>
          <w:numId w:val="1"/>
        </w:numPr>
        <w:spacing w:after="100"/>
      </w:pPr>
      <w:r>
        <w:rPr>
          <w:rFonts w:ascii="Calibri" w:cs="Calibri" w:eastAsia="Calibri" w:hAnsi="Calibri"/>
          <w:sz w:val="22"/>
          <w:szCs w:val="22"/>
        </w:rPr>
        <w:t xml:space="preserve">payment_type and payment_installments are retained at native grain to support Finance's payment-method breakdown KPI.</w:t>
      </w:r>
    </w:p>
    <w:p>
      <w:pPr>
        <w:pStyle w:val="Heading1"/>
        <w:spacing w:after="160" w:before="360"/>
      </w:pPr>
      <w:r>
        <w:t xml:space="preserve">5. Dimension Views</w:t>
      </w:r>
    </w:p>
    <w:p>
      <w:pPr>
        <w:pStyle w:val="Heading2"/>
        <w:spacing w:after="120" w:before="260"/>
      </w:pPr>
      <w:r>
        <w:t xml:space="preserve">5.1 dim_date</w:t>
      </w:r>
    </w:p>
    <w:p>
      <w:pPr>
        <w:spacing w:after="160"/>
      </w:pPr>
      <w:r>
        <w:rPr>
          <w:rFonts w:ascii="Calibri" w:cs="Calibri" w:eastAsia="Calibri" w:hAnsi="Calibri"/>
          <w:sz w:val="22"/>
          <w:szCs w:val="22"/>
        </w:rPr>
        <w:t xml:space="preserve">A conformed calendar dimension spanning the full range of dates referenced across all order lifecycle fields (purchase, approval, carrier handoff, customer delivery, and estimated delivery), not just order_purchase_timestamp.</w:t>
      </w:r>
    </w:p>
    <w:p>
      <w:pPr>
        <w:pStyle w:val="ListParagraph"/>
        <w:numPr>
          <w:ilvl w:val="0"/>
          <w:numId w:val="1"/>
        </w:numPr>
        <w:spacing w:after="100"/>
      </w:pPr>
      <w:r>
        <w:rPr>
          <w:rFonts w:ascii="Calibri" w:cs="Calibri" w:eastAsia="Calibri" w:hAnsi="Calibri"/>
          <w:sz w:val="22"/>
          <w:szCs w:val="22"/>
        </w:rPr>
        <w:t xml:space="preserve">Validated at 800 rows, confirmed to fully cover the minimum and maximum dates across all five order date fields — preventing orphaned dates (blank/“Unknown” categories) in any delivery-time-over-date visual.</w:t>
      </w:r>
    </w:p>
    <w:p>
      <w:pPr>
        <w:pStyle w:val="ListParagraph"/>
        <w:numPr>
          <w:ilvl w:val="0"/>
          <w:numId w:val="1"/>
        </w:numPr>
        <w:spacing w:after="100"/>
      </w:pPr>
      <w:r>
        <w:rPr>
          <w:rFonts w:ascii="Calibri" w:cs="Calibri" w:eastAsia="Calibri" w:hAnsi="Calibri"/>
          <w:sz w:val="22"/>
          <w:szCs w:val="22"/>
        </w:rPr>
        <w:t xml:space="preserve">Supports standard calendar attributes (year, month, month name, quarter, day of week) for sales trend and seasonality analysis.</w:t>
      </w:r>
    </w:p>
    <w:p>
      <w:pPr>
        <w:pStyle w:val="Heading2"/>
        <w:spacing w:after="120" w:before="260"/>
      </w:pPr>
      <w:r>
        <w:t xml:space="preserve">5.2 dim_customer</w:t>
      </w:r>
    </w:p>
    <w:p>
      <w:pPr>
        <w:spacing w:after="160"/>
      </w:pPr>
      <w:r>
        <w:rPr>
          <w:rFonts w:ascii="Calibri" w:cs="Calibri" w:eastAsia="Calibri" w:hAnsi="Calibri"/>
          <w:sz w:val="22"/>
          <w:szCs w:val="22"/>
        </w:rPr>
        <w:t xml:space="preserve">Grain: customer_id (order-scoped), matching the 1:1 relationship between customer_id and fact_orders.</w:t>
      </w:r>
    </w:p>
    <w:p>
      <w:pPr>
        <w:pStyle w:val="ListParagraph"/>
        <w:numPr>
          <w:ilvl w:val="0"/>
          <w:numId w:val="1"/>
        </w:numPr>
        <w:spacing w:after="100"/>
      </w:pPr>
      <w:r>
        <w:rPr>
          <w:rFonts w:ascii="Calibri" w:cs="Calibri" w:eastAsia="Calibri" w:hAnsi="Calibri"/>
          <w:sz w:val="22"/>
          <w:szCs w:val="22"/>
        </w:rPr>
        <w:t xml:space="preserve">This is a deliberate grain choice, documented for traceability: customer_id is generated per order, while customer_unique_id is the true person-level identifier. Modeling at the order-scoped grain keeps the relationship to fact_orders clean (1:1) and avoids fan-out.</w:t>
      </w:r>
    </w:p>
    <w:p>
      <w:pPr>
        <w:pStyle w:val="ListParagraph"/>
        <w:numPr>
          <w:ilvl w:val="0"/>
          <w:numId w:val="1"/>
        </w:numPr>
        <w:spacing w:after="100"/>
      </w:pPr>
      <w:r>
        <w:rPr>
          <w:rFonts w:ascii="Calibri" w:cs="Calibri" w:eastAsia="Calibri" w:hAnsi="Calibri"/>
          <w:sz w:val="22"/>
          <w:szCs w:val="22"/>
        </w:rPr>
        <w:t xml:space="preserve">Any future ‘unique customer count’ or repeat-purchase KPI must aggregate on customer_unique_id (carried as an attribute in the dimension) rather than customer_id, to avoid overcounting — flagged here so it is not misapplied downstream.</w:t>
      </w:r>
    </w:p>
    <w:p>
      <w:pPr>
        <w:pStyle w:val="ListParagraph"/>
        <w:numPr>
          <w:ilvl w:val="0"/>
          <w:numId w:val="1"/>
        </w:numPr>
        <w:spacing w:after="100"/>
      </w:pPr>
      <w:r>
        <w:rPr>
          <w:rFonts w:ascii="Calibri" w:cs="Calibri" w:eastAsia="Calibri" w:hAnsi="Calibri"/>
          <w:sz w:val="22"/>
          <w:szCs w:val="22"/>
        </w:rPr>
        <w:t xml:space="preserve">Includes customer_city and customer_state for demand-side geographic reporting (Objective 3).</w:t>
      </w:r>
    </w:p>
    <w:p>
      <w:pPr>
        <w:pStyle w:val="Heading2"/>
        <w:spacing w:after="120" w:before="260"/>
      </w:pPr>
      <w:r>
        <w:t xml:space="preserve">5.3 dim_product</w:t>
      </w:r>
    </w:p>
    <w:p>
      <w:pPr>
        <w:spacing w:after="160"/>
      </w:pPr>
      <w:r>
        <w:rPr>
          <w:rFonts w:ascii="Calibri" w:cs="Calibri" w:eastAsia="Calibri" w:hAnsi="Calibri"/>
          <w:sz w:val="22"/>
          <w:szCs w:val="22"/>
        </w:rPr>
        <w:t xml:space="preserve">Grain: product_id.</w:t>
      </w:r>
    </w:p>
    <w:p>
      <w:pPr>
        <w:pStyle w:val="ListParagraph"/>
        <w:numPr>
          <w:ilvl w:val="0"/>
          <w:numId w:val="1"/>
        </w:numPr>
        <w:spacing w:after="100"/>
      </w:pPr>
      <w:r>
        <w:rPr>
          <w:rFonts w:ascii="Calibri" w:cs="Calibri" w:eastAsia="Calibri" w:hAnsi="Calibri"/>
          <w:sz w:val="22"/>
          <w:szCs w:val="22"/>
        </w:rPr>
        <w:t xml:space="preserve">Joined to the product_category_name_translation lookup to resolve English category names; the two categories missing from the translation table (pc_gamer, portateis_cozinha_e_preparadores_de_alimentos) were added in Phase 4 and resolve correctly here.</w:t>
      </w:r>
    </w:p>
    <w:p>
      <w:pPr>
        <w:pStyle w:val="ListParagraph"/>
        <w:numPr>
          <w:ilvl w:val="0"/>
          <w:numId w:val="1"/>
        </w:numPr>
        <w:spacing w:after="100"/>
      </w:pPr>
      <w:r>
        <w:rPr>
          <w:rFonts w:ascii="Calibri" w:cs="Calibri" w:eastAsia="Calibri" w:hAnsi="Calibri"/>
          <w:sz w:val="22"/>
          <w:szCs w:val="22"/>
        </w:rPr>
        <w:t xml:space="preserve">The 610 products with no source category resolve to ‘Uncategorized’ via COALESCE, ensuring their sales are visible in category-level reporting rather than silently excluded.</w:t>
      </w:r>
    </w:p>
    <w:p>
      <w:pPr>
        <w:pStyle w:val="Heading1"/>
        <w:spacing w:after="160" w:before="360"/>
      </w:pPr>
      <w:r>
        <w:t xml:space="preserve">6. Documented Modeling Decisions</w:t>
      </w:r>
    </w:p>
    <w:p>
      <w:pPr>
        <w:spacing w:after="160"/>
      </w:pPr>
      <w:r>
        <w:rPr>
          <w:rFonts w:ascii="Calibri" w:cs="Calibri" w:eastAsia="Calibri" w:hAnsi="Calibri"/>
          <w:sz w:val="22"/>
          <w:szCs w:val="22"/>
        </w:rPr>
        <w:t xml:space="preserve">The following decisions were made deliberately during this phase and are logged here for traceability, consistent with the project's documentation principles.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00"/>
      </w:tblGrid>
      <w:tr>
        <w:trPr>
          <w:tblHeader/>
        </w:trPr>
        <w:tc>
          <w:tcPr>
            <w:tcW w:type="dxa" w:w="2000"/>
            <w:shd w:fill="2F5496" w:val="clear"/>
          </w:tcPr>
          <w:p>
            <w:pPr>
              <w:spacing w:after="40" w:before="40"/>
            </w:pPr>
            <w:r>
              <w:rPr>
                <w:rFonts w:ascii="Calibri" w:cs="Calibri" w:eastAsia="Calibri" w:hAnsi="Calibri"/>
                <w:b/>
                <w:bCs/>
                <w:color w:val="FFFFFF"/>
                <w:sz w:val="20"/>
                <w:szCs w:val="20"/>
              </w:rPr>
              <w:t xml:space="preserve">Decision</w:t>
            </w:r>
          </w:p>
        </w:tc>
        <w:tc>
          <w:tcPr>
            <w:tcW w:type="dxa" w:w="3600"/>
            <w:shd w:fill="2F5496" w:val="clear"/>
          </w:tcPr>
          <w:p>
            <w:pPr>
              <w:spacing w:after="40" w:before="40"/>
            </w:pPr>
            <w:r>
              <w:rPr>
                <w:rFonts w:ascii="Calibri" w:cs="Calibri" w:eastAsia="Calibri" w:hAnsi="Calibri"/>
                <w:b/>
                <w:bCs/>
                <w:color w:val="FFFFFF"/>
                <w:sz w:val="20"/>
                <w:szCs w:val="20"/>
              </w:rPr>
              <w:t xml:space="preserve">What Was Chosen</w:t>
            </w:r>
          </w:p>
        </w:tc>
        <w:tc>
          <w:tcPr>
            <w:tcW w:type="dxa" w:w="3800"/>
            <w:shd w:fill="2F5496" w:val="clear"/>
          </w:tcPr>
          <w:p>
            <w:pPr>
              <w:spacing w:after="40" w:before="40"/>
            </w:pPr>
            <w:r>
              <w:rPr>
                <w:rFonts w:ascii="Calibri" w:cs="Calibri" w:eastAsia="Calibri" w:hAnsi="Calibri"/>
                <w:b/>
                <w:bCs/>
                <w:color w:val="FFFFFF"/>
                <w:sz w:val="20"/>
                <w:szCs w:val="20"/>
              </w:rPr>
              <w:t xml:space="preserve">Why</w:t>
            </w:r>
          </w:p>
        </w:tc>
      </w:tr>
      <w:tr>
        <w:tc>
          <w:tcPr>
            <w:tcW w:type="dxa" w:w="2000"/>
          </w:tcPr>
          <w:p>
            <w:pPr>
              <w:spacing w:after="40" w:before="40"/>
            </w:pPr>
            <w:r>
              <w:rPr>
                <w:rFonts w:ascii="Calibri" w:cs="Calibri" w:eastAsia="Calibri" w:hAnsi="Calibri"/>
                <w:sz w:val="20"/>
                <w:szCs w:val="20"/>
              </w:rPr>
              <w:t xml:space="preserve">Fact grain split</w:t>
            </w:r>
          </w:p>
        </w:tc>
        <w:tc>
          <w:tcPr>
            <w:tcW w:type="dxa" w:w="3600"/>
          </w:tcPr>
          <w:p>
            <w:pPr>
              <w:spacing w:after="40" w:before="40"/>
            </w:pPr>
            <w:r>
              <w:rPr>
                <w:rFonts w:ascii="Calibri" w:cs="Calibri" w:eastAsia="Calibri" w:hAnsi="Calibri"/>
                <w:sz w:val="20"/>
                <w:szCs w:val="20"/>
              </w:rPr>
              <w:t xml:space="preserve">Three separate fact tables (orders, order_items, payments) instead of one.</w:t>
            </w:r>
          </w:p>
        </w:tc>
        <w:tc>
          <w:tcPr>
            <w:tcW w:type="dxa" w:w="3800"/>
          </w:tcPr>
          <w:p>
            <w:pPr>
              <w:spacing w:after="40" w:before="40"/>
            </w:pPr>
            <w:r>
              <w:rPr>
                <w:rFonts w:ascii="Calibri" w:cs="Calibri" w:eastAsia="Calibri" w:hAnsi="Calibri"/>
                <w:sz w:val="20"/>
                <w:szCs w:val="20"/>
              </w:rPr>
              <w:t xml:space="preserve">payment_value (order grain) and price (item grain) do not reconcile 1:1; merging them risks double-counted or misleading revenue aggregation.</w:t>
            </w:r>
          </w:p>
        </w:tc>
      </w:tr>
      <w:tr>
        <w:tc>
          <w:tcPr>
            <w:tcW w:type="dxa" w:w="2000"/>
            <w:shd w:fill="F2F2F2" w:val="clear"/>
          </w:tcPr>
          <w:p>
            <w:pPr>
              <w:spacing w:after="40" w:before="40"/>
            </w:pPr>
            <w:r>
              <w:rPr>
                <w:rFonts w:ascii="Calibri" w:cs="Calibri" w:eastAsia="Calibri" w:hAnsi="Calibri"/>
                <w:sz w:val="20"/>
                <w:szCs w:val="20"/>
              </w:rPr>
              <w:t xml:space="preserve">Known revenue variance</w:t>
            </w:r>
          </w:p>
        </w:tc>
        <w:tc>
          <w:tcPr>
            <w:tcW w:type="dxa" w:w="3600"/>
            <w:shd w:fill="F2F2F2" w:val="clear"/>
          </w:tcPr>
          <w:p>
            <w:pPr>
              <w:spacing w:after="40" w:before="40"/>
            </w:pPr>
            <w:r>
              <w:rPr>
                <w:rFonts w:ascii="Calibri" w:cs="Calibri" w:eastAsia="Calibri" w:hAnsi="Calibri"/>
                <w:sz w:val="20"/>
                <w:szCs w:val="20"/>
              </w:rPr>
              <w:t xml:space="preserve">~183 BRL/order average variance between SUM(payment_value) and SUM(price + freight) is expected and left unadjusted.</w:t>
            </w:r>
          </w:p>
        </w:tc>
        <w:tc>
          <w:tcPr>
            <w:tcW w:type="dxa" w:w="3800"/>
            <w:shd w:fill="F2F2F2" w:val="clear"/>
          </w:tcPr>
          <w:p>
            <w:pPr>
              <w:spacing w:after="40" w:before="40"/>
            </w:pPr>
            <w:r>
              <w:rPr>
                <w:rFonts w:ascii="Calibri" w:cs="Calibri" w:eastAsia="Calibri" w:hAnsi="Calibri"/>
                <w:sz w:val="20"/>
                <w:szCs w:val="20"/>
              </w:rPr>
              <w:t xml:space="preserve">Identified and accepted in Phase 4 as plausible installment/bank fee variance, not a data error. Documented so it is not mistaken for a bug in Phase 6 or Phase 7.</w:t>
            </w:r>
          </w:p>
        </w:tc>
      </w:tr>
      <w:tr>
        <w:tc>
          <w:tcPr>
            <w:tcW w:type="dxa" w:w="2000"/>
          </w:tcPr>
          <w:p>
            <w:pPr>
              <w:spacing w:after="40" w:before="40"/>
            </w:pPr>
            <w:r>
              <w:rPr>
                <w:rFonts w:ascii="Calibri" w:cs="Calibri" w:eastAsia="Calibri" w:hAnsi="Calibri"/>
                <w:sz w:val="20"/>
                <w:szCs w:val="20"/>
              </w:rPr>
              <w:t xml:space="preserve">dim_customer grain</w:t>
            </w:r>
          </w:p>
        </w:tc>
        <w:tc>
          <w:tcPr>
            <w:tcW w:type="dxa" w:w="3600"/>
          </w:tcPr>
          <w:p>
            <w:pPr>
              <w:spacing w:after="40" w:before="40"/>
            </w:pPr>
            <w:r>
              <w:rPr>
                <w:rFonts w:ascii="Calibri" w:cs="Calibri" w:eastAsia="Calibri" w:hAnsi="Calibri"/>
                <w:sz w:val="20"/>
                <w:szCs w:val="20"/>
              </w:rPr>
              <w:t xml:space="preserve">customer_id (order-scoped), not customer_unique_id.</w:t>
            </w:r>
          </w:p>
        </w:tc>
        <w:tc>
          <w:tcPr>
            <w:tcW w:type="dxa" w:w="3800"/>
          </w:tcPr>
          <w:p>
            <w:pPr>
              <w:spacing w:after="40" w:before="40"/>
            </w:pPr>
            <w:r>
              <w:rPr>
                <w:rFonts w:ascii="Calibri" w:cs="Calibri" w:eastAsia="Calibri" w:hAnsi="Calibri"/>
                <w:sz w:val="20"/>
                <w:szCs w:val="20"/>
              </w:rPr>
              <w:t xml:space="preserve">Matches the 1:1 grain of fact_orders; avoids fan-out. customer_unique_id retained as an attribute for repeat-customer analysis when needed.</w:t>
            </w:r>
          </w:p>
        </w:tc>
      </w:tr>
      <w:tr>
        <w:tc>
          <w:tcPr>
            <w:tcW w:type="dxa" w:w="2000"/>
            <w:shd w:fill="F2F2F2" w:val="clear"/>
          </w:tcPr>
          <w:p>
            <w:pPr>
              <w:spacing w:after="40" w:before="40"/>
            </w:pPr>
            <w:r>
              <w:rPr>
                <w:rFonts w:ascii="Calibri" w:cs="Calibri" w:eastAsia="Calibri" w:hAnsi="Calibri"/>
                <w:sz w:val="20"/>
                <w:szCs w:val="20"/>
              </w:rPr>
              <w:t xml:space="preserve">Uncategorized products</w:t>
            </w:r>
          </w:p>
        </w:tc>
        <w:tc>
          <w:tcPr>
            <w:tcW w:type="dxa" w:w="3600"/>
            <w:shd w:fill="F2F2F2" w:val="clear"/>
          </w:tcPr>
          <w:p>
            <w:pPr>
              <w:spacing w:after="40" w:before="40"/>
            </w:pPr>
            <w:r>
              <w:rPr>
                <w:rFonts w:ascii="Calibri" w:cs="Calibri" w:eastAsia="Calibri" w:hAnsi="Calibri"/>
                <w:sz w:val="20"/>
                <w:szCs w:val="20"/>
              </w:rPr>
              <w:t xml:space="preserve">610 products with no category resolved via COALESCE to ‘Uncategorized’ rather than dropped.</w:t>
            </w:r>
          </w:p>
        </w:tc>
        <w:tc>
          <w:tcPr>
            <w:tcW w:type="dxa" w:w="3800"/>
            <w:shd w:fill="F2F2F2" w:val="clear"/>
          </w:tcPr>
          <w:p>
            <w:pPr>
              <w:spacing w:after="40" w:before="40"/>
            </w:pPr>
            <w:r>
              <w:rPr>
                <w:rFonts w:ascii="Calibri" w:cs="Calibri" w:eastAsia="Calibri" w:hAnsi="Calibri"/>
                <w:sz w:val="20"/>
                <w:szCs w:val="20"/>
              </w:rPr>
              <w:t xml:space="preserve">Preserves revenue visibility for category-level KPIs; avoids silently excluding legitimate sales.</w:t>
            </w:r>
          </w:p>
        </w:tc>
      </w:tr>
      <w:tr>
        <w:tc>
          <w:tcPr>
            <w:tcW w:type="dxa" w:w="2000"/>
          </w:tcPr>
          <w:p>
            <w:pPr>
              <w:spacing w:after="40" w:before="40"/>
            </w:pPr>
            <w:r>
              <w:rPr>
                <w:rFonts w:ascii="Calibri" w:cs="Calibri" w:eastAsia="Calibri" w:hAnsi="Calibri"/>
                <w:sz w:val="20"/>
                <w:szCs w:val="20"/>
              </w:rPr>
              <w:t xml:space="preserve">Delivery validity flags</w:t>
            </w:r>
          </w:p>
        </w:tc>
        <w:tc>
          <w:tcPr>
            <w:tcW w:type="dxa" w:w="3600"/>
          </w:tcPr>
          <w:p>
            <w:pPr>
              <w:spacing w:after="40" w:before="40"/>
            </w:pPr>
            <w:r>
              <w:rPr>
                <w:rFonts w:ascii="Calibri" w:cs="Calibri" w:eastAsia="Calibri" w:hAnsi="Calibri"/>
                <w:sz w:val="20"/>
                <w:szCs w:val="20"/>
              </w:rPr>
              <w:t xml:space="preserve">Computed live in SQL via CASE logic, not hardcoded exclusion lists.</w:t>
            </w:r>
          </w:p>
        </w:tc>
        <w:tc>
          <w:tcPr>
            <w:tcW w:type="dxa" w:w="3800"/>
          </w:tcPr>
          <w:p>
            <w:pPr>
              <w:spacing w:after="40" w:before="40"/>
            </w:pPr>
            <w:r>
              <w:rPr>
                <w:rFonts w:ascii="Calibri" w:cs="Calibri" w:eastAsia="Calibri" w:hAnsi="Calibri"/>
                <w:sz w:val="20"/>
                <w:szCs w:val="20"/>
              </w:rPr>
              <w:t xml:space="preserve">Keeps the view logic transparent and re-runnable if the underlying data changes; avoids brittle hardcoded order_id lists.</w:t>
            </w:r>
          </w:p>
        </w:tc>
      </w:tr>
      <w:tr>
        <w:tc>
          <w:tcPr>
            <w:tcW w:type="dxa" w:w="2000"/>
            <w:shd w:fill="F2F2F2" w:val="clear"/>
          </w:tcPr>
          <w:p>
            <w:pPr>
              <w:spacing w:after="40" w:before="40"/>
            </w:pPr>
            <w:r>
              <w:rPr>
                <w:rFonts w:ascii="Calibri" w:cs="Calibri" w:eastAsia="Calibri" w:hAnsi="Calibri"/>
                <w:sz w:val="20"/>
                <w:szCs w:val="20"/>
              </w:rPr>
              <w:t xml:space="preserve">Order status filtering</w:t>
            </w:r>
          </w:p>
        </w:tc>
        <w:tc>
          <w:tcPr>
            <w:tcW w:type="dxa" w:w="3600"/>
            <w:shd w:fill="F2F2F2" w:val="clear"/>
          </w:tcPr>
          <w:p>
            <w:pPr>
              <w:spacing w:after="40" w:before="40"/>
            </w:pPr>
            <w:r>
              <w:rPr>
                <w:rFonts w:ascii="Calibri" w:cs="Calibri" w:eastAsia="Calibri" w:hAnsi="Calibri"/>
                <w:sz w:val="20"/>
                <w:szCs w:val="20"/>
              </w:rPr>
              <w:t xml:space="preserve">All statuses retained in fact views; ‘delivered-only’ scoping deferred to the BI layer.</w:t>
            </w:r>
          </w:p>
        </w:tc>
        <w:tc>
          <w:tcPr>
            <w:tcW w:type="dxa" w:w="3800"/>
            <w:shd w:fill="F2F2F2" w:val="clear"/>
          </w:tcPr>
          <w:p>
            <w:pPr>
              <w:spacing w:after="40" w:before="40"/>
            </w:pPr>
            <w:r>
              <w:rPr>
                <w:rFonts w:ascii="Calibri" w:cs="Calibri" w:eastAsia="Calibri" w:hAnsi="Calibri"/>
                <w:sz w:val="20"/>
                <w:szCs w:val="20"/>
              </w:rPr>
              <w:t xml:space="preserve">Preserves flexibility — different KPIs (e.g., cancellation rate) may need non-delivered orders even though revenue/delivery KPIs are scoped to delivered.</w:t>
            </w:r>
          </w:p>
        </w:tc>
      </w:tr>
      <w:tr>
        <w:tc>
          <w:tcPr>
            <w:tcW w:type="dxa" w:w="2000"/>
          </w:tcPr>
          <w:p>
            <w:pPr>
              <w:spacing w:after="40" w:before="40"/>
            </w:pPr>
            <w:r>
              <w:rPr>
                <w:rFonts w:ascii="Calibri" w:cs="Calibri" w:eastAsia="Calibri" w:hAnsi="Calibri"/>
                <w:sz w:val="20"/>
                <w:szCs w:val="20"/>
              </w:rPr>
              <w:t xml:space="preserve">Relationship direction</w:t>
            </w:r>
          </w:p>
        </w:tc>
        <w:tc>
          <w:tcPr>
            <w:tcW w:type="dxa" w:w="3600"/>
          </w:tcPr>
          <w:p>
            <w:pPr>
              <w:spacing w:after="40" w:before="40"/>
            </w:pPr>
            <w:r>
              <w:rPr>
                <w:rFonts w:ascii="Calibri" w:cs="Calibri" w:eastAsia="Calibri" w:hAnsi="Calibri"/>
                <w:sz w:val="20"/>
                <w:szCs w:val="20"/>
              </w:rPr>
              <w:t xml:space="preserve">Single-direction filter relationships, dimension → fact only.</w:t>
            </w:r>
          </w:p>
        </w:tc>
        <w:tc>
          <w:tcPr>
            <w:tcW w:type="dxa" w:w="3800"/>
          </w:tcPr>
          <w:p>
            <w:pPr>
              <w:spacing w:after="40" w:before="40"/>
            </w:pPr>
            <w:r>
              <w:rPr>
                <w:rFonts w:ascii="Calibri" w:cs="Calibri" w:eastAsia="Calibri" w:hAnsi="Calibri"/>
                <w:sz w:val="20"/>
                <w:szCs w:val="20"/>
              </w:rPr>
              <w:t xml:space="preserve">Power BI best practice; avoids ambiguous bi-directional filter propagation across the three fact tables sharing conformed dimensions.</w:t>
            </w:r>
          </w:p>
        </w:tc>
      </w:tr>
      <w:tr>
        <w:tc>
          <w:tcPr>
            <w:tcW w:type="dxa" w:w="2000"/>
            <w:shd w:fill="F2F2F2" w:val="clear"/>
          </w:tcPr>
          <w:p>
            <w:pPr>
              <w:spacing w:after="40" w:before="40"/>
            </w:pPr>
            <w:r>
              <w:rPr>
                <w:rFonts w:ascii="Calibri" w:cs="Calibri" w:eastAsia="Calibri" w:hAnsi="Calibri"/>
                <w:sz w:val="20"/>
                <w:szCs w:val="20"/>
              </w:rPr>
              <w:t xml:space="preserve">Excluded from model</w:t>
            </w:r>
          </w:p>
        </w:tc>
        <w:tc>
          <w:tcPr>
            <w:tcW w:type="dxa" w:w="3600"/>
            <w:shd w:fill="F2F2F2" w:val="clear"/>
          </w:tcPr>
          <w:p>
            <w:pPr>
              <w:spacing w:after="40" w:before="40"/>
            </w:pPr>
            <w:r>
              <w:rPr>
                <w:rFonts w:ascii="Calibri" w:cs="Calibri" w:eastAsia="Calibri" w:hAnsi="Calibri"/>
                <w:sz w:val="20"/>
                <w:szCs w:val="20"/>
              </w:rPr>
              <w:t xml:space="preserve">Seller data, order reviews, and the geolocation table are excluded from the data model.</w:t>
            </w:r>
          </w:p>
        </w:tc>
        <w:tc>
          <w:tcPr>
            <w:tcW w:type="dxa" w:w="3800"/>
            <w:shd w:fill="F2F2F2" w:val="clear"/>
          </w:tcPr>
          <w:p>
            <w:pPr>
              <w:spacing w:after="40" w:before="40"/>
            </w:pPr>
            <w:r>
              <w:rPr>
                <w:rFonts w:ascii="Calibri" w:cs="Calibri" w:eastAsia="Calibri" w:hAnsi="Calibri"/>
                <w:sz w:val="20"/>
                <w:szCs w:val="20"/>
              </w:rPr>
              <w:t xml:space="preserve">Consistent with scope decisions from Business Understanding (customer-side geography only, customer satisfaction out of scope) and Phase 4 cleaning boundaries.</w:t>
            </w:r>
          </w:p>
        </w:tc>
      </w:tr>
    </w:tbl>
    <w:p>
      <w:pPr>
        <w:pStyle w:val="Heading1"/>
        <w:spacing w:after="160" w:before="360"/>
      </w:pPr>
      <w:r>
        <w:t xml:space="preserve">7. Data Dictionary Summary</w:t>
      </w:r>
    </w:p>
    <w:p>
      <w:pPr>
        <w:spacing w:after="160"/>
      </w:pPr>
      <w:r>
        <w:rPr>
          <w:rFonts w:ascii="Calibri" w:cs="Calibri" w:eastAsia="Calibri" w:hAnsi="Calibri"/>
          <w:sz w:val="22"/>
          <w:szCs w:val="22"/>
        </w:rPr>
        <w:t xml:space="preserve">A high-level summary of each view is provided below. A fully expanded field-by-field data dictionary for the dimension views is available as a supplementary artifact and can be produced on request.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400"/>
        <w:gridCol w:w="2000"/>
      </w:tblGrid>
      <w:tr>
        <w:trPr>
          <w:tblHeader/>
        </w:trPr>
        <w:tc>
          <w:tcPr>
            <w:tcW w:type="dxa" w:w="2600"/>
            <w:shd w:fill="2F5496" w:val="clear"/>
          </w:tcPr>
          <w:p>
            <w:pPr>
              <w:spacing w:after="40" w:before="40"/>
            </w:pPr>
            <w:r>
              <w:rPr>
                <w:rFonts w:ascii="Calibri" w:cs="Calibri" w:eastAsia="Calibri" w:hAnsi="Calibri"/>
                <w:b/>
                <w:bCs/>
                <w:color w:val="FFFFFF"/>
                <w:sz w:val="20"/>
                <w:szCs w:val="20"/>
              </w:rPr>
              <w:t xml:space="preserve">View</w:t>
            </w:r>
          </w:p>
        </w:tc>
        <w:tc>
          <w:tcPr>
            <w:tcW w:type="dxa" w:w="3400"/>
            <w:shd w:fill="2F5496" w:val="clear"/>
          </w:tcPr>
          <w:p>
            <w:pPr>
              <w:spacing w:after="40" w:before="40"/>
            </w:pPr>
            <w:r>
              <w:rPr>
                <w:rFonts w:ascii="Calibri" w:cs="Calibri" w:eastAsia="Calibri" w:hAnsi="Calibri"/>
                <w:b/>
                <w:bCs/>
                <w:color w:val="FFFFFF"/>
                <w:sz w:val="20"/>
                <w:szCs w:val="20"/>
              </w:rPr>
              <w:t xml:space="preserve">Type / Grain</w:t>
            </w:r>
          </w:p>
        </w:tc>
        <w:tc>
          <w:tcPr>
            <w:tcW w:type="dxa" w:w="2400"/>
            <w:shd w:fill="2F5496" w:val="clear"/>
          </w:tcPr>
          <w:p>
            <w:pPr>
              <w:spacing w:after="40" w:before="40"/>
            </w:pPr>
            <w:r>
              <w:rPr>
                <w:rFonts w:ascii="Calibri" w:cs="Calibri" w:eastAsia="Calibri" w:hAnsi="Calibri"/>
                <w:b/>
                <w:bCs/>
                <w:color w:val="FFFFFF"/>
                <w:sz w:val="20"/>
                <w:szCs w:val="20"/>
              </w:rPr>
              <w:t xml:space="preserve">Primary Key</w:t>
            </w:r>
          </w:p>
        </w:tc>
        <w:tc>
          <w:tcPr>
            <w:tcW w:type="dxa" w:w="2000"/>
            <w:shd w:fill="2F5496" w:val="clear"/>
          </w:tcPr>
          <w:p>
            <w:pPr>
              <w:spacing w:after="40" w:before="40"/>
            </w:pPr>
            <w:r>
              <w:rPr>
                <w:rFonts w:ascii="Calibri" w:cs="Calibri" w:eastAsia="Calibri" w:hAnsi="Calibri"/>
                <w:b/>
                <w:bCs/>
                <w:color w:val="FFFFFF"/>
                <w:sz w:val="20"/>
                <w:szCs w:val="20"/>
              </w:rPr>
              <w:t xml:space="preserve">Row Count</w:t>
            </w:r>
          </w:p>
        </w:tc>
      </w:tr>
      <w:tr>
        <w:tc>
          <w:tcPr>
            <w:tcW w:type="dxa" w:w="2600"/>
          </w:tcPr>
          <w:p>
            <w:pPr>
              <w:spacing w:after="40" w:before="40"/>
            </w:pPr>
            <w:r>
              <w:rPr>
                <w:rFonts w:ascii="Calibri" w:cs="Calibri" w:eastAsia="Calibri" w:hAnsi="Calibri"/>
                <w:sz w:val="20"/>
                <w:szCs w:val="20"/>
              </w:rPr>
              <w:t xml:space="preserve">fact_orders</w:t>
            </w:r>
          </w:p>
        </w:tc>
        <w:tc>
          <w:tcPr>
            <w:tcW w:type="dxa" w:w="3400"/>
          </w:tcPr>
          <w:p>
            <w:pPr>
              <w:spacing w:after="40" w:before="40"/>
            </w:pPr>
            <w:r>
              <w:rPr>
                <w:rFonts w:ascii="Calibri" w:cs="Calibri" w:eastAsia="Calibri" w:hAnsi="Calibri"/>
                <w:sz w:val="20"/>
                <w:szCs w:val="20"/>
              </w:rPr>
              <w:t xml:space="preserve">Fact — order grain</w:t>
            </w:r>
          </w:p>
        </w:tc>
        <w:tc>
          <w:tcPr>
            <w:tcW w:type="dxa" w:w="2400"/>
          </w:tcPr>
          <w:p>
            <w:pPr>
              <w:spacing w:after="40" w:before="40"/>
            </w:pPr>
            <w:r>
              <w:rPr>
                <w:rFonts w:ascii="Calibri" w:cs="Calibri" w:eastAsia="Calibri" w:hAnsi="Calibri"/>
                <w:sz w:val="20"/>
                <w:szCs w:val="20"/>
              </w:rPr>
              <w:t xml:space="preserve">order_id</w:t>
            </w:r>
          </w:p>
        </w:tc>
        <w:tc>
          <w:tcPr>
            <w:tcW w:type="dxa" w:w="2000"/>
          </w:tcPr>
          <w:p>
            <w:pPr>
              <w:spacing w:after="40" w:before="40"/>
            </w:pPr>
            <w:r>
              <w:rPr>
                <w:rFonts w:ascii="Calibri" w:cs="Calibri" w:eastAsia="Calibri" w:hAnsi="Calibri"/>
                <w:sz w:val="20"/>
                <w:szCs w:val="20"/>
              </w:rPr>
              <w:t xml:space="preserve">99,441</w:t>
            </w:r>
          </w:p>
        </w:tc>
      </w:tr>
      <w:tr>
        <w:tc>
          <w:tcPr>
            <w:tcW w:type="dxa" w:w="2600"/>
            <w:shd w:fill="F2F2F2" w:val="clear"/>
          </w:tcPr>
          <w:p>
            <w:pPr>
              <w:spacing w:after="40" w:before="40"/>
            </w:pPr>
            <w:r>
              <w:rPr>
                <w:rFonts w:ascii="Calibri" w:cs="Calibri" w:eastAsia="Calibri" w:hAnsi="Calibri"/>
                <w:sz w:val="20"/>
                <w:szCs w:val="20"/>
              </w:rPr>
              <w:t xml:space="preserve">fact_order_items</w:t>
            </w:r>
          </w:p>
        </w:tc>
        <w:tc>
          <w:tcPr>
            <w:tcW w:type="dxa" w:w="3400"/>
            <w:shd w:fill="F2F2F2" w:val="clear"/>
          </w:tcPr>
          <w:p>
            <w:pPr>
              <w:spacing w:after="40" w:before="40"/>
            </w:pPr>
            <w:r>
              <w:rPr>
                <w:rFonts w:ascii="Calibri" w:cs="Calibri" w:eastAsia="Calibri" w:hAnsi="Calibri"/>
                <w:sz w:val="20"/>
                <w:szCs w:val="20"/>
              </w:rPr>
              <w:t xml:space="preserve">Fact — line-item grain</w:t>
            </w:r>
          </w:p>
        </w:tc>
        <w:tc>
          <w:tcPr>
            <w:tcW w:type="dxa" w:w="2400"/>
            <w:shd w:fill="F2F2F2" w:val="clear"/>
          </w:tcPr>
          <w:p>
            <w:pPr>
              <w:spacing w:after="40" w:before="40"/>
            </w:pPr>
            <w:r>
              <w:rPr>
                <w:rFonts w:ascii="Calibri" w:cs="Calibri" w:eastAsia="Calibri" w:hAnsi="Calibri"/>
                <w:sz w:val="20"/>
                <w:szCs w:val="20"/>
              </w:rPr>
              <w:t xml:space="preserve">order_id + order_item_id</w:t>
            </w:r>
          </w:p>
        </w:tc>
        <w:tc>
          <w:tcPr>
            <w:tcW w:type="dxa" w:w="2000"/>
            <w:shd w:fill="F2F2F2" w:val="clear"/>
          </w:tcPr>
          <w:p>
            <w:pPr>
              <w:spacing w:after="40" w:before="40"/>
            </w:pPr>
            <w:r>
              <w:rPr>
                <w:rFonts w:ascii="Calibri" w:cs="Calibri" w:eastAsia="Calibri" w:hAnsi="Calibri"/>
                <w:sz w:val="20"/>
                <w:szCs w:val="20"/>
              </w:rPr>
              <w:t xml:space="preserve">112,650</w:t>
            </w:r>
          </w:p>
        </w:tc>
      </w:tr>
      <w:tr>
        <w:tc>
          <w:tcPr>
            <w:tcW w:type="dxa" w:w="2600"/>
          </w:tcPr>
          <w:p>
            <w:pPr>
              <w:spacing w:after="40" w:before="40"/>
            </w:pPr>
            <w:r>
              <w:rPr>
                <w:rFonts w:ascii="Calibri" w:cs="Calibri" w:eastAsia="Calibri" w:hAnsi="Calibri"/>
                <w:sz w:val="20"/>
                <w:szCs w:val="20"/>
              </w:rPr>
              <w:t xml:space="preserve">fact_payments</w:t>
            </w:r>
          </w:p>
        </w:tc>
        <w:tc>
          <w:tcPr>
            <w:tcW w:type="dxa" w:w="3400"/>
          </w:tcPr>
          <w:p>
            <w:pPr>
              <w:spacing w:after="40" w:before="40"/>
            </w:pPr>
            <w:r>
              <w:rPr>
                <w:rFonts w:ascii="Calibri" w:cs="Calibri" w:eastAsia="Calibri" w:hAnsi="Calibri"/>
                <w:sz w:val="20"/>
                <w:szCs w:val="20"/>
              </w:rPr>
              <w:t xml:space="preserve">Fact — payment installment grain</w:t>
            </w:r>
          </w:p>
        </w:tc>
        <w:tc>
          <w:tcPr>
            <w:tcW w:type="dxa" w:w="2400"/>
          </w:tcPr>
          <w:p>
            <w:pPr>
              <w:spacing w:after="40" w:before="40"/>
            </w:pPr>
            <w:r>
              <w:rPr>
                <w:rFonts w:ascii="Calibri" w:cs="Calibri" w:eastAsia="Calibri" w:hAnsi="Calibri"/>
                <w:sz w:val="20"/>
                <w:szCs w:val="20"/>
              </w:rPr>
              <w:t xml:space="preserve">order_id + payment_sequential</w:t>
            </w:r>
          </w:p>
        </w:tc>
        <w:tc>
          <w:tcPr>
            <w:tcW w:type="dxa" w:w="2000"/>
          </w:tcPr>
          <w:p>
            <w:pPr>
              <w:spacing w:after="40" w:before="40"/>
            </w:pPr>
            <w:r>
              <w:rPr>
                <w:rFonts w:ascii="Calibri" w:cs="Calibri" w:eastAsia="Calibri" w:hAnsi="Calibri"/>
                <w:sz w:val="20"/>
                <w:szCs w:val="20"/>
              </w:rPr>
              <w:t xml:space="preserve">103,886</w:t>
            </w:r>
          </w:p>
        </w:tc>
      </w:tr>
      <w:tr>
        <w:tc>
          <w:tcPr>
            <w:tcW w:type="dxa" w:w="2600"/>
            <w:shd w:fill="F2F2F2" w:val="clear"/>
          </w:tcPr>
          <w:p>
            <w:pPr>
              <w:spacing w:after="40" w:before="40"/>
            </w:pPr>
            <w:r>
              <w:rPr>
                <w:rFonts w:ascii="Calibri" w:cs="Calibri" w:eastAsia="Calibri" w:hAnsi="Calibri"/>
                <w:sz w:val="20"/>
                <w:szCs w:val="20"/>
              </w:rPr>
              <w:t xml:space="preserve">dim_date</w:t>
            </w:r>
          </w:p>
        </w:tc>
        <w:tc>
          <w:tcPr>
            <w:tcW w:type="dxa" w:w="3400"/>
            <w:shd w:fill="F2F2F2" w:val="clear"/>
          </w:tcPr>
          <w:p>
            <w:pPr>
              <w:spacing w:after="40" w:before="40"/>
            </w:pPr>
            <w:r>
              <w:rPr>
                <w:rFonts w:ascii="Calibri" w:cs="Calibri" w:eastAsia="Calibri" w:hAnsi="Calibri"/>
                <w:sz w:val="20"/>
                <w:szCs w:val="20"/>
              </w:rPr>
              <w:t xml:space="preserve">Dimension — conformed calendar</w:t>
            </w:r>
          </w:p>
        </w:tc>
        <w:tc>
          <w:tcPr>
            <w:tcW w:type="dxa" w:w="2400"/>
            <w:shd w:fill="F2F2F2" w:val="clear"/>
          </w:tcPr>
          <w:p>
            <w:pPr>
              <w:spacing w:after="40" w:before="40"/>
            </w:pPr>
            <w:r>
              <w:rPr>
                <w:rFonts w:ascii="Calibri" w:cs="Calibri" w:eastAsia="Calibri" w:hAnsi="Calibri"/>
                <w:sz w:val="20"/>
                <w:szCs w:val="20"/>
              </w:rPr>
              <w:t xml:space="preserve">date_key</w:t>
            </w:r>
          </w:p>
        </w:tc>
        <w:tc>
          <w:tcPr>
            <w:tcW w:type="dxa" w:w="2000"/>
            <w:shd w:fill="F2F2F2" w:val="clear"/>
          </w:tcPr>
          <w:p>
            <w:pPr>
              <w:spacing w:after="40" w:before="40"/>
            </w:pPr>
            <w:r>
              <w:rPr>
                <w:rFonts w:ascii="Calibri" w:cs="Calibri" w:eastAsia="Calibri" w:hAnsi="Calibri"/>
                <w:sz w:val="20"/>
                <w:szCs w:val="20"/>
              </w:rPr>
              <w:t xml:space="preserve">800</w:t>
            </w:r>
          </w:p>
        </w:tc>
      </w:tr>
      <w:tr>
        <w:tc>
          <w:tcPr>
            <w:tcW w:type="dxa" w:w="2600"/>
          </w:tcPr>
          <w:p>
            <w:pPr>
              <w:spacing w:after="40" w:before="40"/>
            </w:pPr>
            <w:r>
              <w:rPr>
                <w:rFonts w:ascii="Calibri" w:cs="Calibri" w:eastAsia="Calibri" w:hAnsi="Calibri"/>
                <w:sz w:val="20"/>
                <w:szCs w:val="20"/>
              </w:rPr>
              <w:t xml:space="preserve">dim_customer</w:t>
            </w:r>
          </w:p>
        </w:tc>
        <w:tc>
          <w:tcPr>
            <w:tcW w:type="dxa" w:w="3400"/>
          </w:tcPr>
          <w:p>
            <w:pPr>
              <w:spacing w:after="40" w:before="40"/>
            </w:pPr>
            <w:r>
              <w:rPr>
                <w:rFonts w:ascii="Calibri" w:cs="Calibri" w:eastAsia="Calibri" w:hAnsi="Calibri"/>
                <w:sz w:val="20"/>
                <w:szCs w:val="20"/>
              </w:rPr>
              <w:t xml:space="preserve">Dimension — order-scoped customer</w:t>
            </w:r>
          </w:p>
        </w:tc>
        <w:tc>
          <w:tcPr>
            <w:tcW w:type="dxa" w:w="2400"/>
          </w:tcPr>
          <w:p>
            <w:pPr>
              <w:spacing w:after="40" w:before="40"/>
            </w:pPr>
            <w:r>
              <w:rPr>
                <w:rFonts w:ascii="Calibri" w:cs="Calibri" w:eastAsia="Calibri" w:hAnsi="Calibri"/>
                <w:sz w:val="20"/>
                <w:szCs w:val="20"/>
              </w:rPr>
              <w:t xml:space="preserve">customer_id</w:t>
            </w:r>
          </w:p>
        </w:tc>
        <w:tc>
          <w:tcPr>
            <w:tcW w:type="dxa" w:w="2000"/>
          </w:tcPr>
          <w:p>
            <w:pPr>
              <w:spacing w:after="40" w:before="40"/>
            </w:pPr>
            <w:r>
              <w:rPr>
                <w:rFonts w:ascii="Calibri" w:cs="Calibri" w:eastAsia="Calibri" w:hAnsi="Calibri"/>
                <w:sz w:val="20"/>
                <w:szCs w:val="20"/>
              </w:rPr>
              <w:t xml:space="preserve">99,441</w:t>
            </w:r>
          </w:p>
        </w:tc>
      </w:tr>
      <w:tr>
        <w:tc>
          <w:tcPr>
            <w:tcW w:type="dxa" w:w="2600"/>
            <w:shd w:fill="F2F2F2" w:val="clear"/>
          </w:tcPr>
          <w:p>
            <w:pPr>
              <w:spacing w:after="40" w:before="40"/>
            </w:pPr>
            <w:r>
              <w:rPr>
                <w:rFonts w:ascii="Calibri" w:cs="Calibri" w:eastAsia="Calibri" w:hAnsi="Calibri"/>
                <w:sz w:val="20"/>
                <w:szCs w:val="20"/>
              </w:rPr>
              <w:t xml:space="preserve">dim_product</w:t>
            </w:r>
          </w:p>
        </w:tc>
        <w:tc>
          <w:tcPr>
            <w:tcW w:type="dxa" w:w="3400"/>
            <w:shd w:fill="F2F2F2" w:val="clear"/>
          </w:tcPr>
          <w:p>
            <w:pPr>
              <w:spacing w:after="40" w:before="40"/>
            </w:pPr>
            <w:r>
              <w:rPr>
                <w:rFonts w:ascii="Calibri" w:cs="Calibri" w:eastAsia="Calibri" w:hAnsi="Calibri"/>
                <w:sz w:val="20"/>
                <w:szCs w:val="20"/>
              </w:rPr>
              <w:t xml:space="preserve">Dimension — product + category</w:t>
            </w:r>
          </w:p>
        </w:tc>
        <w:tc>
          <w:tcPr>
            <w:tcW w:type="dxa" w:w="2400"/>
            <w:shd w:fill="F2F2F2" w:val="clear"/>
          </w:tcPr>
          <w:p>
            <w:pPr>
              <w:spacing w:after="40" w:before="40"/>
            </w:pPr>
            <w:r>
              <w:rPr>
                <w:rFonts w:ascii="Calibri" w:cs="Calibri" w:eastAsia="Calibri" w:hAnsi="Calibri"/>
                <w:sz w:val="20"/>
                <w:szCs w:val="20"/>
              </w:rPr>
              <w:t xml:space="preserve">product_id</w:t>
            </w:r>
          </w:p>
        </w:tc>
        <w:tc>
          <w:tcPr>
            <w:tcW w:type="dxa" w:w="2000"/>
            <w:shd w:fill="F2F2F2" w:val="clear"/>
          </w:tcPr>
          <w:p>
            <w:pPr>
              <w:spacing w:after="40" w:before="40"/>
            </w:pPr>
            <w:r>
              <w:rPr>
                <w:rFonts w:ascii="Calibri" w:cs="Calibri" w:eastAsia="Calibri" w:hAnsi="Calibri"/>
                <w:sz w:val="20"/>
                <w:szCs w:val="20"/>
              </w:rPr>
              <w:t xml:space="preserve">32,951</w:t>
            </w:r>
          </w:p>
        </w:tc>
      </w:tr>
    </w:tbl>
    <w:p>
      <w:pPr>
        <w:pStyle w:val="Heading1"/>
        <w:spacing w:after="160" w:before="360"/>
      </w:pPr>
      <w:r>
        <w:t xml:space="preserve">8. Recommended Indexes</w:t>
      </w:r>
    </w:p>
    <w:p>
      <w:pPr>
        <w:spacing w:after="160"/>
      </w:pPr>
      <w:r>
        <w:rPr>
          <w:rFonts w:ascii="Calibri" w:cs="Calibri" w:eastAsia="Calibri" w:hAnsi="Calibri"/>
          <w:sz w:val="22"/>
          <w:szCs w:val="22"/>
        </w:rPr>
        <w:t xml:space="preserve">Four indexes were recommended to support efficient joins and filtering once the views are queried by Power BI, targeting the foreign key and date fields most frequently used across the fact-dimension joins:</w:t>
      </w:r>
    </w:p>
    <w:p>
      <w:pPr>
        <w:pStyle w:val="ListParagraph"/>
        <w:numPr>
          <w:ilvl w:val="0"/>
          <w:numId w:val="1"/>
        </w:numPr>
        <w:spacing w:after="100"/>
      </w:pPr>
      <w:r>
        <w:rPr>
          <w:rFonts w:ascii="Calibri" w:cs="Calibri" w:eastAsia="Calibri" w:hAnsi="Calibri"/>
          <w:sz w:val="22"/>
          <w:szCs w:val="22"/>
        </w:rPr>
        <w:t xml:space="preserve">Index on orders.customer_id — supports the join between fact_orders and dim_customer.</w:t>
      </w:r>
    </w:p>
    <w:p>
      <w:pPr>
        <w:pStyle w:val="ListParagraph"/>
        <w:numPr>
          <w:ilvl w:val="0"/>
          <w:numId w:val="1"/>
        </w:numPr>
        <w:spacing w:after="100"/>
      </w:pPr>
      <w:r>
        <w:rPr>
          <w:rFonts w:ascii="Calibri" w:cs="Calibri" w:eastAsia="Calibri" w:hAnsi="Calibri"/>
          <w:sz w:val="22"/>
          <w:szCs w:val="22"/>
        </w:rPr>
        <w:t xml:space="preserve">Index on order_items.order_id — supports the join between fact_order_items and fact_orders/dim_date.</w:t>
      </w:r>
    </w:p>
    <w:p>
      <w:pPr>
        <w:pStyle w:val="ListParagraph"/>
        <w:numPr>
          <w:ilvl w:val="0"/>
          <w:numId w:val="1"/>
        </w:numPr>
        <w:spacing w:after="100"/>
      </w:pPr>
      <w:r>
        <w:rPr>
          <w:rFonts w:ascii="Calibri" w:cs="Calibri" w:eastAsia="Calibri" w:hAnsi="Calibri"/>
          <w:sz w:val="22"/>
          <w:szCs w:val="22"/>
        </w:rPr>
        <w:t xml:space="preserve">Index on order_items.product_id — supports the join between fact_order_items and dim_product.</w:t>
      </w:r>
    </w:p>
    <w:p>
      <w:pPr>
        <w:pStyle w:val="ListParagraph"/>
        <w:numPr>
          <w:ilvl w:val="0"/>
          <w:numId w:val="1"/>
        </w:numPr>
        <w:spacing w:after="100"/>
      </w:pPr>
      <w:r>
        <w:rPr>
          <w:rFonts w:ascii="Calibri" w:cs="Calibri" w:eastAsia="Calibri" w:hAnsi="Calibri"/>
          <w:sz w:val="22"/>
          <w:szCs w:val="22"/>
        </w:rPr>
        <w:t xml:space="preserve">Index on order_payments.order_id — supports the join between fact_payments and fact_orders/dim_date.</w:t>
      </w:r>
    </w:p>
    <w:p>
      <w:pPr>
        <w:pStyle w:val="Heading1"/>
        <w:spacing w:after="160" w:before="360"/>
      </w:pPr>
      <w:r>
        <w:t xml:space="preserve">9. Power BI Readiness Checklist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700"/>
        <w:gridCol w:w="3700"/>
      </w:tblGrid>
      <w:tr>
        <w:trPr>
          <w:tblHeader/>
        </w:trPr>
        <w:tc>
          <w:tcPr>
            <w:tcW w:type="dxa" w:w="5700"/>
            <w:shd w:fill="2F5496" w:val="clear"/>
          </w:tcPr>
          <w:p>
            <w:pPr>
              <w:spacing w:after="40" w:before="40"/>
            </w:pPr>
            <w:r>
              <w:rPr>
                <w:rFonts w:ascii="Calibri" w:cs="Calibri" w:eastAsia="Calibri" w:hAnsi="Calibri"/>
                <w:b/>
                <w:bCs/>
                <w:color w:val="FFFFFF"/>
                <w:sz w:val="20"/>
                <w:szCs w:val="20"/>
              </w:rPr>
              <w:t xml:space="preserve">Checklist Item</w:t>
            </w:r>
          </w:p>
        </w:tc>
        <w:tc>
          <w:tcPr>
            <w:tcW w:type="dxa" w:w="3700"/>
            <w:shd w:fill="2F5496" w:val="clear"/>
          </w:tcPr>
          <w:p>
            <w:pPr>
              <w:spacing w:after="40" w:before="40"/>
            </w:pPr>
            <w:r>
              <w:rPr>
                <w:rFonts w:ascii="Calibri" w:cs="Calibri" w:eastAsia="Calibri" w:hAnsi="Calibri"/>
                <w:b/>
                <w:bCs/>
                <w:color w:val="FFFFFF"/>
                <w:sz w:val="20"/>
                <w:szCs w:val="20"/>
              </w:rPr>
              <w:t xml:space="preserve">Status</w:t>
            </w:r>
          </w:p>
        </w:tc>
      </w:tr>
      <w:tr>
        <w:tc>
          <w:tcPr>
            <w:tcW w:type="dxa" w:w="5700"/>
          </w:tcPr>
          <w:p>
            <w:pPr>
              <w:spacing w:after="40" w:before="40"/>
            </w:pPr>
            <w:r>
              <w:rPr>
                <w:rFonts w:ascii="Calibri" w:cs="Calibri" w:eastAsia="Calibri" w:hAnsi="Calibri"/>
                <w:sz w:val="20"/>
                <w:szCs w:val="20"/>
              </w:rPr>
              <w:t xml:space="preserve">Views execute without error in PostgreSQL</w:t>
            </w:r>
          </w:p>
        </w:tc>
        <w:tc>
          <w:tcPr>
            <w:tcW w:type="dxa" w:w="3700"/>
          </w:tcPr>
          <w:p>
            <w:pPr>
              <w:spacing w:after="40" w:before="40"/>
            </w:pPr>
            <w:r>
              <w:rPr>
                <w:rFonts w:ascii="Calibri" w:cs="Calibri" w:eastAsia="Calibri" w:hAnsi="Calibri"/>
                <w:sz w:val="20"/>
                <w:szCs w:val="20"/>
              </w:rPr>
              <w:t xml:space="preserve">Confirmed</w:t>
            </w:r>
          </w:p>
        </w:tc>
      </w:tr>
      <w:tr>
        <w:tc>
          <w:tcPr>
            <w:tcW w:type="dxa" w:w="5700"/>
            <w:shd w:fill="F2F2F2" w:val="clear"/>
          </w:tcPr>
          <w:p>
            <w:pPr>
              <w:spacing w:after="40" w:before="40"/>
            </w:pPr>
            <w:r>
              <w:rPr>
                <w:rFonts w:ascii="Calibri" w:cs="Calibri" w:eastAsia="Calibri" w:hAnsi="Calibri"/>
                <w:sz w:val="20"/>
                <w:szCs w:val="20"/>
              </w:rPr>
              <w:t xml:space="preserve">Row counts validated against source tables</w:t>
            </w:r>
          </w:p>
        </w:tc>
        <w:tc>
          <w:tcPr>
            <w:tcW w:type="dxa" w:w="3700"/>
            <w:shd w:fill="F2F2F2" w:val="clear"/>
          </w:tcPr>
          <w:p>
            <w:pPr>
              <w:spacing w:after="40" w:before="40"/>
            </w:pPr>
            <w:r>
              <w:rPr>
                <w:rFonts w:ascii="Calibri" w:cs="Calibri" w:eastAsia="Calibri" w:hAnsi="Calibri"/>
                <w:sz w:val="20"/>
                <w:szCs w:val="20"/>
              </w:rPr>
              <w:t xml:space="preserve">Confirmed — all views match source row counts exactly</w:t>
            </w:r>
          </w:p>
        </w:tc>
      </w:tr>
      <w:tr>
        <w:tc>
          <w:tcPr>
            <w:tcW w:type="dxa" w:w="5700"/>
          </w:tcPr>
          <w:p>
            <w:pPr>
              <w:spacing w:after="40" w:before="40"/>
            </w:pPr>
            <w:r>
              <w:rPr>
                <w:rFonts w:ascii="Calibri" w:cs="Calibri" w:eastAsia="Calibri" w:hAnsi="Calibri"/>
                <w:sz w:val="20"/>
                <w:szCs w:val="20"/>
              </w:rPr>
              <w:t xml:space="preserve">dim_date range covers all order lifecycle date fields</w:t>
            </w:r>
          </w:p>
        </w:tc>
        <w:tc>
          <w:tcPr>
            <w:tcW w:type="dxa" w:w="3700"/>
          </w:tcPr>
          <w:p>
            <w:pPr>
              <w:spacing w:after="40" w:before="40"/>
            </w:pPr>
            <w:r>
              <w:rPr>
                <w:rFonts w:ascii="Calibri" w:cs="Calibri" w:eastAsia="Calibri" w:hAnsi="Calibri"/>
                <w:sz w:val="20"/>
                <w:szCs w:val="20"/>
              </w:rPr>
              <w:t xml:space="preserve">Confirmed — no orphaned dates</w:t>
            </w:r>
          </w:p>
        </w:tc>
      </w:tr>
      <w:tr>
        <w:tc>
          <w:tcPr>
            <w:tcW w:type="dxa" w:w="5700"/>
            <w:shd w:fill="F2F2F2" w:val="clear"/>
          </w:tcPr>
          <w:p>
            <w:pPr>
              <w:spacing w:after="40" w:before="40"/>
            </w:pPr>
            <w:r>
              <w:rPr>
                <w:rFonts w:ascii="Calibri" w:cs="Calibri" w:eastAsia="Calibri" w:hAnsi="Calibri"/>
                <w:sz w:val="20"/>
                <w:szCs w:val="20"/>
              </w:rPr>
              <w:t xml:space="preserve">No unintended row fan-out across joins</w:t>
            </w:r>
          </w:p>
        </w:tc>
        <w:tc>
          <w:tcPr>
            <w:tcW w:type="dxa" w:w="3700"/>
            <w:shd w:fill="F2F2F2" w:val="clear"/>
          </w:tcPr>
          <w:p>
            <w:pPr>
              <w:spacing w:after="40" w:before="40"/>
            </w:pPr>
            <w:r>
              <w:rPr>
                <w:rFonts w:ascii="Calibri" w:cs="Calibri" w:eastAsia="Calibri" w:hAnsi="Calibri"/>
                <w:sz w:val="20"/>
                <w:szCs w:val="20"/>
              </w:rPr>
              <w:t xml:space="preserve">Confirmed — row counts unchanged after joins</w:t>
            </w:r>
          </w:p>
        </w:tc>
      </w:tr>
      <w:tr>
        <w:tc>
          <w:tcPr>
            <w:tcW w:type="dxa" w:w="5700"/>
          </w:tcPr>
          <w:p>
            <w:pPr>
              <w:spacing w:after="40" w:before="40"/>
            </w:pPr>
            <w:r>
              <w:rPr>
                <w:rFonts w:ascii="Calibri" w:cs="Calibri" w:eastAsia="Calibri" w:hAnsi="Calibri"/>
                <w:sz w:val="20"/>
                <w:szCs w:val="20"/>
              </w:rPr>
              <w:t xml:space="preserve">Relationships defined as single-direction (dimension → fact)</w:t>
            </w:r>
          </w:p>
        </w:tc>
        <w:tc>
          <w:tcPr>
            <w:tcW w:type="dxa" w:w="3700"/>
          </w:tcPr>
          <w:p>
            <w:pPr>
              <w:spacing w:after="40" w:before="40"/>
            </w:pPr>
            <w:r>
              <w:rPr>
                <w:rFonts w:ascii="Calibri" w:cs="Calibri" w:eastAsia="Calibri" w:hAnsi="Calibri"/>
                <w:sz w:val="20"/>
                <w:szCs w:val="20"/>
              </w:rPr>
              <w:t xml:space="preserve">Documented, ready to configure in Power BI</w:t>
            </w:r>
          </w:p>
        </w:tc>
      </w:tr>
      <w:tr>
        <w:tc>
          <w:tcPr>
            <w:tcW w:type="dxa" w:w="5700"/>
            <w:shd w:fill="F2F2F2" w:val="clear"/>
          </w:tcPr>
          <w:p>
            <w:pPr>
              <w:spacing w:after="40" w:before="40"/>
            </w:pPr>
            <w:r>
              <w:rPr>
                <w:rFonts w:ascii="Calibri" w:cs="Calibri" w:eastAsia="Calibri" w:hAnsi="Calibri"/>
                <w:sz w:val="20"/>
                <w:szCs w:val="20"/>
              </w:rPr>
              <w:t xml:space="preserve">Uncategorized products resolve rather than drop</w:t>
            </w:r>
          </w:p>
        </w:tc>
        <w:tc>
          <w:tcPr>
            <w:tcW w:type="dxa" w:w="3700"/>
            <w:shd w:fill="F2F2F2" w:val="clear"/>
          </w:tcPr>
          <w:p>
            <w:pPr>
              <w:spacing w:after="40" w:before="40"/>
            </w:pPr>
            <w:r>
              <w:rPr>
                <w:rFonts w:ascii="Calibri" w:cs="Calibri" w:eastAsia="Calibri" w:hAnsi="Calibri"/>
                <w:sz w:val="20"/>
                <w:szCs w:val="20"/>
              </w:rPr>
              <w:t xml:space="preserve">Confirmed via COALESCE logic</w:t>
            </w:r>
          </w:p>
        </w:tc>
      </w:tr>
      <w:tr>
        <w:tc>
          <w:tcPr>
            <w:tcW w:type="dxa" w:w="5700"/>
          </w:tcPr>
          <w:p>
            <w:pPr>
              <w:spacing w:after="40" w:before="40"/>
            </w:pPr>
            <w:r>
              <w:rPr>
                <w:rFonts w:ascii="Calibri" w:cs="Calibri" w:eastAsia="Calibri" w:hAnsi="Calibri"/>
                <w:sz w:val="20"/>
                <w:szCs w:val="20"/>
              </w:rPr>
              <w:t xml:space="preserve">Known revenue variance documented for stakeholder Q&amp;A</w:t>
            </w:r>
          </w:p>
        </w:tc>
        <w:tc>
          <w:tcPr>
            <w:tcW w:type="dxa" w:w="3700"/>
          </w:tcPr>
          <w:p>
            <w:pPr>
              <w:spacing w:after="40" w:before="40"/>
            </w:pPr>
            <w:r>
              <w:rPr>
                <w:rFonts w:ascii="Calibri" w:cs="Calibri" w:eastAsia="Calibri" w:hAnsi="Calibri"/>
                <w:sz w:val="20"/>
                <w:szCs w:val="20"/>
              </w:rPr>
              <w:t xml:space="preserve">Documented in Section 6</w:t>
            </w:r>
          </w:p>
        </w:tc>
      </w:tr>
      <w:tr>
        <w:tc>
          <w:tcPr>
            <w:tcW w:type="dxa" w:w="5700"/>
            <w:shd w:fill="F2F2F2" w:val="clear"/>
          </w:tcPr>
          <w:p>
            <w:pPr>
              <w:spacing w:after="40" w:before="40"/>
            </w:pPr>
            <w:r>
              <w:rPr>
                <w:rFonts w:ascii="Calibri" w:cs="Calibri" w:eastAsia="Calibri" w:hAnsi="Calibri"/>
                <w:sz w:val="20"/>
                <w:szCs w:val="20"/>
              </w:rPr>
              <w:t xml:space="preserve">Excluded tables (sellers, reviews, geolocation) confirmed out of model</w:t>
            </w:r>
          </w:p>
        </w:tc>
        <w:tc>
          <w:tcPr>
            <w:tcW w:type="dxa" w:w="3700"/>
            <w:shd w:fill="F2F2F2" w:val="clear"/>
          </w:tcPr>
          <w:p>
            <w:pPr>
              <w:spacing w:after="40" w:before="40"/>
            </w:pPr>
            <w:r>
              <w:rPr>
                <w:rFonts w:ascii="Calibri" w:cs="Calibri" w:eastAsia="Calibri" w:hAnsi="Calibri"/>
                <w:sz w:val="20"/>
                <w:szCs w:val="20"/>
              </w:rPr>
              <w:t xml:space="preserve">Confirmed, consistent with project scope</w:t>
            </w:r>
          </w:p>
        </w:tc>
      </w:tr>
    </w:tbl>
    <w:p>
      <w:pPr>
        <w:pStyle w:val="Heading1"/>
        <w:spacing w:after="160" w:before="360"/>
      </w:pPr>
      <w:r>
        <w:t xml:space="preserve">10. Validation Performed</w:t>
      </w:r>
    </w:p>
    <w:p>
      <w:pPr>
        <w:spacing w:after="160"/>
      </w:pPr>
      <w:r>
        <w:rPr>
          <w:rFonts w:ascii="Calibri" w:cs="Calibri" w:eastAsia="Calibri" w:hAnsi="Calibri"/>
          <w:sz w:val="22"/>
          <w:szCs w:val="22"/>
        </w:rPr>
        <w:t xml:space="preserve">Before closing this phase, the following validation was executed against the live PostgreSQL database:</w:t>
      </w:r>
    </w:p>
    <w:p>
      <w:pPr>
        <w:pStyle w:val="ListParagraph"/>
        <w:numPr>
          <w:ilvl w:val="0"/>
          <w:numId w:val="1"/>
        </w:numPr>
        <w:spacing w:after="100"/>
      </w:pPr>
      <w:r>
        <w:rPr>
          <w:rFonts w:ascii="Calibri" w:cs="Calibri" w:eastAsia="Calibri" w:hAnsi="Calibri"/>
          <w:sz w:val="22"/>
          <w:szCs w:val="22"/>
        </w:rPr>
        <w:t xml:space="preserve">Row-count validation: SELECT COUNT(*) executed against all six views and cross-checked against the corresponding raw source table counts documented in Phase 4. All six views matched exactly, confirming no join in the view definitions fans out or drops rows.</w:t>
      </w:r>
    </w:p>
    <w:p>
      <w:pPr>
        <w:pStyle w:val="ListParagraph"/>
        <w:numPr>
          <w:ilvl w:val="0"/>
          <w:numId w:val="1"/>
        </w:numPr>
        <w:spacing w:after="100"/>
      </w:pPr>
      <w:r>
        <w:rPr>
          <w:rFonts w:ascii="Calibri" w:cs="Calibri" w:eastAsia="Calibri" w:hAnsi="Calibri"/>
          <w:sz w:val="22"/>
          <w:szCs w:val="22"/>
        </w:rPr>
        <w:t xml:space="preserve">dim_date range validation: the minimum and maximum dates across all five order lifecycle date fields (purchase, approval, carrier handoff, customer delivery, estimated delivery) were compared against the date range covered by dim_date. Full coverage was confirmed, with no gaps that would produce orphaned dates in delivery-time reporting.</w:t>
      </w:r>
    </w:p>
    <w:p>
      <w:pPr>
        <w:spacing w:after="160"/>
      </w:pPr>
      <w:r>
        <w:rPr>
          <w:rFonts w:ascii="Calibri" w:cs="Calibri" w:eastAsia="Calibri" w:hAnsi="Calibri"/>
          <w:sz w:val="22"/>
          <w:szCs w:val="22"/>
        </w:rPr>
        <w:t xml:space="preserve">Both checks passed without exception. Phase 5 is considered validated and closed on this basis.</w:t>
      </w:r>
    </w:p>
    <w:p>
      <w:pPr>
        <w:pStyle w:val="Heading1"/>
        <w:spacing w:after="160" w:before="360"/>
      </w:pPr>
      <w:r>
        <w:t xml:space="preserve">11. Next Steps</w:t>
      </w:r>
    </w:p>
    <w:p>
      <w:pPr>
        <w:spacing w:after="160"/>
      </w:pPr>
      <w:r>
        <w:rPr>
          <w:rFonts w:ascii="Calibri" w:cs="Calibri" w:eastAsia="Calibri" w:hAnsi="Calibri"/>
          <w:sz w:val="22"/>
          <w:szCs w:val="22"/>
        </w:rPr>
        <w:t xml:space="preserve">With Phase 5 (Data Modeling) complete, validated, and documented, the project proceeds to Phase 6 — Exploratory Data Analysis, using these views as the sole source for all analytical queries. EDA findings will focus on revenue performance, sales trends, product category performance, customer geographic distribution, and delivery performance, consistent with the Business Understanding scope. Customer satisfaction remains out of scope.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F5496"/>
      <w:sz w:val="30"/>
      <w:szCs w:val="30"/>
    </w:rPr>
  </w:style>
  <w:style w:type="paragraph" w:styleId="Heading2">
    <w:name w:val="Heading 2"/>
    <w:basedOn w:val="Normal"/>
    <w:next w:val="Normal"/>
    <w:qFormat/>
    <w:pPr>
      <w:spacing w:after="120" w:before="26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2026-07-31T09:36:50.081Z</dcterms:created>
  <dcterms:modified xsi:type="dcterms:W3CDTF">2026-07-31T09:36:50.093Z</dcterms:modified>
</cp:coreProperties>
</file>

<file path=docProps/custom.xml><?xml version="1.0" encoding="utf-8"?>
<Properties xmlns="http://schemas.openxmlformats.org/officeDocument/2006/custom-properties" xmlns:vt="http://schemas.openxmlformats.org/officeDocument/2006/docPropsVTypes"/>
</file>