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b/>
          <w:bCs/>
          <w:color w:val="1F3864"/>
          <w:sz w:val="40"/>
          <w:szCs w:val="40"/>
        </w:rPr>
        <w:t xml:space="preserve">OLIST BRAZILIAN E-COMMERCE</w:t>
      </w:r>
    </w:p>
    <w:p>
      <w:pPr>
        <w:spacing w:after="120"/>
        <w:jc w:val="center"/>
      </w:pPr>
      <w:r>
        <w:rPr>
          <w:b/>
          <w:bCs/>
          <w:color w:val="333333"/>
          <w:sz w:val="32"/>
          <w:szCs w:val="32"/>
        </w:rPr>
        <w:t xml:space="preserve">Business Intelligence Project</w:t>
      </w:r>
    </w:p>
    <w:p>
      <w:pPr>
        <w:spacing w:after="200"/>
      </w:pPr>
    </w:p>
    <w:p>
      <w:pPr>
        <w:spacing w:after="120"/>
        <w:jc w:val="center"/>
      </w:pPr>
      <w:r>
        <w:rPr>
          <w:b/>
          <w:bCs/>
          <w:color w:val="1F3864"/>
          <w:sz w:val="36"/>
          <w:szCs w:val="36"/>
        </w:rPr>
        <w:t xml:space="preserve">Exploratory Data Analysis Report</w:t>
      </w:r>
    </w:p>
    <w:p>
      <w:pPr>
        <w:spacing w:after="80"/>
      </w:pPr>
      <w:r>
        <w:rPr>
          <w:i/>
          <w:iCs/>
          <w:color w:val="555555"/>
          <w:sz w:val="22"/>
          <w:szCs w:val="22"/>
        </w:rPr>
        <w:t xml:space="preserve">Phase 6 of the End-to-End BI Project Lifecycle — Business-Objective-Anchored EDA</w:t>
      </w:r>
    </w:p>
    <w:p>
      <w:pPr>
        <w:spacing w:after="400"/>
      </w:pPr>
    </w:p>
    <w:p>
      <w:pPr>
        <w:spacing w:after="40"/>
      </w:pPr>
      <w:r>
        <w:rPr>
          <w:b/>
          <w:bCs/>
          <w:sz w:val="20"/>
          <w:szCs w:val="20"/>
        </w:rPr>
        <w:t xml:space="preserve">Project: </w:t>
      </w:r>
      <w:r>
        <w:rPr>
          <w:sz w:val="20"/>
          <w:szCs w:val="20"/>
        </w:rPr>
        <w:t xml:space="preserve">Olist Brazilian E-Commerce Analytics Dashboard</w:t>
      </w:r>
    </w:p>
    <w:p>
      <w:pPr>
        <w:spacing w:after="40"/>
      </w:pPr>
      <w:r>
        <w:rPr>
          <w:b/>
          <w:bCs/>
          <w:sz w:val="20"/>
          <w:szCs w:val="20"/>
        </w:rPr>
        <w:t xml:space="preserve">Document Stage: </w:t>
      </w:r>
      <w:r>
        <w:rPr>
          <w:sz w:val="20"/>
          <w:szCs w:val="20"/>
        </w:rPr>
        <w:t xml:space="preserve">Phase 6 — Exploratory Data Analysis</w:t>
      </w:r>
    </w:p>
    <w:p>
      <w:pPr>
        <w:spacing w:after="40"/>
      </w:pPr>
      <w:r>
        <w:rPr>
          <w:b/>
          <w:bCs/>
          <w:sz w:val="20"/>
          <w:szCs w:val="20"/>
        </w:rPr>
        <w:t xml:space="preserve">Prepared By: </w:t>
      </w:r>
      <w:r>
        <w:rPr>
          <w:sz w:val="20"/>
          <w:szCs w:val="20"/>
        </w:rPr>
        <w:t xml:space="preserve">Kolade — Business Intelligence Analyst</w:t>
      </w:r>
    </w:p>
    <w:p>
      <w:pPr>
        <w:spacing w:after="40"/>
      </w:pPr>
      <w:r>
        <w:rPr>
          <w:b/>
          <w:bCs/>
          <w:sz w:val="20"/>
          <w:szCs w:val="20"/>
        </w:rPr>
        <w:t xml:space="preserve">Date: </w:t>
      </w:r>
      <w:r>
        <w:rPr>
          <w:sz w:val="20"/>
          <w:szCs w:val="20"/>
        </w:rPr>
        <w:t xml:space="preserve">September 2026</w:t>
      </w:r>
    </w:p>
    <w:p>
      <w:pPr>
        <w:spacing w:after="40"/>
      </w:pPr>
      <w:r>
        <w:rPr>
          <w:b/>
          <w:bCs/>
          <w:sz w:val="20"/>
          <w:szCs w:val="20"/>
        </w:rPr>
        <w:t xml:space="preserve">Guiding Reference: </w:t>
      </w:r>
      <w:r>
        <w:rPr>
          <w:sz w:val="20"/>
          <w:szCs w:val="20"/>
        </w:rPr>
        <w:t xml:space="preserve">KPI Development Document (Phase 6 planning input)</w:t>
      </w:r>
    </w:p>
    <w:p>
      <w:r>
        <w:br w:type="page"/>
      </w:r>
    </w:p>
    <w:p>
      <w:pPr>
        <w:pStyle w:val="Heading1"/>
        <w:spacing w:after="140" w:before="320"/>
      </w:pPr>
      <w:r>
        <w:t xml:space="preserve">1. Purpose of This Document</w:t>
      </w:r>
    </w:p>
    <w:p>
      <w:pPr>
        <w:spacing w:after="120"/>
        <w:jc w:val="left"/>
      </w:pPr>
      <w:r>
        <w:rPr>
          <w:b w:val="false"/>
          <w:bCs w:val="false"/>
          <w:i w:val="false"/>
          <w:iCs w:val="false"/>
          <w:sz w:val="21"/>
          <w:szCs w:val="21"/>
        </w:rPr>
        <w:t xml:space="preserve">This document records the Exploratory Data Analysis (EDA) performed in Phase 6 of the Olist Business Intelligence project. Unlike open-ended exploration, this EDA was deliberately anchored to the five business objectives and their associated KPIs, as defined in the Phase 6 KPI Development document. Each KPI area was investigated using a consistent seven-step workflow: define the metric, explain why it matters, write the SQL, explain the query logic, state what to look for, interpret the results, and identify follow-up questions.</w:t>
      </w:r>
    </w:p>
    <w:p>
      <w:pPr>
        <w:spacing w:after="120"/>
        <w:jc w:val="left"/>
      </w:pPr>
      <w:r>
        <w:rPr>
          <w:b w:val="false"/>
          <w:bCs w:val="false"/>
          <w:i w:val="false"/>
          <w:iCs w:val="false"/>
          <w:sz w:val="21"/>
          <w:szCs w:val="21"/>
        </w:rPr>
        <w:t xml:space="preserve">This approach ensures every query executed in this phase serves a specific business question from the Business Understanding document (Phase 1), rather than producing exploratory findings disconnected from stakeholder needs.</w:t>
      </w:r>
    </w:p>
    <w:p>
      <w:pPr>
        <w:pStyle w:val="Heading2"/>
        <w:spacing w:after="100" w:before="240"/>
      </w:pPr>
      <w:r>
        <w:t xml:space="preserve">1.1 Scope</w:t>
      </w:r>
    </w:p>
    <w:p>
      <w:pPr>
        <w:spacing w:after="120"/>
        <w:jc w:val="left"/>
      </w:pPr>
      <w:r>
        <w:rPr>
          <w:b w:val="false"/>
          <w:bCs w:val="false"/>
          <w:i w:val="false"/>
          <w:iCs w:val="false"/>
          <w:sz w:val="21"/>
          <w:szCs w:val="21"/>
        </w:rPr>
        <w:t xml:space="preserve">This EDA covers all five business objectives and their associated KPI areas:</w:t>
      </w:r>
    </w:p>
    <w:p>
      <w:pPr>
        <w:pStyle w:val="ListParagraph"/>
        <w:numPr>
          <w:ilvl w:val="0"/>
          <w:numId w:val="1"/>
        </w:numPr>
        <w:spacing w:after="60"/>
      </w:pPr>
      <w:r>
        <w:rPr>
          <w:b w:val="false"/>
          <w:bCs w:val="false"/>
          <w:sz w:val="21"/>
          <w:szCs w:val="21"/>
        </w:rPr>
        <w:t xml:space="preserve">Objective 1 — Revenue Performance</w:t>
      </w:r>
    </w:p>
    <w:p>
      <w:pPr>
        <w:pStyle w:val="ListParagraph"/>
        <w:numPr>
          <w:ilvl w:val="0"/>
          <w:numId w:val="1"/>
        </w:numPr>
        <w:spacing w:after="60"/>
      </w:pPr>
      <w:r>
        <w:rPr>
          <w:b w:val="false"/>
          <w:bCs w:val="false"/>
          <w:sz w:val="21"/>
          <w:szCs w:val="21"/>
        </w:rPr>
        <w:t xml:space="preserve">Objective 2 — Sales Trends</w:t>
      </w:r>
    </w:p>
    <w:p>
      <w:pPr>
        <w:pStyle w:val="ListParagraph"/>
        <w:numPr>
          <w:ilvl w:val="0"/>
          <w:numId w:val="1"/>
        </w:numPr>
        <w:spacing w:after="60"/>
      </w:pPr>
      <w:r>
        <w:rPr>
          <w:b w:val="false"/>
          <w:bCs w:val="false"/>
          <w:sz w:val="21"/>
          <w:szCs w:val="21"/>
        </w:rPr>
        <w:t xml:space="preserve">Objective 3 — Product Performance</w:t>
      </w:r>
    </w:p>
    <w:p>
      <w:pPr>
        <w:pStyle w:val="ListParagraph"/>
        <w:numPr>
          <w:ilvl w:val="0"/>
          <w:numId w:val="1"/>
        </w:numPr>
        <w:spacing w:after="60"/>
      </w:pPr>
      <w:r>
        <w:rPr>
          <w:b w:val="false"/>
          <w:bCs w:val="false"/>
          <w:sz w:val="21"/>
          <w:szCs w:val="21"/>
        </w:rPr>
        <w:t xml:space="preserve">Objective 4 — Geographic Performance (customer-side/demand)</w:t>
      </w:r>
    </w:p>
    <w:p>
      <w:pPr>
        <w:pStyle w:val="ListParagraph"/>
        <w:numPr>
          <w:ilvl w:val="0"/>
          <w:numId w:val="1"/>
        </w:numPr>
        <w:spacing w:after="60"/>
      </w:pPr>
      <w:r>
        <w:rPr>
          <w:b w:val="false"/>
          <w:bCs w:val="false"/>
          <w:sz w:val="21"/>
          <w:szCs w:val="21"/>
        </w:rPr>
        <w:t xml:space="preserve">Objective 5 — Delivery Performance</w:t>
      </w:r>
    </w:p>
    <w:p>
      <w:pPr>
        <w:spacing w:after="120"/>
        <w:jc w:val="left"/>
      </w:pPr>
      <w:r>
        <w:rPr>
          <w:b w:val="false"/>
          <w:bCs w:val="false"/>
          <w:i w:val="false"/>
          <w:iCs w:val="false"/>
          <w:sz w:val="21"/>
          <w:szCs w:val="21"/>
        </w:rPr>
        <w:t xml:space="preserve">Customer satisfaction and review-based analysis remain out of scope, consistent with the Business Understanding document (§6).</w:t>
      </w:r>
    </w:p>
    <w:p>
      <w:pPr>
        <w:pStyle w:val="Heading2"/>
        <w:spacing w:after="100" w:before="240"/>
      </w:pPr>
      <w:r>
        <w:t xml:space="preserve">1.2 Data Foundation</w:t>
      </w:r>
    </w:p>
    <w:p>
      <w:pPr>
        <w:spacing w:after="120"/>
        <w:jc w:val="left"/>
      </w:pPr>
      <w:r>
        <w:rPr>
          <w:b w:val="false"/>
          <w:bCs w:val="false"/>
          <w:i w:val="false"/>
          <w:iCs w:val="false"/>
          <w:sz w:val="21"/>
          <w:szCs w:val="21"/>
        </w:rPr>
        <w:t xml:space="preserve">All analysis in this phase queries the PostgreSQL galaxy-schema views established in Phase 5, primarily fact_orders (order grain), fact_order_items (item grain, for category analysis), and their associated dimension views. Every scoping and exclusion decision made during this phase is documented explicitly below, consistent with the project's core principle established in Phase 4: no silent filtering.</w:t>
      </w:r>
    </w:p>
    <w:p>
      <w:pPr>
        <w:pBdr>
          <w:bottom w:val="single" w:color="AAAAAA" w:sz="6" w:space="1"/>
        </w:pBdr>
        <w:spacing w:after="200"/>
      </w:pPr>
    </w:p>
    <w:p>
      <w:pPr>
        <w:pStyle w:val="Heading1"/>
        <w:spacing w:after="140" w:before="320"/>
      </w:pPr>
      <w:r>
        <w:t xml:space="preserve">2. Delivery Eligibility Reconciliation</w:t>
      </w:r>
    </w:p>
    <w:p>
      <w:pPr>
        <w:spacing w:after="120"/>
        <w:jc w:val="left"/>
      </w:pPr>
      <w:r>
        <w:rPr>
          <w:b w:val="false"/>
          <w:bCs w:val="false"/>
          <w:i w:val="false"/>
          <w:iCs w:val="false"/>
          <w:sz w:val="21"/>
          <w:szCs w:val="21"/>
        </w:rPr>
        <w:t xml:space="preserve">Before KPI-level analysis began, the 13,626 null values present across delivery-related fields in fact_orders were investigated and reconciled against order_status, to confirm whether they represented a data quality problem requiring cleaning, or an expected structural condition.</w:t>
      </w:r>
    </w:p>
    <w:p>
      <w:pPr>
        <w:spacing w:after="80" w:before="180"/>
      </w:pPr>
      <w:r>
        <w:rPr>
          <w:b/>
          <w:bCs/>
          <w:color w:val="1F3864"/>
          <w:sz w:val="22"/>
          <w:szCs w:val="22"/>
        </w:rPr>
        <w:t xml:space="preserve">2.1 Missing Value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160"/>
      </w:tblGrid>
      <w:tr>
        <w:trPr>
          <w:tblHeader/>
        </w:trPr>
        <w:tc>
          <w:tcPr>
            <w:tcW w:type="dxa" w:w="7000"/>
            <w:shd w:fill="1F3864" w:val="clear"/>
            <w:tcMar>
              <w:top w:type="dxa" w:w="60"/>
              <w:left w:type="dxa" w:w="100"/>
              <w:bottom w:type="dxa" w:w="60"/>
              <w:right w:type="dxa" w:w="100"/>
            </w:tcMar>
          </w:tcPr>
          <w:p>
            <w:r>
              <w:rPr>
                <w:b/>
                <w:bCs/>
                <w:color w:val="FFFFFF"/>
                <w:sz w:val="19"/>
                <w:szCs w:val="19"/>
              </w:rPr>
              <w:t xml:space="preserve">Field</w:t>
            </w:r>
          </w:p>
        </w:tc>
        <w:tc>
          <w:tcPr>
            <w:tcW w:type="dxa" w:w="3160"/>
            <w:shd w:fill="1F3864" w:val="clear"/>
            <w:tcMar>
              <w:top w:type="dxa" w:w="60"/>
              <w:left w:type="dxa" w:w="100"/>
              <w:bottom w:type="dxa" w:w="60"/>
              <w:right w:type="dxa" w:w="100"/>
            </w:tcMar>
          </w:tcPr>
          <w:p>
            <w:r>
              <w:rPr>
                <w:b/>
                <w:bCs/>
                <w:color w:val="FFFFFF"/>
                <w:sz w:val="19"/>
                <w:szCs w:val="19"/>
              </w:rPr>
              <w:t xml:space="preserve">Null Count</w:t>
            </w:r>
          </w:p>
        </w:tc>
      </w:tr>
      <w:tr>
        <w:tc>
          <w:tcPr>
            <w:tcW w:type="dxa" w:w="7000"/>
            <w:shd w:fill="FFFFFF" w:val="clear"/>
            <w:tcMar>
              <w:top w:type="dxa" w:w="50"/>
              <w:left w:type="dxa" w:w="100"/>
              <w:bottom w:type="dxa" w:w="50"/>
              <w:right w:type="dxa" w:w="100"/>
            </w:tcMar>
          </w:tcPr>
          <w:p>
            <w:r>
              <w:rPr>
                <w:sz w:val="19"/>
                <w:szCs w:val="19"/>
              </w:rPr>
              <w:t xml:space="preserve">order_approved_at</w:t>
            </w:r>
          </w:p>
        </w:tc>
        <w:tc>
          <w:tcPr>
            <w:tcW w:type="dxa" w:w="3160"/>
            <w:shd w:fill="FFFFFF" w:val="clear"/>
            <w:tcMar>
              <w:top w:type="dxa" w:w="50"/>
              <w:left w:type="dxa" w:w="100"/>
              <w:bottom w:type="dxa" w:w="50"/>
              <w:right w:type="dxa" w:w="100"/>
            </w:tcMar>
          </w:tcPr>
          <w:p>
            <w:r>
              <w:rPr>
                <w:sz w:val="19"/>
                <w:szCs w:val="19"/>
              </w:rPr>
              <w:t xml:space="preserve">160</w:t>
            </w:r>
          </w:p>
        </w:tc>
      </w:tr>
      <w:tr>
        <w:tc>
          <w:tcPr>
            <w:tcW w:type="dxa" w:w="7000"/>
            <w:shd w:fill="F2F2F2" w:val="clear"/>
            <w:tcMar>
              <w:top w:type="dxa" w:w="50"/>
              <w:left w:type="dxa" w:w="100"/>
              <w:bottom w:type="dxa" w:w="50"/>
              <w:right w:type="dxa" w:w="100"/>
            </w:tcMar>
          </w:tcPr>
          <w:p>
            <w:r>
              <w:rPr>
                <w:sz w:val="19"/>
                <w:szCs w:val="19"/>
              </w:rPr>
              <w:t xml:space="preserve">order_delivered_carrier_date</w:t>
            </w:r>
          </w:p>
        </w:tc>
        <w:tc>
          <w:tcPr>
            <w:tcW w:type="dxa" w:w="3160"/>
            <w:shd w:fill="F2F2F2" w:val="clear"/>
            <w:tcMar>
              <w:top w:type="dxa" w:w="50"/>
              <w:left w:type="dxa" w:w="100"/>
              <w:bottom w:type="dxa" w:w="50"/>
              <w:right w:type="dxa" w:w="100"/>
            </w:tcMar>
          </w:tcPr>
          <w:p>
            <w:r>
              <w:rPr>
                <w:sz w:val="19"/>
                <w:szCs w:val="19"/>
              </w:rPr>
              <w:t xml:space="preserve">1,783</w:t>
            </w:r>
          </w:p>
        </w:tc>
      </w:tr>
      <w:tr>
        <w:tc>
          <w:tcPr>
            <w:tcW w:type="dxa" w:w="7000"/>
            <w:shd w:fill="FFFFFF" w:val="clear"/>
            <w:tcMar>
              <w:top w:type="dxa" w:w="50"/>
              <w:left w:type="dxa" w:w="100"/>
              <w:bottom w:type="dxa" w:w="50"/>
              <w:right w:type="dxa" w:w="100"/>
            </w:tcMar>
          </w:tcPr>
          <w:p>
            <w:r>
              <w:rPr>
                <w:sz w:val="19"/>
                <w:szCs w:val="19"/>
              </w:rPr>
              <w:t xml:space="preserve">order_delivered_customer_date</w:t>
            </w:r>
          </w:p>
        </w:tc>
        <w:tc>
          <w:tcPr>
            <w:tcW w:type="dxa" w:w="3160"/>
            <w:shd w:fill="FFFFFF" w:val="clear"/>
            <w:tcMar>
              <w:top w:type="dxa" w:w="50"/>
              <w:left w:type="dxa" w:w="100"/>
              <w:bottom w:type="dxa" w:w="50"/>
              <w:right w:type="dxa" w:w="100"/>
            </w:tcMar>
          </w:tcPr>
          <w:p>
            <w:r>
              <w:rPr>
                <w:sz w:val="19"/>
                <w:szCs w:val="19"/>
              </w:rPr>
              <w:t xml:space="preserve">2,965</w:t>
            </w:r>
          </w:p>
        </w:tc>
      </w:tr>
      <w:tr>
        <w:tc>
          <w:tcPr>
            <w:tcW w:type="dxa" w:w="7000"/>
            <w:shd w:fill="F2F2F2" w:val="clear"/>
            <w:tcMar>
              <w:top w:type="dxa" w:w="50"/>
              <w:left w:type="dxa" w:w="100"/>
              <w:bottom w:type="dxa" w:w="50"/>
              <w:right w:type="dxa" w:w="100"/>
            </w:tcMar>
          </w:tcPr>
          <w:p>
            <w:r>
              <w:rPr>
                <w:sz w:val="19"/>
                <w:szCs w:val="19"/>
              </w:rPr>
              <w:t xml:space="preserve">delivery_days</w:t>
            </w:r>
          </w:p>
        </w:tc>
        <w:tc>
          <w:tcPr>
            <w:tcW w:type="dxa" w:w="3160"/>
            <w:shd w:fill="F2F2F2" w:val="clear"/>
            <w:tcMar>
              <w:top w:type="dxa" w:w="50"/>
              <w:left w:type="dxa" w:w="100"/>
              <w:bottom w:type="dxa" w:w="50"/>
              <w:right w:type="dxa" w:w="100"/>
            </w:tcMar>
          </w:tcPr>
          <w:p>
            <w:r>
              <w:rPr>
                <w:sz w:val="19"/>
                <w:szCs w:val="19"/>
              </w:rPr>
              <w:t xml:space="preserve">4,359</w:t>
            </w:r>
          </w:p>
        </w:tc>
      </w:tr>
      <w:tr>
        <w:tc>
          <w:tcPr>
            <w:tcW w:type="dxa" w:w="7000"/>
            <w:shd w:fill="FFFFFF" w:val="clear"/>
            <w:tcMar>
              <w:top w:type="dxa" w:w="50"/>
              <w:left w:type="dxa" w:w="100"/>
              <w:bottom w:type="dxa" w:w="50"/>
              <w:right w:type="dxa" w:w="100"/>
            </w:tcMar>
          </w:tcPr>
          <w:p>
            <w:r>
              <w:rPr>
                <w:sz w:val="19"/>
                <w:szCs w:val="19"/>
              </w:rPr>
              <w:t xml:space="preserve">is_on_time_delivery</w:t>
            </w:r>
          </w:p>
        </w:tc>
        <w:tc>
          <w:tcPr>
            <w:tcW w:type="dxa" w:w="3160"/>
            <w:shd w:fill="FFFFFF" w:val="clear"/>
            <w:tcMar>
              <w:top w:type="dxa" w:w="50"/>
              <w:left w:type="dxa" w:w="100"/>
              <w:bottom w:type="dxa" w:w="50"/>
              <w:right w:type="dxa" w:w="100"/>
            </w:tcMar>
          </w:tcPr>
          <w:p>
            <w:r>
              <w:rPr>
                <w:sz w:val="19"/>
                <w:szCs w:val="19"/>
              </w:rPr>
              <w:t xml:space="preserve">4,359</w:t>
            </w:r>
          </w:p>
        </w:tc>
      </w:tr>
    </w:tbl>
    <w:p>
      <w:pPr>
        <w:spacing w:after="160"/>
      </w:pPr>
    </w:p>
    <w:p>
      <w:pPr>
        <w:spacing w:after="80" w:before="180"/>
      </w:pPr>
      <w:r>
        <w:rPr>
          <w:b/>
          <w:bCs/>
          <w:color w:val="1F3864"/>
          <w:sz w:val="22"/>
          <w:szCs w:val="22"/>
        </w:rPr>
        <w:t xml:space="preserve">2.2 Reconciliation Against Order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1F3864" w:val="clear"/>
            <w:tcMar>
              <w:top w:type="dxa" w:w="60"/>
              <w:left w:type="dxa" w:w="100"/>
              <w:bottom w:type="dxa" w:w="60"/>
              <w:right w:type="dxa" w:w="100"/>
            </w:tcMar>
          </w:tcPr>
          <w:p>
            <w:r>
              <w:rPr>
                <w:b/>
                <w:bCs/>
                <w:color w:val="FFFFFF"/>
                <w:sz w:val="19"/>
                <w:szCs w:val="19"/>
              </w:rPr>
              <w:t xml:space="preserve">order_status</w:t>
            </w:r>
          </w:p>
        </w:tc>
        <w:tc>
          <w:tcPr>
            <w:tcW w:type="dxa" w:w="1680"/>
            <w:shd w:fill="1F3864" w:val="clear"/>
            <w:tcMar>
              <w:top w:type="dxa" w:w="60"/>
              <w:left w:type="dxa" w:w="100"/>
              <w:bottom w:type="dxa" w:w="60"/>
              <w:right w:type="dxa" w:w="100"/>
            </w:tcMar>
          </w:tcPr>
          <w:p>
            <w:r>
              <w:rPr>
                <w:b/>
                <w:bCs/>
                <w:color w:val="FFFFFF"/>
                <w:sz w:val="19"/>
                <w:szCs w:val="19"/>
              </w:rPr>
              <w:t xml:space="preserve">Total Orders</w:t>
            </w:r>
          </w:p>
        </w:tc>
        <w:tc>
          <w:tcPr>
            <w:tcW w:type="dxa" w:w="1680"/>
            <w:shd w:fill="1F3864" w:val="clear"/>
            <w:tcMar>
              <w:top w:type="dxa" w:w="60"/>
              <w:left w:type="dxa" w:w="100"/>
              <w:bottom w:type="dxa" w:w="60"/>
              <w:right w:type="dxa" w:w="100"/>
            </w:tcMar>
          </w:tcPr>
          <w:p>
            <w:r>
              <w:rPr>
                <w:b/>
                <w:bCs/>
                <w:color w:val="FFFFFF"/>
                <w:sz w:val="19"/>
                <w:szCs w:val="19"/>
              </w:rPr>
              <w:t xml:space="preserve">Null Approved</w:t>
            </w:r>
          </w:p>
        </w:tc>
        <w:tc>
          <w:tcPr>
            <w:tcW w:type="dxa" w:w="1680"/>
            <w:shd w:fill="1F3864" w:val="clear"/>
            <w:tcMar>
              <w:top w:type="dxa" w:w="60"/>
              <w:left w:type="dxa" w:w="100"/>
              <w:bottom w:type="dxa" w:w="60"/>
              <w:right w:type="dxa" w:w="100"/>
            </w:tcMar>
          </w:tcPr>
          <w:p>
            <w:r>
              <w:rPr>
                <w:b/>
                <w:bCs/>
                <w:color w:val="FFFFFF"/>
                <w:sz w:val="19"/>
                <w:szCs w:val="19"/>
              </w:rPr>
              <w:t xml:space="preserve">Null Carrier</w:t>
            </w:r>
          </w:p>
        </w:tc>
        <w:tc>
          <w:tcPr>
            <w:tcW w:type="dxa" w:w="1680"/>
            <w:shd w:fill="1F3864" w:val="clear"/>
            <w:tcMar>
              <w:top w:type="dxa" w:w="60"/>
              <w:left w:type="dxa" w:w="100"/>
              <w:bottom w:type="dxa" w:w="60"/>
              <w:right w:type="dxa" w:w="100"/>
            </w:tcMar>
          </w:tcPr>
          <w:p>
            <w:r>
              <w:rPr>
                <w:b/>
                <w:bCs/>
                <w:color w:val="FFFFFF"/>
                <w:sz w:val="19"/>
                <w:szCs w:val="19"/>
              </w:rPr>
              <w:t xml:space="preserve">Null Delivered Customer</w:t>
            </w:r>
          </w:p>
        </w:tc>
        <w:tc>
          <w:tcPr>
            <w:tcW w:type="dxa" w:w="1680"/>
            <w:shd w:fill="1F3864" w:val="clear"/>
            <w:tcMar>
              <w:top w:type="dxa" w:w="60"/>
              <w:left w:type="dxa" w:w="100"/>
              <w:bottom w:type="dxa" w:w="60"/>
              <w:right w:type="dxa" w:w="100"/>
            </w:tcMar>
          </w:tcPr>
          <w:p>
            <w:r>
              <w:rPr>
                <w:b/>
                <w:bCs/>
                <w:color w:val="FFFFFF"/>
                <w:sz w:val="19"/>
                <w:szCs w:val="19"/>
              </w:rPr>
              <w:t xml:space="preserve">Null Delivery Days</w:t>
            </w:r>
          </w:p>
        </w:tc>
      </w:tr>
      <w:tr>
        <w:tc>
          <w:tcPr>
            <w:tcW w:type="dxa" w:w="1680"/>
            <w:shd w:fill="FFFFFF" w:val="clear"/>
            <w:tcMar>
              <w:top w:type="dxa" w:w="50"/>
              <w:left w:type="dxa" w:w="100"/>
              <w:bottom w:type="dxa" w:w="50"/>
              <w:right w:type="dxa" w:w="100"/>
            </w:tcMar>
          </w:tcPr>
          <w:p>
            <w:r>
              <w:rPr>
                <w:sz w:val="19"/>
                <w:szCs w:val="19"/>
              </w:rPr>
              <w:t xml:space="preserve">delivered</w:t>
            </w:r>
          </w:p>
        </w:tc>
        <w:tc>
          <w:tcPr>
            <w:tcW w:type="dxa" w:w="1680"/>
            <w:shd w:fill="FFFFFF" w:val="clear"/>
            <w:tcMar>
              <w:top w:type="dxa" w:w="50"/>
              <w:left w:type="dxa" w:w="100"/>
              <w:bottom w:type="dxa" w:w="50"/>
              <w:right w:type="dxa" w:w="100"/>
            </w:tcMar>
          </w:tcPr>
          <w:p>
            <w:r>
              <w:rPr>
                <w:sz w:val="19"/>
                <w:szCs w:val="19"/>
              </w:rPr>
              <w:t xml:space="preserve">96,478</w:t>
            </w:r>
          </w:p>
        </w:tc>
        <w:tc>
          <w:tcPr>
            <w:tcW w:type="dxa" w:w="1680"/>
            <w:shd w:fill="FFFFFF" w:val="clear"/>
            <w:tcMar>
              <w:top w:type="dxa" w:w="50"/>
              <w:left w:type="dxa" w:w="100"/>
              <w:bottom w:type="dxa" w:w="50"/>
              <w:right w:type="dxa" w:w="100"/>
            </w:tcMar>
          </w:tcPr>
          <w:p>
            <w:r>
              <w:rPr>
                <w:sz w:val="19"/>
                <w:szCs w:val="19"/>
              </w:rPr>
              <w:t xml:space="preserve">14</w:t>
            </w:r>
          </w:p>
        </w:tc>
        <w:tc>
          <w:tcPr>
            <w:tcW w:type="dxa" w:w="1680"/>
            <w:shd w:fill="FFFFFF" w:val="clear"/>
            <w:tcMar>
              <w:top w:type="dxa" w:w="50"/>
              <w:left w:type="dxa" w:w="100"/>
              <w:bottom w:type="dxa" w:w="50"/>
              <w:right w:type="dxa" w:w="100"/>
            </w:tcMar>
          </w:tcPr>
          <w:p>
            <w:r>
              <w:rPr>
                <w:sz w:val="19"/>
                <w:szCs w:val="19"/>
              </w:rPr>
              <w:t xml:space="preserve">2</w:t>
            </w:r>
          </w:p>
        </w:tc>
        <w:tc>
          <w:tcPr>
            <w:tcW w:type="dxa" w:w="1680"/>
            <w:shd w:fill="FFFFFF" w:val="clear"/>
            <w:tcMar>
              <w:top w:type="dxa" w:w="50"/>
              <w:left w:type="dxa" w:w="100"/>
              <w:bottom w:type="dxa" w:w="50"/>
              <w:right w:type="dxa" w:w="100"/>
            </w:tcMar>
          </w:tcPr>
          <w:p>
            <w:r>
              <w:rPr>
                <w:sz w:val="19"/>
                <w:szCs w:val="19"/>
              </w:rPr>
              <w:t xml:space="preserve">8</w:t>
            </w:r>
          </w:p>
        </w:tc>
        <w:tc>
          <w:tcPr>
            <w:tcW w:type="dxa" w:w="1680"/>
            <w:shd w:fill="FFFFFF" w:val="clear"/>
            <w:tcMar>
              <w:top w:type="dxa" w:w="50"/>
              <w:left w:type="dxa" w:w="100"/>
              <w:bottom w:type="dxa" w:w="50"/>
              <w:right w:type="dxa" w:w="100"/>
            </w:tcMar>
          </w:tcPr>
          <w:p>
            <w:r>
              <w:rPr>
                <w:sz w:val="19"/>
                <w:szCs w:val="19"/>
              </w:rPr>
              <w:t xml:space="preserve">1,396</w:t>
            </w:r>
          </w:p>
        </w:tc>
      </w:tr>
      <w:tr>
        <w:tc>
          <w:tcPr>
            <w:tcW w:type="dxa" w:w="1680"/>
            <w:shd w:fill="F2F2F2" w:val="clear"/>
            <w:tcMar>
              <w:top w:type="dxa" w:w="50"/>
              <w:left w:type="dxa" w:w="100"/>
              <w:bottom w:type="dxa" w:w="50"/>
              <w:right w:type="dxa" w:w="100"/>
            </w:tcMar>
          </w:tcPr>
          <w:p>
            <w:r>
              <w:rPr>
                <w:sz w:val="19"/>
                <w:szCs w:val="19"/>
              </w:rPr>
              <w:t xml:space="preserve">shipped</w:t>
            </w:r>
          </w:p>
        </w:tc>
        <w:tc>
          <w:tcPr>
            <w:tcW w:type="dxa" w:w="1680"/>
            <w:shd w:fill="F2F2F2" w:val="clear"/>
            <w:tcMar>
              <w:top w:type="dxa" w:w="50"/>
              <w:left w:type="dxa" w:w="100"/>
              <w:bottom w:type="dxa" w:w="50"/>
              <w:right w:type="dxa" w:w="100"/>
            </w:tcMar>
          </w:tcPr>
          <w:p>
            <w:r>
              <w:rPr>
                <w:sz w:val="19"/>
                <w:szCs w:val="19"/>
              </w:rPr>
              <w:t xml:space="preserve">1,107</w:t>
            </w:r>
          </w:p>
        </w:tc>
        <w:tc>
          <w:tcPr>
            <w:tcW w:type="dxa" w:w="1680"/>
            <w:shd w:fill="F2F2F2" w:val="clear"/>
            <w:tcMar>
              <w:top w:type="dxa" w:w="50"/>
              <w:left w:type="dxa" w:w="100"/>
              <w:bottom w:type="dxa" w:w="50"/>
              <w:right w:type="dxa" w:w="100"/>
            </w:tcMar>
          </w:tcPr>
          <w:p>
            <w:r>
              <w:rPr>
                <w:sz w:val="19"/>
                <w:szCs w:val="19"/>
              </w:rPr>
              <w:t xml:space="preserve">0</w:t>
            </w:r>
          </w:p>
        </w:tc>
        <w:tc>
          <w:tcPr>
            <w:tcW w:type="dxa" w:w="1680"/>
            <w:shd w:fill="F2F2F2" w:val="clear"/>
            <w:tcMar>
              <w:top w:type="dxa" w:w="50"/>
              <w:left w:type="dxa" w:w="100"/>
              <w:bottom w:type="dxa" w:w="50"/>
              <w:right w:type="dxa" w:w="100"/>
            </w:tcMar>
          </w:tcPr>
          <w:p>
            <w:r>
              <w:rPr>
                <w:sz w:val="19"/>
                <w:szCs w:val="19"/>
              </w:rPr>
              <w:t xml:space="preserve">0</w:t>
            </w:r>
          </w:p>
        </w:tc>
        <w:tc>
          <w:tcPr>
            <w:tcW w:type="dxa" w:w="1680"/>
            <w:shd w:fill="F2F2F2" w:val="clear"/>
            <w:tcMar>
              <w:top w:type="dxa" w:w="50"/>
              <w:left w:type="dxa" w:w="100"/>
              <w:bottom w:type="dxa" w:w="50"/>
              <w:right w:type="dxa" w:w="100"/>
            </w:tcMar>
          </w:tcPr>
          <w:p>
            <w:r>
              <w:rPr>
                <w:sz w:val="19"/>
                <w:szCs w:val="19"/>
              </w:rPr>
              <w:t xml:space="preserve">1,107</w:t>
            </w:r>
          </w:p>
        </w:tc>
        <w:tc>
          <w:tcPr>
            <w:tcW w:type="dxa" w:w="1680"/>
            <w:shd w:fill="F2F2F2" w:val="clear"/>
            <w:tcMar>
              <w:top w:type="dxa" w:w="50"/>
              <w:left w:type="dxa" w:w="100"/>
              <w:bottom w:type="dxa" w:w="50"/>
              <w:right w:type="dxa" w:w="100"/>
            </w:tcMar>
          </w:tcPr>
          <w:p>
            <w:r>
              <w:rPr>
                <w:sz w:val="19"/>
                <w:szCs w:val="19"/>
              </w:rPr>
              <w:t xml:space="preserve">1,107</w:t>
            </w:r>
          </w:p>
        </w:tc>
      </w:tr>
      <w:tr>
        <w:tc>
          <w:tcPr>
            <w:tcW w:type="dxa" w:w="1680"/>
            <w:shd w:fill="FFFFFF" w:val="clear"/>
            <w:tcMar>
              <w:top w:type="dxa" w:w="50"/>
              <w:left w:type="dxa" w:w="100"/>
              <w:bottom w:type="dxa" w:w="50"/>
              <w:right w:type="dxa" w:w="100"/>
            </w:tcMar>
          </w:tcPr>
          <w:p>
            <w:r>
              <w:rPr>
                <w:sz w:val="19"/>
                <w:szCs w:val="19"/>
              </w:rPr>
              <w:t xml:space="preserve">canceled</w:t>
            </w:r>
          </w:p>
        </w:tc>
        <w:tc>
          <w:tcPr>
            <w:tcW w:type="dxa" w:w="1680"/>
            <w:shd w:fill="FFFFFF" w:val="clear"/>
            <w:tcMar>
              <w:top w:type="dxa" w:w="50"/>
              <w:left w:type="dxa" w:w="100"/>
              <w:bottom w:type="dxa" w:w="50"/>
              <w:right w:type="dxa" w:w="100"/>
            </w:tcMar>
          </w:tcPr>
          <w:p>
            <w:r>
              <w:rPr>
                <w:sz w:val="19"/>
                <w:szCs w:val="19"/>
              </w:rPr>
              <w:t xml:space="preserve">625</w:t>
            </w:r>
          </w:p>
        </w:tc>
        <w:tc>
          <w:tcPr>
            <w:tcW w:type="dxa" w:w="1680"/>
            <w:shd w:fill="FFFFFF" w:val="clear"/>
            <w:tcMar>
              <w:top w:type="dxa" w:w="50"/>
              <w:left w:type="dxa" w:w="100"/>
              <w:bottom w:type="dxa" w:w="50"/>
              <w:right w:type="dxa" w:w="100"/>
            </w:tcMar>
          </w:tcPr>
          <w:p>
            <w:r>
              <w:rPr>
                <w:sz w:val="19"/>
                <w:szCs w:val="19"/>
              </w:rPr>
              <w:t xml:space="preserve">141</w:t>
            </w:r>
          </w:p>
        </w:tc>
        <w:tc>
          <w:tcPr>
            <w:tcW w:type="dxa" w:w="1680"/>
            <w:shd w:fill="FFFFFF" w:val="clear"/>
            <w:tcMar>
              <w:top w:type="dxa" w:w="50"/>
              <w:left w:type="dxa" w:w="100"/>
              <w:bottom w:type="dxa" w:w="50"/>
              <w:right w:type="dxa" w:w="100"/>
            </w:tcMar>
          </w:tcPr>
          <w:p>
            <w:r>
              <w:rPr>
                <w:sz w:val="19"/>
                <w:szCs w:val="19"/>
              </w:rPr>
              <w:t xml:space="preserve">550</w:t>
            </w:r>
          </w:p>
        </w:tc>
        <w:tc>
          <w:tcPr>
            <w:tcW w:type="dxa" w:w="1680"/>
            <w:shd w:fill="FFFFFF" w:val="clear"/>
            <w:tcMar>
              <w:top w:type="dxa" w:w="50"/>
              <w:left w:type="dxa" w:w="100"/>
              <w:bottom w:type="dxa" w:w="50"/>
              <w:right w:type="dxa" w:w="100"/>
            </w:tcMar>
          </w:tcPr>
          <w:p>
            <w:r>
              <w:rPr>
                <w:sz w:val="19"/>
                <w:szCs w:val="19"/>
              </w:rPr>
              <w:t xml:space="preserve">619</w:t>
            </w:r>
          </w:p>
        </w:tc>
        <w:tc>
          <w:tcPr>
            <w:tcW w:type="dxa" w:w="1680"/>
            <w:shd w:fill="FFFFFF" w:val="clear"/>
            <w:tcMar>
              <w:top w:type="dxa" w:w="50"/>
              <w:left w:type="dxa" w:w="100"/>
              <w:bottom w:type="dxa" w:w="50"/>
              <w:right w:type="dxa" w:w="100"/>
            </w:tcMar>
          </w:tcPr>
          <w:p>
            <w:r>
              <w:rPr>
                <w:sz w:val="19"/>
                <w:szCs w:val="19"/>
              </w:rPr>
              <w:t xml:space="preserve">625</w:t>
            </w:r>
          </w:p>
        </w:tc>
      </w:tr>
      <w:tr>
        <w:tc>
          <w:tcPr>
            <w:tcW w:type="dxa" w:w="1680"/>
            <w:shd w:fill="F2F2F2" w:val="clear"/>
            <w:tcMar>
              <w:top w:type="dxa" w:w="50"/>
              <w:left w:type="dxa" w:w="100"/>
              <w:bottom w:type="dxa" w:w="50"/>
              <w:right w:type="dxa" w:w="100"/>
            </w:tcMar>
          </w:tcPr>
          <w:p>
            <w:r>
              <w:rPr>
                <w:sz w:val="19"/>
                <w:szCs w:val="19"/>
              </w:rPr>
              <w:t xml:space="preserve">unavailable</w:t>
            </w:r>
          </w:p>
        </w:tc>
        <w:tc>
          <w:tcPr>
            <w:tcW w:type="dxa" w:w="1680"/>
            <w:shd w:fill="F2F2F2" w:val="clear"/>
            <w:tcMar>
              <w:top w:type="dxa" w:w="50"/>
              <w:left w:type="dxa" w:w="100"/>
              <w:bottom w:type="dxa" w:w="50"/>
              <w:right w:type="dxa" w:w="100"/>
            </w:tcMar>
          </w:tcPr>
          <w:p>
            <w:r>
              <w:rPr>
                <w:sz w:val="19"/>
                <w:szCs w:val="19"/>
              </w:rPr>
              <w:t xml:space="preserve">609</w:t>
            </w:r>
          </w:p>
        </w:tc>
        <w:tc>
          <w:tcPr>
            <w:tcW w:type="dxa" w:w="1680"/>
            <w:shd w:fill="F2F2F2" w:val="clear"/>
            <w:tcMar>
              <w:top w:type="dxa" w:w="50"/>
              <w:left w:type="dxa" w:w="100"/>
              <w:bottom w:type="dxa" w:w="50"/>
              <w:right w:type="dxa" w:w="100"/>
            </w:tcMar>
          </w:tcPr>
          <w:p>
            <w:r>
              <w:rPr>
                <w:sz w:val="19"/>
                <w:szCs w:val="19"/>
              </w:rPr>
              <w:t xml:space="preserve">0</w:t>
            </w:r>
          </w:p>
        </w:tc>
        <w:tc>
          <w:tcPr>
            <w:tcW w:type="dxa" w:w="1680"/>
            <w:shd w:fill="F2F2F2" w:val="clear"/>
            <w:tcMar>
              <w:top w:type="dxa" w:w="50"/>
              <w:left w:type="dxa" w:w="100"/>
              <w:bottom w:type="dxa" w:w="50"/>
              <w:right w:type="dxa" w:w="100"/>
            </w:tcMar>
          </w:tcPr>
          <w:p>
            <w:r>
              <w:rPr>
                <w:sz w:val="19"/>
                <w:szCs w:val="19"/>
              </w:rPr>
              <w:t xml:space="preserve">609</w:t>
            </w:r>
          </w:p>
        </w:tc>
        <w:tc>
          <w:tcPr>
            <w:tcW w:type="dxa" w:w="1680"/>
            <w:shd w:fill="F2F2F2" w:val="clear"/>
            <w:tcMar>
              <w:top w:type="dxa" w:w="50"/>
              <w:left w:type="dxa" w:w="100"/>
              <w:bottom w:type="dxa" w:w="50"/>
              <w:right w:type="dxa" w:w="100"/>
            </w:tcMar>
          </w:tcPr>
          <w:p>
            <w:r>
              <w:rPr>
                <w:sz w:val="19"/>
                <w:szCs w:val="19"/>
              </w:rPr>
              <w:t xml:space="preserve">609</w:t>
            </w:r>
          </w:p>
        </w:tc>
        <w:tc>
          <w:tcPr>
            <w:tcW w:type="dxa" w:w="1680"/>
            <w:shd w:fill="F2F2F2" w:val="clear"/>
            <w:tcMar>
              <w:top w:type="dxa" w:w="50"/>
              <w:left w:type="dxa" w:w="100"/>
              <w:bottom w:type="dxa" w:w="50"/>
              <w:right w:type="dxa" w:w="100"/>
            </w:tcMar>
          </w:tcPr>
          <w:p>
            <w:r>
              <w:rPr>
                <w:sz w:val="19"/>
                <w:szCs w:val="19"/>
              </w:rPr>
              <w:t xml:space="preserve">609</w:t>
            </w:r>
          </w:p>
        </w:tc>
      </w:tr>
      <w:tr>
        <w:tc>
          <w:tcPr>
            <w:tcW w:type="dxa" w:w="1680"/>
            <w:shd w:fill="FFFFFF" w:val="clear"/>
            <w:tcMar>
              <w:top w:type="dxa" w:w="50"/>
              <w:left w:type="dxa" w:w="100"/>
              <w:bottom w:type="dxa" w:w="50"/>
              <w:right w:type="dxa" w:w="100"/>
            </w:tcMar>
          </w:tcPr>
          <w:p>
            <w:r>
              <w:rPr>
                <w:sz w:val="19"/>
                <w:szCs w:val="19"/>
              </w:rPr>
              <w:t xml:space="preserve">invoiced</w:t>
            </w:r>
          </w:p>
        </w:tc>
        <w:tc>
          <w:tcPr>
            <w:tcW w:type="dxa" w:w="1680"/>
            <w:shd w:fill="FFFFFF" w:val="clear"/>
            <w:tcMar>
              <w:top w:type="dxa" w:w="50"/>
              <w:left w:type="dxa" w:w="100"/>
              <w:bottom w:type="dxa" w:w="50"/>
              <w:right w:type="dxa" w:w="100"/>
            </w:tcMar>
          </w:tcPr>
          <w:p>
            <w:r>
              <w:rPr>
                <w:sz w:val="19"/>
                <w:szCs w:val="19"/>
              </w:rPr>
              <w:t xml:space="preserve">314</w:t>
            </w:r>
          </w:p>
        </w:tc>
        <w:tc>
          <w:tcPr>
            <w:tcW w:type="dxa" w:w="1680"/>
            <w:shd w:fill="FFFFFF" w:val="clear"/>
            <w:tcMar>
              <w:top w:type="dxa" w:w="50"/>
              <w:left w:type="dxa" w:w="100"/>
              <w:bottom w:type="dxa" w:w="50"/>
              <w:right w:type="dxa" w:w="100"/>
            </w:tcMar>
          </w:tcPr>
          <w:p>
            <w:r>
              <w:rPr>
                <w:sz w:val="19"/>
                <w:szCs w:val="19"/>
              </w:rPr>
              <w:t xml:space="preserve">0</w:t>
            </w:r>
          </w:p>
        </w:tc>
        <w:tc>
          <w:tcPr>
            <w:tcW w:type="dxa" w:w="1680"/>
            <w:shd w:fill="FFFFFF" w:val="clear"/>
            <w:tcMar>
              <w:top w:type="dxa" w:w="50"/>
              <w:left w:type="dxa" w:w="100"/>
              <w:bottom w:type="dxa" w:w="50"/>
              <w:right w:type="dxa" w:w="100"/>
            </w:tcMar>
          </w:tcPr>
          <w:p>
            <w:r>
              <w:rPr>
                <w:sz w:val="19"/>
                <w:szCs w:val="19"/>
              </w:rPr>
              <w:t xml:space="preserve">314</w:t>
            </w:r>
          </w:p>
        </w:tc>
        <w:tc>
          <w:tcPr>
            <w:tcW w:type="dxa" w:w="1680"/>
            <w:shd w:fill="FFFFFF" w:val="clear"/>
            <w:tcMar>
              <w:top w:type="dxa" w:w="50"/>
              <w:left w:type="dxa" w:w="100"/>
              <w:bottom w:type="dxa" w:w="50"/>
              <w:right w:type="dxa" w:w="100"/>
            </w:tcMar>
          </w:tcPr>
          <w:p>
            <w:r>
              <w:rPr>
                <w:sz w:val="19"/>
                <w:szCs w:val="19"/>
              </w:rPr>
              <w:t xml:space="preserve">314</w:t>
            </w:r>
          </w:p>
        </w:tc>
        <w:tc>
          <w:tcPr>
            <w:tcW w:type="dxa" w:w="1680"/>
            <w:shd w:fill="FFFFFF" w:val="clear"/>
            <w:tcMar>
              <w:top w:type="dxa" w:w="50"/>
              <w:left w:type="dxa" w:w="100"/>
              <w:bottom w:type="dxa" w:w="50"/>
              <w:right w:type="dxa" w:w="100"/>
            </w:tcMar>
          </w:tcPr>
          <w:p>
            <w:r>
              <w:rPr>
                <w:sz w:val="19"/>
                <w:szCs w:val="19"/>
              </w:rPr>
              <w:t xml:space="preserve">314</w:t>
            </w:r>
          </w:p>
        </w:tc>
      </w:tr>
      <w:tr>
        <w:tc>
          <w:tcPr>
            <w:tcW w:type="dxa" w:w="1680"/>
            <w:shd w:fill="F2F2F2" w:val="clear"/>
            <w:tcMar>
              <w:top w:type="dxa" w:w="50"/>
              <w:left w:type="dxa" w:w="100"/>
              <w:bottom w:type="dxa" w:w="50"/>
              <w:right w:type="dxa" w:w="100"/>
            </w:tcMar>
          </w:tcPr>
          <w:p>
            <w:r>
              <w:rPr>
                <w:sz w:val="19"/>
                <w:szCs w:val="19"/>
              </w:rPr>
              <w:t xml:space="preserve">processing</w:t>
            </w:r>
          </w:p>
        </w:tc>
        <w:tc>
          <w:tcPr>
            <w:tcW w:type="dxa" w:w="1680"/>
            <w:shd w:fill="F2F2F2" w:val="clear"/>
            <w:tcMar>
              <w:top w:type="dxa" w:w="50"/>
              <w:left w:type="dxa" w:w="100"/>
              <w:bottom w:type="dxa" w:w="50"/>
              <w:right w:type="dxa" w:w="100"/>
            </w:tcMar>
          </w:tcPr>
          <w:p>
            <w:r>
              <w:rPr>
                <w:sz w:val="19"/>
                <w:szCs w:val="19"/>
              </w:rPr>
              <w:t xml:space="preserve">301</w:t>
            </w:r>
          </w:p>
        </w:tc>
        <w:tc>
          <w:tcPr>
            <w:tcW w:type="dxa" w:w="1680"/>
            <w:shd w:fill="F2F2F2" w:val="clear"/>
            <w:tcMar>
              <w:top w:type="dxa" w:w="50"/>
              <w:left w:type="dxa" w:w="100"/>
              <w:bottom w:type="dxa" w:w="50"/>
              <w:right w:type="dxa" w:w="100"/>
            </w:tcMar>
          </w:tcPr>
          <w:p>
            <w:r>
              <w:rPr>
                <w:sz w:val="19"/>
                <w:szCs w:val="19"/>
              </w:rPr>
              <w:t xml:space="preserve">0</w:t>
            </w:r>
          </w:p>
        </w:tc>
        <w:tc>
          <w:tcPr>
            <w:tcW w:type="dxa" w:w="1680"/>
            <w:shd w:fill="F2F2F2" w:val="clear"/>
            <w:tcMar>
              <w:top w:type="dxa" w:w="50"/>
              <w:left w:type="dxa" w:w="100"/>
              <w:bottom w:type="dxa" w:w="50"/>
              <w:right w:type="dxa" w:w="100"/>
            </w:tcMar>
          </w:tcPr>
          <w:p>
            <w:r>
              <w:rPr>
                <w:sz w:val="19"/>
                <w:szCs w:val="19"/>
              </w:rPr>
              <w:t xml:space="preserve">301</w:t>
            </w:r>
          </w:p>
        </w:tc>
        <w:tc>
          <w:tcPr>
            <w:tcW w:type="dxa" w:w="1680"/>
            <w:shd w:fill="F2F2F2" w:val="clear"/>
            <w:tcMar>
              <w:top w:type="dxa" w:w="50"/>
              <w:left w:type="dxa" w:w="100"/>
              <w:bottom w:type="dxa" w:w="50"/>
              <w:right w:type="dxa" w:w="100"/>
            </w:tcMar>
          </w:tcPr>
          <w:p>
            <w:r>
              <w:rPr>
                <w:sz w:val="19"/>
                <w:szCs w:val="19"/>
              </w:rPr>
              <w:t xml:space="preserve">301</w:t>
            </w:r>
          </w:p>
        </w:tc>
        <w:tc>
          <w:tcPr>
            <w:tcW w:type="dxa" w:w="1680"/>
            <w:shd w:fill="F2F2F2" w:val="clear"/>
            <w:tcMar>
              <w:top w:type="dxa" w:w="50"/>
              <w:left w:type="dxa" w:w="100"/>
              <w:bottom w:type="dxa" w:w="50"/>
              <w:right w:type="dxa" w:w="100"/>
            </w:tcMar>
          </w:tcPr>
          <w:p>
            <w:r>
              <w:rPr>
                <w:sz w:val="19"/>
                <w:szCs w:val="19"/>
              </w:rPr>
              <w:t xml:space="preserve">301</w:t>
            </w:r>
          </w:p>
        </w:tc>
      </w:tr>
      <w:tr>
        <w:tc>
          <w:tcPr>
            <w:tcW w:type="dxa" w:w="1680"/>
            <w:shd w:fill="FFFFFF" w:val="clear"/>
            <w:tcMar>
              <w:top w:type="dxa" w:w="50"/>
              <w:left w:type="dxa" w:w="100"/>
              <w:bottom w:type="dxa" w:w="50"/>
              <w:right w:type="dxa" w:w="100"/>
            </w:tcMar>
          </w:tcPr>
          <w:p>
            <w:r>
              <w:rPr>
                <w:sz w:val="19"/>
                <w:szCs w:val="19"/>
              </w:rPr>
              <w:t xml:space="preserve">created</w:t>
            </w:r>
          </w:p>
        </w:tc>
        <w:tc>
          <w:tcPr>
            <w:tcW w:type="dxa" w:w="1680"/>
            <w:shd w:fill="FFFFFF" w:val="clear"/>
            <w:tcMar>
              <w:top w:type="dxa" w:w="50"/>
              <w:left w:type="dxa" w:w="100"/>
              <w:bottom w:type="dxa" w:w="50"/>
              <w:right w:type="dxa" w:w="100"/>
            </w:tcMar>
          </w:tcPr>
          <w:p>
            <w:r>
              <w:rPr>
                <w:sz w:val="19"/>
                <w:szCs w:val="19"/>
              </w:rPr>
              <w:t xml:space="preserve">5</w:t>
            </w:r>
          </w:p>
        </w:tc>
        <w:tc>
          <w:tcPr>
            <w:tcW w:type="dxa" w:w="1680"/>
            <w:shd w:fill="FFFFFF" w:val="clear"/>
            <w:tcMar>
              <w:top w:type="dxa" w:w="50"/>
              <w:left w:type="dxa" w:w="100"/>
              <w:bottom w:type="dxa" w:w="50"/>
              <w:right w:type="dxa" w:w="100"/>
            </w:tcMar>
          </w:tcPr>
          <w:p>
            <w:r>
              <w:rPr>
                <w:sz w:val="19"/>
                <w:szCs w:val="19"/>
              </w:rPr>
              <w:t xml:space="preserve">5</w:t>
            </w:r>
          </w:p>
        </w:tc>
        <w:tc>
          <w:tcPr>
            <w:tcW w:type="dxa" w:w="1680"/>
            <w:shd w:fill="FFFFFF" w:val="clear"/>
            <w:tcMar>
              <w:top w:type="dxa" w:w="50"/>
              <w:left w:type="dxa" w:w="100"/>
              <w:bottom w:type="dxa" w:w="50"/>
              <w:right w:type="dxa" w:w="100"/>
            </w:tcMar>
          </w:tcPr>
          <w:p>
            <w:r>
              <w:rPr>
                <w:sz w:val="19"/>
                <w:szCs w:val="19"/>
              </w:rPr>
              <w:t xml:space="preserve">5</w:t>
            </w:r>
          </w:p>
        </w:tc>
        <w:tc>
          <w:tcPr>
            <w:tcW w:type="dxa" w:w="1680"/>
            <w:shd w:fill="FFFFFF" w:val="clear"/>
            <w:tcMar>
              <w:top w:type="dxa" w:w="50"/>
              <w:left w:type="dxa" w:w="100"/>
              <w:bottom w:type="dxa" w:w="50"/>
              <w:right w:type="dxa" w:w="100"/>
            </w:tcMar>
          </w:tcPr>
          <w:p>
            <w:r>
              <w:rPr>
                <w:sz w:val="19"/>
                <w:szCs w:val="19"/>
              </w:rPr>
              <w:t xml:space="preserve">5</w:t>
            </w:r>
          </w:p>
        </w:tc>
        <w:tc>
          <w:tcPr>
            <w:tcW w:type="dxa" w:w="1680"/>
            <w:shd w:fill="FFFFFF" w:val="clear"/>
            <w:tcMar>
              <w:top w:type="dxa" w:w="50"/>
              <w:left w:type="dxa" w:w="100"/>
              <w:bottom w:type="dxa" w:w="50"/>
              <w:right w:type="dxa" w:w="100"/>
            </w:tcMar>
          </w:tcPr>
          <w:p>
            <w:r>
              <w:rPr>
                <w:sz w:val="19"/>
                <w:szCs w:val="19"/>
              </w:rPr>
              <w:t xml:space="preserve">5</w:t>
            </w:r>
          </w:p>
        </w:tc>
      </w:tr>
      <w:tr>
        <w:tc>
          <w:tcPr>
            <w:tcW w:type="dxa" w:w="1680"/>
            <w:shd w:fill="F2F2F2" w:val="clear"/>
            <w:tcMar>
              <w:top w:type="dxa" w:w="50"/>
              <w:left w:type="dxa" w:w="100"/>
              <w:bottom w:type="dxa" w:w="50"/>
              <w:right w:type="dxa" w:w="100"/>
            </w:tcMar>
          </w:tcPr>
          <w:p>
            <w:r>
              <w:rPr>
                <w:sz w:val="19"/>
                <w:szCs w:val="19"/>
              </w:rPr>
              <w:t xml:space="preserve">approved</w:t>
            </w:r>
          </w:p>
        </w:tc>
        <w:tc>
          <w:tcPr>
            <w:tcW w:type="dxa" w:w="1680"/>
            <w:shd w:fill="F2F2F2" w:val="clear"/>
            <w:tcMar>
              <w:top w:type="dxa" w:w="50"/>
              <w:left w:type="dxa" w:w="100"/>
              <w:bottom w:type="dxa" w:w="50"/>
              <w:right w:type="dxa" w:w="100"/>
            </w:tcMar>
          </w:tcPr>
          <w:p>
            <w:r>
              <w:rPr>
                <w:sz w:val="19"/>
                <w:szCs w:val="19"/>
              </w:rPr>
              <w:t xml:space="preserve">2</w:t>
            </w:r>
          </w:p>
        </w:tc>
        <w:tc>
          <w:tcPr>
            <w:tcW w:type="dxa" w:w="1680"/>
            <w:shd w:fill="F2F2F2" w:val="clear"/>
            <w:tcMar>
              <w:top w:type="dxa" w:w="50"/>
              <w:left w:type="dxa" w:w="100"/>
              <w:bottom w:type="dxa" w:w="50"/>
              <w:right w:type="dxa" w:w="100"/>
            </w:tcMar>
          </w:tcPr>
          <w:p>
            <w:r>
              <w:rPr>
                <w:sz w:val="19"/>
                <w:szCs w:val="19"/>
              </w:rPr>
              <w:t xml:space="preserve">0</w:t>
            </w:r>
          </w:p>
        </w:tc>
        <w:tc>
          <w:tcPr>
            <w:tcW w:type="dxa" w:w="1680"/>
            <w:shd w:fill="F2F2F2" w:val="clear"/>
            <w:tcMar>
              <w:top w:type="dxa" w:w="50"/>
              <w:left w:type="dxa" w:w="100"/>
              <w:bottom w:type="dxa" w:w="50"/>
              <w:right w:type="dxa" w:w="100"/>
            </w:tcMar>
          </w:tcPr>
          <w:p>
            <w:r>
              <w:rPr>
                <w:sz w:val="19"/>
                <w:szCs w:val="19"/>
              </w:rPr>
              <w:t xml:space="preserve">2</w:t>
            </w:r>
          </w:p>
        </w:tc>
        <w:tc>
          <w:tcPr>
            <w:tcW w:type="dxa" w:w="1680"/>
            <w:shd w:fill="F2F2F2" w:val="clear"/>
            <w:tcMar>
              <w:top w:type="dxa" w:w="50"/>
              <w:left w:type="dxa" w:w="100"/>
              <w:bottom w:type="dxa" w:w="50"/>
              <w:right w:type="dxa" w:w="100"/>
            </w:tcMar>
          </w:tcPr>
          <w:p>
            <w:r>
              <w:rPr>
                <w:sz w:val="19"/>
                <w:szCs w:val="19"/>
              </w:rPr>
              <w:t xml:space="preserve">2</w:t>
            </w:r>
          </w:p>
        </w:tc>
        <w:tc>
          <w:tcPr>
            <w:tcW w:type="dxa" w:w="1680"/>
            <w:shd w:fill="F2F2F2" w:val="clear"/>
            <w:tcMar>
              <w:top w:type="dxa" w:w="50"/>
              <w:left w:type="dxa" w:w="100"/>
              <w:bottom w:type="dxa" w:w="50"/>
              <w:right w:type="dxa" w:w="100"/>
            </w:tcMar>
          </w:tcPr>
          <w:p>
            <w:r>
              <w:rPr>
                <w:sz w:val="19"/>
                <w:szCs w:val="19"/>
              </w:rPr>
              <w:t xml:space="preserve">2</w:t>
            </w:r>
          </w:p>
        </w:tc>
      </w:tr>
    </w:tbl>
    <w:p>
      <w:pPr>
        <w:spacing w:after="160"/>
      </w:pPr>
    </w:p>
    <w:p>
      <w:pPr>
        <w:spacing w:after="80" w:before="180"/>
      </w:pPr>
      <w:r>
        <w:rPr>
          <w:b/>
          <w:bCs/>
          <w:color w:val="1F3864"/>
          <w:sz w:val="22"/>
          <w:szCs w:val="22"/>
        </w:rPr>
        <w:t xml:space="preserve">2.3 Finding</w:t>
      </w:r>
    </w:p>
    <w:p>
      <w:pPr>
        <w:spacing w:after="120"/>
        <w:jc w:val="left"/>
      </w:pPr>
      <w:r>
        <w:rPr>
          <w:b w:val="false"/>
          <w:bCs w:val="false"/>
          <w:i w:val="false"/>
          <w:iCs w:val="false"/>
          <w:sz w:val="21"/>
          <w:szCs w:val="21"/>
        </w:rPr>
        <w:t xml:space="preserve">Every null value reconciles exactly to one of two expected, already-documented categories:</w:t>
      </w:r>
    </w:p>
    <w:p>
      <w:pPr>
        <w:pStyle w:val="ListParagraph"/>
        <w:numPr>
          <w:ilvl w:val="0"/>
          <w:numId w:val="1"/>
        </w:numPr>
        <w:spacing w:after="60"/>
      </w:pPr>
      <w:r>
        <w:rPr>
          <w:b w:val="false"/>
          <w:bCs w:val="false"/>
          <w:sz w:val="21"/>
          <w:szCs w:val="21"/>
        </w:rPr>
        <w:t xml:space="preserve">Orders that never reached the relevant lifecycle stage (e.g., a canceled order never reaching the carrier). This accounts for the vast majority of nulls in order_approved_at, order_delivered_carrier_date, and order_delivered_customer_date.</w:t>
      </w:r>
    </w:p>
    <w:p>
      <w:pPr>
        <w:pStyle w:val="ListParagraph"/>
        <w:numPr>
          <w:ilvl w:val="0"/>
          <w:numId w:val="1"/>
        </w:numPr>
        <w:spacing w:after="60"/>
      </w:pPr>
      <w:r>
        <w:rPr>
          <w:b w:val="false"/>
          <w:bCs w:val="false"/>
          <w:sz w:val="21"/>
          <w:szCs w:val="21"/>
        </w:rPr>
        <w:t xml:space="preserve">Delivered orders excluded under the delivery-sequence validity rule established in the Phase 4 Cleaning Log (§2, item 5). Of the 4,359 null delivery_days values, 2,963 belong to non-delivered orders and the remaining 1,396 are delivered orders with an invalid date sequence (carrier-before-approved or customer-before-carrier) — consistent with the ~1,382 flagged rows carried forward from Phase 4. Notably, 6 canceled orders retain a populated delivery date but are still correctly excluded via order_status, confirming the view enforces both a valid-sequence rule and a delivered-status rule, not merely a null check.</w:t>
      </w:r>
    </w:p>
    <w:p>
      <w:pPr>
        <w:spacing w:after="120"/>
        <w:jc w:val="left"/>
      </w:pPr>
      <w:r>
        <w:rPr>
          <w:b w:val="false"/>
          <w:bCs w:val="false"/>
          <w:i/>
          <w:iCs/>
          <w:sz w:val="21"/>
          <w:szCs w:val="21"/>
        </w:rPr>
        <w:t xml:space="preserve">No imputation or correction was applied to any of these fields. This is not a cleaning action but an eligibility-scoping decision, consistent with the project's principle of documenting exclusions rather than silently filtering them.</w:t>
      </w:r>
    </w:p>
    <w:p>
      <w:pPr>
        <w:spacing w:after="80" w:before="180"/>
      </w:pPr>
      <w:r>
        <w:rPr>
          <w:b/>
          <w:bCs/>
          <w:color w:val="1F3864"/>
          <w:sz w:val="22"/>
          <w:szCs w:val="22"/>
        </w:rPr>
        <w:t xml:space="preserve">2.4 Resulting Eligible Population</w:t>
      </w:r>
    </w:p>
    <w:p>
      <w:pPr>
        <w:spacing w:after="120"/>
      </w:pPr>
      <w:r>
        <w:rPr>
          <w:sz w:val="21"/>
          <w:szCs w:val="21"/>
        </w:rPr>
        <w:t xml:space="preserve">The eligible population for all delivery-duration KPIs (On-Time Delivery Rate, Late Delivery Rate, Average Delivery Time, Average Delivery Delay) is </w:t>
      </w:r>
      <w:r>
        <w:rPr>
          <w:b/>
          <w:bCs/>
          <w:sz w:val="21"/>
          <w:szCs w:val="21"/>
        </w:rPr>
        <w:t xml:space="preserve">95,082 delivered orders</w:t>
      </w:r>
      <w:r>
        <w:rPr>
          <w:sz w:val="21"/>
          <w:szCs w:val="21"/>
        </w:rPr>
        <w:t xml:space="preserve"> (96,478 delivered − 1,396 excluded). Every delivery-focused query in this phase filters on delivery_days IS NOT NULL to reflect this population correctly.</w:t>
      </w:r>
    </w:p>
    <w:p>
      <w:pPr>
        <w:pBdr>
          <w:bottom w:val="single" w:color="AAAAAA" w:sz="6" w:space="1"/>
        </w:pBdr>
        <w:spacing w:after="200"/>
      </w:pPr>
    </w:p>
    <w:p>
      <w:pPr>
        <w:pStyle w:val="Heading1"/>
        <w:spacing w:after="140" w:before="320"/>
      </w:pPr>
      <w:r>
        <w:t xml:space="preserve">3. Objective 1 — Revenue Performance</w:t>
      </w:r>
    </w:p>
    <w:p>
      <w:pPr>
        <w:spacing w:after="120"/>
        <w:jc w:val="left"/>
      </w:pPr>
      <w:r>
        <w:rPr>
          <w:b w:val="false"/>
          <w:bCs w:val="false"/>
          <w:i w:val="false"/>
          <w:iCs w:val="false"/>
          <w:sz w:val="21"/>
          <w:szCs w:val="21"/>
        </w:rPr>
        <w:t xml:space="preserve">Business Question: How much revenue are we generating, and how is it trending over time?</w:t>
      </w:r>
    </w:p>
    <w:p>
      <w:pPr>
        <w:pStyle w:val="Heading2"/>
        <w:spacing w:after="100" w:before="240"/>
      </w:pPr>
      <w:r>
        <w:t xml:space="preserve">3.1 Headline KPIs</w:t>
      </w:r>
    </w:p>
    <w:p>
      <w:pPr>
        <w:spacing w:after="120"/>
        <w:jc w:val="left"/>
      </w:pPr>
      <w:r>
        <w:rPr>
          <w:b w:val="false"/>
          <w:bCs w:val="false"/>
          <w:i w:val="false"/>
          <w:iCs w:val="false"/>
          <w:sz w:val="21"/>
          <w:szCs w:val="21"/>
        </w:rPr>
        <w:t xml:space="preserve">Revenue is scoped to delivered orders, consistent with the Business Understanding assumption (§7) that order_status = 'delivered' represents the primary population for revenue reporting. Total Revenue is defined as SUM(payment_value) from the order-grain fact_orders view, chosen over item-level price for join safety and to avoid fan-out risk, not merely because it offers one row per order.</w:t>
      </w:r>
    </w:p>
    <w:p>
      <w:pPr>
        <w:spacing w:after="80" w:before="180"/>
      </w:pPr>
      <w:r>
        <w:rPr>
          <w:b/>
          <w:bCs/>
          <w:color w:val="1F3864"/>
          <w:sz w:val="22"/>
          <w:szCs w:val="22"/>
        </w:rPr>
        <w:t xml:space="preserve">3.2 Payment Value Distribution</w:t>
      </w:r>
    </w:p>
    <w:p>
      <w:pPr>
        <w:spacing w:after="120"/>
        <w:jc w:val="left"/>
      </w:pPr>
      <w:r>
        <w:rPr>
          <w:b w:val="false"/>
          <w:bCs w:val="false"/>
          <w:i w:val="false"/>
          <w:iCs w:val="false"/>
          <w:sz w:val="21"/>
          <w:szCs w:val="21"/>
        </w:rPr>
        <w:t xml:space="preserve">A bucket analysis of payment_value across all delivered orders was performed to quantify the right-skew already noted in the Phase 4 Cleaning Log (mean 154.10 vs. median 100).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shd w:fill="1F3864" w:val="clear"/>
            <w:tcMar>
              <w:top w:type="dxa" w:w="60"/>
              <w:left w:type="dxa" w:w="100"/>
              <w:bottom w:type="dxa" w:w="60"/>
              <w:right w:type="dxa" w:w="100"/>
            </w:tcMar>
          </w:tcPr>
          <w:p>
            <w:r>
              <w:rPr>
                <w:b/>
                <w:bCs/>
                <w:color w:val="FFFFFF"/>
                <w:sz w:val="19"/>
                <w:szCs w:val="19"/>
              </w:rPr>
              <w:t xml:space="preserve">Value Bucket</w:t>
            </w:r>
          </w:p>
        </w:tc>
        <w:tc>
          <w:tcPr>
            <w:tcW w:type="dxa" w:w="2016"/>
            <w:shd w:fill="1F3864" w:val="clear"/>
            <w:tcMar>
              <w:top w:type="dxa" w:w="60"/>
              <w:left w:type="dxa" w:w="100"/>
              <w:bottom w:type="dxa" w:w="60"/>
              <w:right w:type="dxa" w:w="100"/>
            </w:tcMar>
          </w:tcPr>
          <w:p>
            <w:r>
              <w:rPr>
                <w:b/>
                <w:bCs/>
                <w:color w:val="FFFFFF"/>
                <w:sz w:val="19"/>
                <w:szCs w:val="19"/>
              </w:rPr>
              <w:t xml:space="preserve">Order Count</w:t>
            </w:r>
          </w:p>
        </w:tc>
        <w:tc>
          <w:tcPr>
            <w:tcW w:type="dxa" w:w="2016"/>
            <w:shd w:fill="1F3864" w:val="clear"/>
            <w:tcMar>
              <w:top w:type="dxa" w:w="60"/>
              <w:left w:type="dxa" w:w="100"/>
              <w:bottom w:type="dxa" w:w="60"/>
              <w:right w:type="dxa" w:w="100"/>
            </w:tcMar>
          </w:tcPr>
          <w:p>
            <w:r>
              <w:rPr>
                <w:b/>
                <w:bCs/>
                <w:color w:val="FFFFFF"/>
                <w:sz w:val="19"/>
                <w:szCs w:val="19"/>
              </w:rPr>
              <w:t xml:space="preserve">% of Orders</w:t>
            </w:r>
          </w:p>
        </w:tc>
        <w:tc>
          <w:tcPr>
            <w:tcW w:type="dxa" w:w="2016"/>
            <w:shd w:fill="1F3864" w:val="clear"/>
            <w:tcMar>
              <w:top w:type="dxa" w:w="60"/>
              <w:left w:type="dxa" w:w="100"/>
              <w:bottom w:type="dxa" w:w="60"/>
              <w:right w:type="dxa" w:w="100"/>
            </w:tcMar>
          </w:tcPr>
          <w:p>
            <w:r>
              <w:rPr>
                <w:b/>
                <w:bCs/>
                <w:color w:val="FFFFFF"/>
                <w:sz w:val="19"/>
                <w:szCs w:val="19"/>
              </w:rPr>
              <w:t xml:space="preserve">Bucket Revenue (BRL)</w:t>
            </w:r>
          </w:p>
        </w:tc>
        <w:tc>
          <w:tcPr>
            <w:tcW w:type="dxa" w:w="2016"/>
            <w:shd w:fill="1F3864" w:val="clear"/>
            <w:tcMar>
              <w:top w:type="dxa" w:w="60"/>
              <w:left w:type="dxa" w:w="100"/>
              <w:bottom w:type="dxa" w:w="60"/>
              <w:right w:type="dxa" w:w="100"/>
            </w:tcMar>
          </w:tcPr>
          <w:p>
            <w:r>
              <w:rPr>
                <w:b/>
                <w:bCs/>
                <w:color w:val="FFFFFF"/>
                <w:sz w:val="19"/>
                <w:szCs w:val="19"/>
              </w:rPr>
              <w:t xml:space="preserve">% of Revenue</w:t>
            </w:r>
          </w:p>
        </w:tc>
      </w:tr>
      <w:tr>
        <w:tc>
          <w:tcPr>
            <w:tcW w:type="dxa" w:w="2016"/>
            <w:shd w:fill="FFFFFF" w:val="clear"/>
            <w:tcMar>
              <w:top w:type="dxa" w:w="50"/>
              <w:left w:type="dxa" w:w="100"/>
              <w:bottom w:type="dxa" w:w="50"/>
              <w:right w:type="dxa" w:w="100"/>
            </w:tcMar>
          </w:tcPr>
          <w:p>
            <w:r>
              <w:rPr>
                <w:sz w:val="19"/>
                <w:szCs w:val="19"/>
              </w:rPr>
              <w:t xml:space="preserve">Zero</w:t>
            </w:r>
          </w:p>
        </w:tc>
        <w:tc>
          <w:tcPr>
            <w:tcW w:type="dxa" w:w="2016"/>
            <w:shd w:fill="FFFFFF" w:val="clear"/>
            <w:tcMar>
              <w:top w:type="dxa" w:w="50"/>
              <w:left w:type="dxa" w:w="100"/>
              <w:bottom w:type="dxa" w:w="50"/>
              <w:right w:type="dxa" w:w="100"/>
            </w:tcMar>
          </w:tcPr>
          <w:p>
            <w:r>
              <w:rPr>
                <w:sz w:val="19"/>
                <w:szCs w:val="19"/>
              </w:rPr>
              <w:t xml:space="preserve">1</w:t>
            </w:r>
          </w:p>
        </w:tc>
        <w:tc>
          <w:tcPr>
            <w:tcW w:type="dxa" w:w="2016"/>
            <w:shd w:fill="FFFFFF" w:val="clear"/>
            <w:tcMar>
              <w:top w:type="dxa" w:w="50"/>
              <w:left w:type="dxa" w:w="100"/>
              <w:bottom w:type="dxa" w:w="50"/>
              <w:right w:type="dxa" w:w="100"/>
            </w:tcMar>
          </w:tcPr>
          <w:p>
            <w:r>
              <w:rPr>
                <w:sz w:val="19"/>
                <w:szCs w:val="19"/>
              </w:rPr>
              <w:t xml:space="preserve">0.00%</w:t>
            </w:r>
          </w:p>
        </w:tc>
        <w:tc>
          <w:tcPr>
            <w:tcW w:type="dxa" w:w="2016"/>
            <w:shd w:fill="FFFFFF" w:val="clear"/>
            <w:tcMar>
              <w:top w:type="dxa" w:w="50"/>
              <w:left w:type="dxa" w:w="100"/>
              <w:bottom w:type="dxa" w:w="50"/>
              <w:right w:type="dxa" w:w="100"/>
            </w:tcMar>
          </w:tcPr>
          <w:p>
            <w:r>
              <w:rPr>
                <w:sz w:val="19"/>
                <w:szCs w:val="19"/>
              </w:rPr>
              <w:t xml:space="preserve">0.00</w:t>
            </w:r>
          </w:p>
        </w:tc>
        <w:tc>
          <w:tcPr>
            <w:tcW w:type="dxa" w:w="2016"/>
            <w:shd w:fill="FFFFFF" w:val="clear"/>
            <w:tcMar>
              <w:top w:type="dxa" w:w="50"/>
              <w:left w:type="dxa" w:w="100"/>
              <w:bottom w:type="dxa" w:w="50"/>
              <w:right w:type="dxa" w:w="100"/>
            </w:tcMar>
          </w:tcPr>
          <w:p>
            <w:r>
              <w:rPr>
                <w:sz w:val="19"/>
                <w:szCs w:val="19"/>
              </w:rPr>
              <w:t xml:space="preserve">0.00%</w:t>
            </w:r>
          </w:p>
        </w:tc>
      </w:tr>
      <w:tr>
        <w:tc>
          <w:tcPr>
            <w:tcW w:type="dxa" w:w="2016"/>
            <w:shd w:fill="F2F2F2" w:val="clear"/>
            <w:tcMar>
              <w:top w:type="dxa" w:w="50"/>
              <w:left w:type="dxa" w:w="100"/>
              <w:bottom w:type="dxa" w:w="50"/>
              <w:right w:type="dxa" w:w="100"/>
            </w:tcMar>
          </w:tcPr>
          <w:p>
            <w:r>
              <w:rPr>
                <w:sz w:val="19"/>
                <w:szCs w:val="19"/>
              </w:rPr>
              <w:t xml:space="preserve">0.01 – 50</w:t>
            </w:r>
          </w:p>
        </w:tc>
        <w:tc>
          <w:tcPr>
            <w:tcW w:type="dxa" w:w="2016"/>
            <w:shd w:fill="F2F2F2" w:val="clear"/>
            <w:tcMar>
              <w:top w:type="dxa" w:w="50"/>
              <w:left w:type="dxa" w:w="100"/>
              <w:bottom w:type="dxa" w:w="50"/>
              <w:right w:type="dxa" w:w="100"/>
            </w:tcMar>
          </w:tcPr>
          <w:p>
            <w:r>
              <w:rPr>
                <w:sz w:val="19"/>
                <w:szCs w:val="19"/>
              </w:rPr>
              <w:t xml:space="preserve">16,499</w:t>
            </w:r>
          </w:p>
        </w:tc>
        <w:tc>
          <w:tcPr>
            <w:tcW w:type="dxa" w:w="2016"/>
            <w:shd w:fill="F2F2F2" w:val="clear"/>
            <w:tcMar>
              <w:top w:type="dxa" w:w="50"/>
              <w:left w:type="dxa" w:w="100"/>
              <w:bottom w:type="dxa" w:w="50"/>
              <w:right w:type="dxa" w:w="100"/>
            </w:tcMar>
          </w:tcPr>
          <w:p>
            <w:r>
              <w:rPr>
                <w:sz w:val="19"/>
                <w:szCs w:val="19"/>
              </w:rPr>
              <w:t xml:space="preserve">17.10%</w:t>
            </w:r>
          </w:p>
        </w:tc>
        <w:tc>
          <w:tcPr>
            <w:tcW w:type="dxa" w:w="2016"/>
            <w:shd w:fill="F2F2F2" w:val="clear"/>
            <w:tcMar>
              <w:top w:type="dxa" w:w="50"/>
              <w:left w:type="dxa" w:w="100"/>
              <w:bottom w:type="dxa" w:w="50"/>
              <w:right w:type="dxa" w:w="100"/>
            </w:tcMar>
          </w:tcPr>
          <w:p>
            <w:r>
              <w:rPr>
                <w:sz w:val="19"/>
                <w:szCs w:val="19"/>
              </w:rPr>
              <w:t xml:space="preserve">609,053.04</w:t>
            </w:r>
          </w:p>
        </w:tc>
        <w:tc>
          <w:tcPr>
            <w:tcW w:type="dxa" w:w="2016"/>
            <w:shd w:fill="F2F2F2" w:val="clear"/>
            <w:tcMar>
              <w:top w:type="dxa" w:w="50"/>
              <w:left w:type="dxa" w:w="100"/>
              <w:bottom w:type="dxa" w:w="50"/>
              <w:right w:type="dxa" w:w="100"/>
            </w:tcMar>
          </w:tcPr>
          <w:p>
            <w:r>
              <w:rPr>
                <w:sz w:val="19"/>
                <w:szCs w:val="19"/>
              </w:rPr>
              <w:t xml:space="preserve">3.95%</w:t>
            </w:r>
          </w:p>
        </w:tc>
      </w:tr>
      <w:tr>
        <w:tc>
          <w:tcPr>
            <w:tcW w:type="dxa" w:w="2016"/>
            <w:shd w:fill="FFFFFF" w:val="clear"/>
            <w:tcMar>
              <w:top w:type="dxa" w:w="50"/>
              <w:left w:type="dxa" w:w="100"/>
              <w:bottom w:type="dxa" w:w="50"/>
              <w:right w:type="dxa" w:w="100"/>
            </w:tcMar>
          </w:tcPr>
          <w:p>
            <w:r>
              <w:rPr>
                <w:sz w:val="19"/>
                <w:szCs w:val="19"/>
              </w:rPr>
              <w:t xml:space="preserve">50 – 100</w:t>
            </w:r>
          </w:p>
        </w:tc>
        <w:tc>
          <w:tcPr>
            <w:tcW w:type="dxa" w:w="2016"/>
            <w:shd w:fill="FFFFFF" w:val="clear"/>
            <w:tcMar>
              <w:top w:type="dxa" w:w="50"/>
              <w:left w:type="dxa" w:w="100"/>
              <w:bottom w:type="dxa" w:w="50"/>
              <w:right w:type="dxa" w:w="100"/>
            </w:tcMar>
          </w:tcPr>
          <w:p>
            <w:r>
              <w:rPr>
                <w:sz w:val="19"/>
                <w:szCs w:val="19"/>
              </w:rPr>
              <w:t xml:space="preserve">29,421</w:t>
            </w:r>
          </w:p>
        </w:tc>
        <w:tc>
          <w:tcPr>
            <w:tcW w:type="dxa" w:w="2016"/>
            <w:shd w:fill="FFFFFF" w:val="clear"/>
            <w:tcMar>
              <w:top w:type="dxa" w:w="50"/>
              <w:left w:type="dxa" w:w="100"/>
              <w:bottom w:type="dxa" w:w="50"/>
              <w:right w:type="dxa" w:w="100"/>
            </w:tcMar>
          </w:tcPr>
          <w:p>
            <w:r>
              <w:rPr>
                <w:sz w:val="19"/>
                <w:szCs w:val="19"/>
              </w:rPr>
              <w:t xml:space="preserve">30.50%</w:t>
            </w:r>
          </w:p>
        </w:tc>
        <w:tc>
          <w:tcPr>
            <w:tcW w:type="dxa" w:w="2016"/>
            <w:shd w:fill="FFFFFF" w:val="clear"/>
            <w:tcMar>
              <w:top w:type="dxa" w:w="50"/>
              <w:left w:type="dxa" w:w="100"/>
              <w:bottom w:type="dxa" w:w="50"/>
              <w:right w:type="dxa" w:w="100"/>
            </w:tcMar>
          </w:tcPr>
          <w:p>
            <w:r>
              <w:rPr>
                <w:sz w:val="19"/>
                <w:szCs w:val="19"/>
              </w:rPr>
              <w:t xml:space="preserve">2,157,045.09</w:t>
            </w:r>
          </w:p>
        </w:tc>
        <w:tc>
          <w:tcPr>
            <w:tcW w:type="dxa" w:w="2016"/>
            <w:shd w:fill="FFFFFF" w:val="clear"/>
            <w:tcMar>
              <w:top w:type="dxa" w:w="50"/>
              <w:left w:type="dxa" w:w="100"/>
              <w:bottom w:type="dxa" w:w="50"/>
              <w:right w:type="dxa" w:w="100"/>
            </w:tcMar>
          </w:tcPr>
          <w:p>
            <w:r>
              <w:rPr>
                <w:sz w:val="19"/>
                <w:szCs w:val="19"/>
              </w:rPr>
              <w:t xml:space="preserve">13.99%</w:t>
            </w:r>
          </w:p>
        </w:tc>
      </w:tr>
      <w:tr>
        <w:tc>
          <w:tcPr>
            <w:tcW w:type="dxa" w:w="2016"/>
            <w:shd w:fill="F2F2F2" w:val="clear"/>
            <w:tcMar>
              <w:top w:type="dxa" w:w="50"/>
              <w:left w:type="dxa" w:w="100"/>
              <w:bottom w:type="dxa" w:w="50"/>
              <w:right w:type="dxa" w:w="100"/>
            </w:tcMar>
          </w:tcPr>
          <w:p>
            <w:r>
              <w:rPr>
                <w:sz w:val="19"/>
                <w:szCs w:val="19"/>
              </w:rPr>
              <w:t xml:space="preserve">100 – 150</w:t>
            </w:r>
          </w:p>
        </w:tc>
        <w:tc>
          <w:tcPr>
            <w:tcW w:type="dxa" w:w="2016"/>
            <w:shd w:fill="F2F2F2" w:val="clear"/>
            <w:tcMar>
              <w:top w:type="dxa" w:w="50"/>
              <w:left w:type="dxa" w:w="100"/>
              <w:bottom w:type="dxa" w:w="50"/>
              <w:right w:type="dxa" w:w="100"/>
            </w:tcMar>
          </w:tcPr>
          <w:p>
            <w:r>
              <w:rPr>
                <w:sz w:val="19"/>
                <w:szCs w:val="19"/>
              </w:rPr>
              <w:t xml:space="preserve">19,269</w:t>
            </w:r>
          </w:p>
        </w:tc>
        <w:tc>
          <w:tcPr>
            <w:tcW w:type="dxa" w:w="2016"/>
            <w:shd w:fill="F2F2F2" w:val="clear"/>
            <w:tcMar>
              <w:top w:type="dxa" w:w="50"/>
              <w:left w:type="dxa" w:w="100"/>
              <w:bottom w:type="dxa" w:w="50"/>
              <w:right w:type="dxa" w:w="100"/>
            </w:tcMar>
          </w:tcPr>
          <w:p>
            <w:r>
              <w:rPr>
                <w:sz w:val="19"/>
                <w:szCs w:val="19"/>
              </w:rPr>
              <w:t xml:space="preserve">19.97%</w:t>
            </w:r>
          </w:p>
        </w:tc>
        <w:tc>
          <w:tcPr>
            <w:tcW w:type="dxa" w:w="2016"/>
            <w:shd w:fill="F2F2F2" w:val="clear"/>
            <w:tcMar>
              <w:top w:type="dxa" w:w="50"/>
              <w:left w:type="dxa" w:w="100"/>
              <w:bottom w:type="dxa" w:w="50"/>
              <w:right w:type="dxa" w:w="100"/>
            </w:tcMar>
          </w:tcPr>
          <w:p>
            <w:r>
              <w:rPr>
                <w:sz w:val="19"/>
                <w:szCs w:val="19"/>
              </w:rPr>
              <w:t xml:space="preserve">2,375,146.89</w:t>
            </w:r>
          </w:p>
        </w:tc>
        <w:tc>
          <w:tcPr>
            <w:tcW w:type="dxa" w:w="2016"/>
            <w:shd w:fill="F2F2F2" w:val="clear"/>
            <w:tcMar>
              <w:top w:type="dxa" w:w="50"/>
              <w:left w:type="dxa" w:w="100"/>
              <w:bottom w:type="dxa" w:w="50"/>
              <w:right w:type="dxa" w:w="100"/>
            </w:tcMar>
          </w:tcPr>
          <w:p>
            <w:r>
              <w:rPr>
                <w:sz w:val="19"/>
                <w:szCs w:val="19"/>
              </w:rPr>
              <w:t xml:space="preserve">15.40%</w:t>
            </w:r>
          </w:p>
        </w:tc>
      </w:tr>
      <w:tr>
        <w:tc>
          <w:tcPr>
            <w:tcW w:type="dxa" w:w="2016"/>
            <w:shd w:fill="FFFFFF" w:val="clear"/>
            <w:tcMar>
              <w:top w:type="dxa" w:w="50"/>
              <w:left w:type="dxa" w:w="100"/>
              <w:bottom w:type="dxa" w:w="50"/>
              <w:right w:type="dxa" w:w="100"/>
            </w:tcMar>
          </w:tcPr>
          <w:p>
            <w:r>
              <w:rPr>
                <w:sz w:val="19"/>
                <w:szCs w:val="19"/>
              </w:rPr>
              <w:t xml:space="preserve">150 – 250</w:t>
            </w:r>
          </w:p>
        </w:tc>
        <w:tc>
          <w:tcPr>
            <w:tcW w:type="dxa" w:w="2016"/>
            <w:shd w:fill="FFFFFF" w:val="clear"/>
            <w:tcMar>
              <w:top w:type="dxa" w:w="50"/>
              <w:left w:type="dxa" w:w="100"/>
              <w:bottom w:type="dxa" w:w="50"/>
              <w:right w:type="dxa" w:w="100"/>
            </w:tcMar>
          </w:tcPr>
          <w:p>
            <w:r>
              <w:rPr>
                <w:sz w:val="19"/>
                <w:szCs w:val="19"/>
              </w:rPr>
              <w:t xml:space="preserve">18,129</w:t>
            </w:r>
          </w:p>
        </w:tc>
        <w:tc>
          <w:tcPr>
            <w:tcW w:type="dxa" w:w="2016"/>
            <w:shd w:fill="FFFFFF" w:val="clear"/>
            <w:tcMar>
              <w:top w:type="dxa" w:w="50"/>
              <w:left w:type="dxa" w:w="100"/>
              <w:bottom w:type="dxa" w:w="50"/>
              <w:right w:type="dxa" w:w="100"/>
            </w:tcMar>
          </w:tcPr>
          <w:p>
            <w:r>
              <w:rPr>
                <w:sz w:val="19"/>
                <w:szCs w:val="19"/>
              </w:rPr>
              <w:t xml:space="preserve">18.79%</w:t>
            </w:r>
          </w:p>
        </w:tc>
        <w:tc>
          <w:tcPr>
            <w:tcW w:type="dxa" w:w="2016"/>
            <w:shd w:fill="FFFFFF" w:val="clear"/>
            <w:tcMar>
              <w:top w:type="dxa" w:w="50"/>
              <w:left w:type="dxa" w:w="100"/>
              <w:bottom w:type="dxa" w:w="50"/>
              <w:right w:type="dxa" w:w="100"/>
            </w:tcMar>
          </w:tcPr>
          <w:p>
            <w:r>
              <w:rPr>
                <w:sz w:val="19"/>
                <w:szCs w:val="19"/>
              </w:rPr>
              <w:t xml:space="preserve">3,447,460.62</w:t>
            </w:r>
          </w:p>
        </w:tc>
        <w:tc>
          <w:tcPr>
            <w:tcW w:type="dxa" w:w="2016"/>
            <w:shd w:fill="FFFFFF" w:val="clear"/>
            <w:tcMar>
              <w:top w:type="dxa" w:w="50"/>
              <w:left w:type="dxa" w:w="100"/>
              <w:bottom w:type="dxa" w:w="50"/>
              <w:right w:type="dxa" w:w="100"/>
            </w:tcMar>
          </w:tcPr>
          <w:p>
            <w:r>
              <w:rPr>
                <w:sz w:val="19"/>
                <w:szCs w:val="19"/>
              </w:rPr>
              <w:t xml:space="preserve">22.35%</w:t>
            </w:r>
          </w:p>
        </w:tc>
      </w:tr>
      <w:tr>
        <w:tc>
          <w:tcPr>
            <w:tcW w:type="dxa" w:w="2016"/>
            <w:shd w:fill="F2F2F2" w:val="clear"/>
            <w:tcMar>
              <w:top w:type="dxa" w:w="50"/>
              <w:left w:type="dxa" w:w="100"/>
              <w:bottom w:type="dxa" w:w="50"/>
              <w:right w:type="dxa" w:w="100"/>
            </w:tcMar>
          </w:tcPr>
          <w:p>
            <w:r>
              <w:rPr>
                <w:sz w:val="19"/>
                <w:szCs w:val="19"/>
              </w:rPr>
              <w:t xml:space="preserve">250 – 500</w:t>
            </w:r>
          </w:p>
        </w:tc>
        <w:tc>
          <w:tcPr>
            <w:tcW w:type="dxa" w:w="2016"/>
            <w:shd w:fill="F2F2F2" w:val="clear"/>
            <w:tcMar>
              <w:top w:type="dxa" w:w="50"/>
              <w:left w:type="dxa" w:w="100"/>
              <w:bottom w:type="dxa" w:w="50"/>
              <w:right w:type="dxa" w:w="100"/>
            </w:tcMar>
          </w:tcPr>
          <w:p>
            <w:r>
              <w:rPr>
                <w:sz w:val="19"/>
                <w:szCs w:val="19"/>
              </w:rPr>
              <w:t xml:space="preserve">9,083</w:t>
            </w:r>
          </w:p>
        </w:tc>
        <w:tc>
          <w:tcPr>
            <w:tcW w:type="dxa" w:w="2016"/>
            <w:shd w:fill="F2F2F2" w:val="clear"/>
            <w:tcMar>
              <w:top w:type="dxa" w:w="50"/>
              <w:left w:type="dxa" w:w="100"/>
              <w:bottom w:type="dxa" w:w="50"/>
              <w:right w:type="dxa" w:w="100"/>
            </w:tcMar>
          </w:tcPr>
          <w:p>
            <w:r>
              <w:rPr>
                <w:sz w:val="19"/>
                <w:szCs w:val="19"/>
              </w:rPr>
              <w:t xml:space="preserve">9.41%</w:t>
            </w:r>
          </w:p>
        </w:tc>
        <w:tc>
          <w:tcPr>
            <w:tcW w:type="dxa" w:w="2016"/>
            <w:shd w:fill="F2F2F2" w:val="clear"/>
            <w:tcMar>
              <w:top w:type="dxa" w:w="50"/>
              <w:left w:type="dxa" w:w="100"/>
              <w:bottom w:type="dxa" w:w="50"/>
              <w:right w:type="dxa" w:w="100"/>
            </w:tcMar>
          </w:tcPr>
          <w:p>
            <w:r>
              <w:rPr>
                <w:sz w:val="19"/>
                <w:szCs w:val="19"/>
              </w:rPr>
              <w:t xml:space="preserve">3,064,067.99</w:t>
            </w:r>
          </w:p>
        </w:tc>
        <w:tc>
          <w:tcPr>
            <w:tcW w:type="dxa" w:w="2016"/>
            <w:shd w:fill="F2F2F2" w:val="clear"/>
            <w:tcMar>
              <w:top w:type="dxa" w:w="50"/>
              <w:left w:type="dxa" w:w="100"/>
              <w:bottom w:type="dxa" w:w="50"/>
              <w:right w:type="dxa" w:w="100"/>
            </w:tcMar>
          </w:tcPr>
          <w:p>
            <w:r>
              <w:rPr>
                <w:sz w:val="19"/>
                <w:szCs w:val="19"/>
              </w:rPr>
              <w:t xml:space="preserve">19.87%</w:t>
            </w:r>
          </w:p>
        </w:tc>
      </w:tr>
      <w:tr>
        <w:tc>
          <w:tcPr>
            <w:tcW w:type="dxa" w:w="2016"/>
            <w:shd w:fill="FFFFFF" w:val="clear"/>
            <w:tcMar>
              <w:top w:type="dxa" w:w="50"/>
              <w:left w:type="dxa" w:w="100"/>
              <w:bottom w:type="dxa" w:w="50"/>
              <w:right w:type="dxa" w:w="100"/>
            </w:tcMar>
          </w:tcPr>
          <w:p>
            <w:r>
              <w:rPr>
                <w:sz w:val="19"/>
                <w:szCs w:val="19"/>
              </w:rPr>
              <w:t xml:space="preserve">500 – 1000</w:t>
            </w:r>
          </w:p>
        </w:tc>
        <w:tc>
          <w:tcPr>
            <w:tcW w:type="dxa" w:w="2016"/>
            <w:shd w:fill="FFFFFF" w:val="clear"/>
            <w:tcMar>
              <w:top w:type="dxa" w:w="50"/>
              <w:left w:type="dxa" w:w="100"/>
              <w:bottom w:type="dxa" w:w="50"/>
              <w:right w:type="dxa" w:w="100"/>
            </w:tcMar>
          </w:tcPr>
          <w:p>
            <w:r>
              <w:rPr>
                <w:sz w:val="19"/>
                <w:szCs w:val="19"/>
              </w:rPr>
              <w:t xml:space="preserve">2,969</w:t>
            </w:r>
          </w:p>
        </w:tc>
        <w:tc>
          <w:tcPr>
            <w:tcW w:type="dxa" w:w="2016"/>
            <w:shd w:fill="FFFFFF" w:val="clear"/>
            <w:tcMar>
              <w:top w:type="dxa" w:w="50"/>
              <w:left w:type="dxa" w:w="100"/>
              <w:bottom w:type="dxa" w:w="50"/>
              <w:right w:type="dxa" w:w="100"/>
            </w:tcMar>
          </w:tcPr>
          <w:p>
            <w:r>
              <w:rPr>
                <w:sz w:val="19"/>
                <w:szCs w:val="19"/>
              </w:rPr>
              <w:t xml:space="preserve">3.08%</w:t>
            </w:r>
          </w:p>
        </w:tc>
        <w:tc>
          <w:tcPr>
            <w:tcW w:type="dxa" w:w="2016"/>
            <w:shd w:fill="FFFFFF" w:val="clear"/>
            <w:tcMar>
              <w:top w:type="dxa" w:w="50"/>
              <w:left w:type="dxa" w:w="100"/>
              <w:bottom w:type="dxa" w:w="50"/>
              <w:right w:type="dxa" w:w="100"/>
            </w:tcMar>
          </w:tcPr>
          <w:p>
            <w:r>
              <w:rPr>
                <w:sz w:val="19"/>
                <w:szCs w:val="19"/>
              </w:rPr>
              <w:t xml:space="preserve">2,020,199.10</w:t>
            </w:r>
          </w:p>
        </w:tc>
        <w:tc>
          <w:tcPr>
            <w:tcW w:type="dxa" w:w="2016"/>
            <w:shd w:fill="FFFFFF" w:val="clear"/>
            <w:tcMar>
              <w:top w:type="dxa" w:w="50"/>
              <w:left w:type="dxa" w:w="100"/>
              <w:bottom w:type="dxa" w:w="50"/>
              <w:right w:type="dxa" w:w="100"/>
            </w:tcMar>
          </w:tcPr>
          <w:p>
            <w:r>
              <w:rPr>
                <w:sz w:val="19"/>
                <w:szCs w:val="19"/>
              </w:rPr>
              <w:t xml:space="preserve">13.10%</w:t>
            </w:r>
          </w:p>
        </w:tc>
      </w:tr>
      <w:tr>
        <w:tc>
          <w:tcPr>
            <w:tcW w:type="dxa" w:w="2016"/>
            <w:shd w:fill="F2F2F2" w:val="clear"/>
            <w:tcMar>
              <w:top w:type="dxa" w:w="50"/>
              <w:left w:type="dxa" w:w="100"/>
              <w:bottom w:type="dxa" w:w="50"/>
              <w:right w:type="dxa" w:w="100"/>
            </w:tcMar>
          </w:tcPr>
          <w:p>
            <w:r>
              <w:rPr>
                <w:sz w:val="19"/>
                <w:szCs w:val="19"/>
              </w:rPr>
              <w:t xml:space="preserve">1000+</w:t>
            </w:r>
          </w:p>
        </w:tc>
        <w:tc>
          <w:tcPr>
            <w:tcW w:type="dxa" w:w="2016"/>
            <w:shd w:fill="F2F2F2" w:val="clear"/>
            <w:tcMar>
              <w:top w:type="dxa" w:w="50"/>
              <w:left w:type="dxa" w:w="100"/>
              <w:bottom w:type="dxa" w:w="50"/>
              <w:right w:type="dxa" w:w="100"/>
            </w:tcMar>
          </w:tcPr>
          <w:p>
            <w:r>
              <w:rPr>
                <w:sz w:val="19"/>
                <w:szCs w:val="19"/>
              </w:rPr>
              <w:t xml:space="preserve">1,107</w:t>
            </w:r>
          </w:p>
        </w:tc>
        <w:tc>
          <w:tcPr>
            <w:tcW w:type="dxa" w:w="2016"/>
            <w:shd w:fill="F2F2F2" w:val="clear"/>
            <w:tcMar>
              <w:top w:type="dxa" w:w="50"/>
              <w:left w:type="dxa" w:w="100"/>
              <w:bottom w:type="dxa" w:w="50"/>
              <w:right w:type="dxa" w:w="100"/>
            </w:tcMar>
          </w:tcPr>
          <w:p>
            <w:r>
              <w:rPr>
                <w:sz w:val="19"/>
                <w:szCs w:val="19"/>
              </w:rPr>
              <w:t xml:space="preserve">1.15%</w:t>
            </w:r>
          </w:p>
        </w:tc>
        <w:tc>
          <w:tcPr>
            <w:tcW w:type="dxa" w:w="2016"/>
            <w:shd w:fill="F2F2F2" w:val="clear"/>
            <w:tcMar>
              <w:top w:type="dxa" w:w="50"/>
              <w:left w:type="dxa" w:w="100"/>
              <w:bottom w:type="dxa" w:w="50"/>
              <w:right w:type="dxa" w:w="100"/>
            </w:tcMar>
          </w:tcPr>
          <w:p>
            <w:r>
              <w:rPr>
                <w:sz w:val="19"/>
                <w:szCs w:val="19"/>
              </w:rPr>
              <w:t xml:space="preserve">1,749,489.04</w:t>
            </w:r>
          </w:p>
        </w:tc>
        <w:tc>
          <w:tcPr>
            <w:tcW w:type="dxa" w:w="2016"/>
            <w:shd w:fill="F2F2F2" w:val="clear"/>
            <w:tcMar>
              <w:top w:type="dxa" w:w="50"/>
              <w:left w:type="dxa" w:w="100"/>
              <w:bottom w:type="dxa" w:w="50"/>
              <w:right w:type="dxa" w:w="100"/>
            </w:tcMar>
          </w:tcPr>
          <w:p>
            <w:r>
              <w:rPr>
                <w:sz w:val="19"/>
                <w:szCs w:val="19"/>
              </w:rPr>
              <w:t xml:space="preserve">11.34%</w:t>
            </w:r>
          </w:p>
        </w:tc>
      </w:tr>
    </w:tbl>
    <w:p>
      <w:pPr>
        <w:spacing w:after="160"/>
      </w:pPr>
    </w:p>
    <w:p>
      <w:pPr>
        <w:spacing w:after="120"/>
        <w:jc w:val="left"/>
      </w:pPr>
      <w:r>
        <w:rPr>
          <w:b w:val="false"/>
          <w:bCs w:val="false"/>
          <w:i w:val="false"/>
          <w:iCs w:val="false"/>
          <w:sz w:val="21"/>
          <w:szCs w:val="21"/>
        </w:rPr>
        <w:t xml:space="preserve">Percentile distribution: p50 (median) = 105.28, p75 = 176.33, p90 = 305.97, p95 = 446.31, p99 = 1,052.39, max = 13,664.08.</w:t>
      </w:r>
    </w:p>
    <w:p>
      <w:pPr>
        <w:spacing w:after="80" w:before="180"/>
      </w:pPr>
      <w:r>
        <w:rPr>
          <w:b/>
          <w:bCs/>
          <w:color w:val="1F3864"/>
          <w:sz w:val="22"/>
          <w:szCs w:val="22"/>
        </w:rPr>
        <w:t xml:space="preserve">3.3 Interpretation</w:t>
      </w:r>
    </w:p>
    <w:p>
      <w:pPr>
        <w:spacing w:after="100"/>
      </w:pPr>
      <w:r>
        <w:rPr>
          <w:b/>
          <w:bCs/>
          <w:color w:val="1F3864"/>
          <w:sz w:val="21"/>
          <w:szCs w:val="21"/>
        </w:rPr>
        <w:t xml:space="preserve">Revenue concentration: </w:t>
      </w:r>
      <w:r>
        <w:rPr>
          <w:sz w:val="21"/>
          <w:szCs w:val="21"/>
        </w:rPr>
        <w:t xml:space="preserve">Orders priced above 500 BRL represent only 4.2% of delivered orders (4,076 orders) but generate 24.4% of total revenue. Orders above 1,000 BRL alone — 1.15% of orders — contribute 11.34% of revenue.</w:t>
      </w:r>
    </w:p>
    <w:p>
      <w:pPr>
        <w:spacing w:after="100"/>
      </w:pPr>
      <w:r>
        <w:rPr>
          <w:b/>
          <w:bCs/>
          <w:color w:val="1F3864"/>
          <w:sz w:val="21"/>
          <w:szCs w:val="21"/>
        </w:rPr>
        <w:t xml:space="preserve">Mean vs. median gap explained: </w:t>
      </w:r>
      <w:r>
        <w:rPr>
          <w:sz w:val="21"/>
          <w:szCs w:val="21"/>
        </w:rPr>
        <w:t xml:space="preserve">The mean (154.10) sits above p50 (105.28) but below p75 (176.33), confirming the mean is pulled upward by a genuine long tail rather than a broad, even spread. The maximum value (13,664.08) is roughly 13x the p99 threshold — consistent with a legitimate high-value, multi-item marketplace transaction rather than a data error, per the item-level price/freight ranges already validated in Phase 4.</w:t>
      </w:r>
    </w:p>
    <w:p>
      <w:pPr>
        <w:spacing w:after="100"/>
      </w:pPr>
      <w:r>
        <w:rPr>
          <w:b/>
          <w:bCs/>
          <w:color w:val="1F3864"/>
          <w:sz w:val="21"/>
          <w:szCs w:val="21"/>
        </w:rPr>
        <w:t xml:space="preserve">Revenue peak bucket vs. volume peak bucket: </w:t>
      </w:r>
      <w:r>
        <w:rPr>
          <w:sz w:val="21"/>
          <w:szCs w:val="21"/>
        </w:rPr>
        <w:t xml:space="preserve">The 150–250 BRL bucket is the single largest contributor to revenue (22.35%), even though the 50–100 BRL bucket has the highest order count (30.50%) — the revenue peak and the volume peak do not coincide.</w:t>
      </w:r>
    </w:p>
    <w:p>
      <w:pPr>
        <w:spacing w:after="100"/>
      </w:pPr>
      <w:r>
        <w:rPr>
          <w:b/>
          <w:bCs/>
          <w:color w:val="1F3864"/>
          <w:sz w:val="21"/>
          <w:szCs w:val="21"/>
        </w:rPr>
        <w:t xml:space="preserve">Known data gap retained: </w:t>
      </w:r>
      <w:r>
        <w:rPr>
          <w:sz w:val="21"/>
          <w:szCs w:val="21"/>
        </w:rPr>
        <w:t xml:space="preserve">A single zero-payment delivered order is retained in fact_orders to preserve order-count accuracy and is documented as a known upstream data gap, per the Phase 4 Cleaning Log.</w:t>
      </w:r>
    </w:p>
    <w:p>
      <w:pPr>
        <w:spacing w:after="80" w:before="180"/>
      </w:pPr>
      <w:r>
        <w:rPr>
          <w:b/>
          <w:bCs/>
          <w:color w:val="1F3864"/>
          <w:sz w:val="22"/>
          <w:szCs w:val="22"/>
        </w:rPr>
        <w:t xml:space="preserve">3.4 Business Significance</w:t>
      </w:r>
    </w:p>
    <w:p>
      <w:pPr>
        <w:spacing w:after="120"/>
        <w:jc w:val="left"/>
      </w:pPr>
      <w:r>
        <w:rPr>
          <w:b w:val="false"/>
          <w:bCs w:val="false"/>
          <w:i w:val="false"/>
          <w:iCs w:val="false"/>
          <w:sz w:val="21"/>
          <w:szCs w:val="21"/>
        </w:rPr>
        <w:t xml:space="preserve">Reporting both mean and median AOV is justified by evidence, not just convention: the median represents typical customer spend, while the mean reflects the influence of a thin but meaningful high-value order segment. This distinction should be preserved in dashboard language rather than presenting a single AOV figure as "the average customer."</w:t>
      </w:r>
    </w:p>
    <w:p>
      <w:pPr>
        <w:pBdr>
          <w:bottom w:val="single" w:color="AAAAAA" w:sz="6" w:space="1"/>
        </w:pBdr>
        <w:spacing w:after="200"/>
      </w:pPr>
    </w:p>
    <w:p>
      <w:pPr>
        <w:pStyle w:val="Heading1"/>
        <w:spacing w:after="140" w:before="320"/>
      </w:pPr>
      <w:r>
        <w:t xml:space="preserve">4. Objective 2 — Sales Trends</w:t>
      </w:r>
    </w:p>
    <w:p>
      <w:pPr>
        <w:spacing w:after="120"/>
        <w:jc w:val="left"/>
      </w:pPr>
      <w:r>
        <w:rPr>
          <w:b w:val="false"/>
          <w:bCs w:val="false"/>
          <w:i w:val="false"/>
          <w:iCs w:val="false"/>
          <w:sz w:val="21"/>
          <w:szCs w:val="21"/>
        </w:rPr>
        <w:t xml:space="preserve">Business Question: How are sales changing over time, including seasonal and monthly patterns?</w:t>
      </w:r>
    </w:p>
    <w:p>
      <w:pPr>
        <w:pStyle w:val="Heading2"/>
        <w:spacing w:after="100" w:before="240"/>
      </w:pPr>
      <w:r>
        <w:t xml:space="preserve">4.1 Scoping Decision — Trend Analysis Window</w:t>
      </w:r>
    </w:p>
    <w:p>
      <w:pPr>
        <w:spacing w:after="120"/>
        <w:jc w:val="left"/>
      </w:pPr>
      <w:r>
        <w:rPr>
          <w:b w:val="false"/>
          <w:bCs w:val="false"/>
          <w:i w:val="false"/>
          <w:iCs w:val="false"/>
          <w:sz w:val="21"/>
          <w:szCs w:val="21"/>
        </w:rPr>
        <w:t xml:space="preserve">The full order history spans 2016-09-15 to 2018-08-29. September–December 2016 (1, 265, 0, and 1 orders respectively) represents a pre-launch pilot period with statistically insufficient volume for trend or growth analysis and is excluded from all growth-rate and peak/lowest-month calculations. August 2018 is retained despite being a 29-day partial month, since its order volume (6,351) sits in line with surrounding months and is not artificially depressed the way the 2016 pilot months were; it carries a documented caveat rather than exclusion.</w:t>
      </w:r>
    </w:p>
    <w:p>
      <w:pPr>
        <w:spacing w:after="120"/>
      </w:pPr>
      <w:r>
        <w:rPr>
          <w:b/>
          <w:bCs/>
          <w:sz w:val="21"/>
          <w:szCs w:val="21"/>
        </w:rPr>
        <w:t xml:space="preserve">Trend analysis window: </w:t>
      </w:r>
      <w:r>
        <w:rPr>
          <w:sz w:val="21"/>
          <w:szCs w:val="21"/>
        </w:rPr>
        <w:t xml:space="preserve">2017-01-01 through 2018-08-29 (inclusive), scoped to order_status = 'delivered', anchored to order_purchase_timestamp to reflect demand timing rather than fulfillment timing.</w:t>
      </w:r>
    </w:p>
    <w:p>
      <w:pPr>
        <w:pStyle w:val="Heading2"/>
        <w:spacing w:after="100" w:before="240"/>
      </w:pPr>
      <w:r>
        <w:t xml:space="preserve">4.2 Monthly Revenue, Orders, and AOV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1F3864" w:val="clear"/>
            <w:tcMar>
              <w:top w:type="dxa" w:w="60"/>
              <w:left w:type="dxa" w:w="100"/>
              <w:bottom w:type="dxa" w:w="60"/>
              <w:right w:type="dxa" w:w="100"/>
            </w:tcMar>
          </w:tcPr>
          <w:p>
            <w:r>
              <w:rPr>
                <w:b/>
                <w:bCs/>
                <w:color w:val="FFFFFF"/>
                <w:sz w:val="19"/>
                <w:szCs w:val="19"/>
              </w:rPr>
              <w:t xml:space="preserve">Month</w:t>
            </w:r>
          </w:p>
        </w:tc>
        <w:tc>
          <w:tcPr>
            <w:tcW w:type="dxa" w:w="1680"/>
            <w:shd w:fill="1F3864" w:val="clear"/>
            <w:tcMar>
              <w:top w:type="dxa" w:w="60"/>
              <w:left w:type="dxa" w:w="100"/>
              <w:bottom w:type="dxa" w:w="60"/>
              <w:right w:type="dxa" w:w="100"/>
            </w:tcMar>
          </w:tcPr>
          <w:p>
            <w:r>
              <w:rPr>
                <w:b/>
                <w:bCs/>
                <w:color w:val="FFFFFF"/>
                <w:sz w:val="19"/>
                <w:szCs w:val="19"/>
              </w:rPr>
              <w:t xml:space="preserve">Orders</w:t>
            </w:r>
          </w:p>
        </w:tc>
        <w:tc>
          <w:tcPr>
            <w:tcW w:type="dxa" w:w="1680"/>
            <w:shd w:fill="1F3864" w:val="clear"/>
            <w:tcMar>
              <w:top w:type="dxa" w:w="60"/>
              <w:left w:type="dxa" w:w="100"/>
              <w:bottom w:type="dxa" w:w="60"/>
              <w:right w:type="dxa" w:w="100"/>
            </w:tcMar>
          </w:tcPr>
          <w:p>
            <w:r>
              <w:rPr>
                <w:b/>
                <w:bCs/>
                <w:color w:val="FFFFFF"/>
                <w:sz w:val="19"/>
                <w:szCs w:val="19"/>
              </w:rPr>
              <w:t xml:space="preserve">Revenue (BRL)</w:t>
            </w:r>
          </w:p>
        </w:tc>
        <w:tc>
          <w:tcPr>
            <w:tcW w:type="dxa" w:w="1680"/>
            <w:shd w:fill="1F3864" w:val="clear"/>
            <w:tcMar>
              <w:top w:type="dxa" w:w="60"/>
              <w:left w:type="dxa" w:w="100"/>
              <w:bottom w:type="dxa" w:w="60"/>
              <w:right w:type="dxa" w:w="100"/>
            </w:tcMar>
          </w:tcPr>
          <w:p>
            <w:r>
              <w:rPr>
                <w:b/>
                <w:bCs/>
                <w:color w:val="FFFFFF"/>
                <w:sz w:val="19"/>
                <w:szCs w:val="19"/>
              </w:rPr>
              <w:t xml:space="preserve">AOV</w:t>
            </w:r>
          </w:p>
        </w:tc>
        <w:tc>
          <w:tcPr>
            <w:tcW w:type="dxa" w:w="1680"/>
            <w:shd w:fill="1F3864" w:val="clear"/>
            <w:tcMar>
              <w:top w:type="dxa" w:w="60"/>
              <w:left w:type="dxa" w:w="100"/>
              <w:bottom w:type="dxa" w:w="60"/>
              <w:right w:type="dxa" w:w="100"/>
            </w:tcMar>
          </w:tcPr>
          <w:p>
            <w:r>
              <w:rPr>
                <w:b/>
                <w:bCs/>
                <w:color w:val="FFFFFF"/>
                <w:sz w:val="19"/>
                <w:szCs w:val="19"/>
              </w:rPr>
              <w:t xml:space="preserve">MoM Rev. Growth</w:t>
            </w:r>
          </w:p>
        </w:tc>
        <w:tc>
          <w:tcPr>
            <w:tcW w:type="dxa" w:w="1680"/>
            <w:shd w:fill="1F3864" w:val="clear"/>
            <w:tcMar>
              <w:top w:type="dxa" w:w="60"/>
              <w:left w:type="dxa" w:w="100"/>
              <w:bottom w:type="dxa" w:w="60"/>
              <w:right w:type="dxa" w:w="100"/>
            </w:tcMar>
          </w:tcPr>
          <w:p>
            <w:r>
              <w:rPr>
                <w:b/>
                <w:bCs/>
                <w:color w:val="FFFFFF"/>
                <w:sz w:val="19"/>
                <w:szCs w:val="19"/>
              </w:rPr>
              <w:t xml:space="preserve">YoY Rev. Growth</w:t>
            </w:r>
          </w:p>
        </w:tc>
      </w:tr>
      <w:tr>
        <w:tc>
          <w:tcPr>
            <w:tcW w:type="dxa" w:w="1680"/>
            <w:shd w:fill="FFFFFF" w:val="clear"/>
            <w:tcMar>
              <w:top w:type="dxa" w:w="50"/>
              <w:left w:type="dxa" w:w="100"/>
              <w:bottom w:type="dxa" w:w="50"/>
              <w:right w:type="dxa" w:w="100"/>
            </w:tcMar>
          </w:tcPr>
          <w:p>
            <w:r>
              <w:rPr>
                <w:sz w:val="19"/>
                <w:szCs w:val="19"/>
              </w:rPr>
              <w:t xml:space="preserve">2017-01</w:t>
            </w:r>
          </w:p>
        </w:tc>
        <w:tc>
          <w:tcPr>
            <w:tcW w:type="dxa" w:w="1680"/>
            <w:shd w:fill="FFFFFF" w:val="clear"/>
            <w:tcMar>
              <w:top w:type="dxa" w:w="50"/>
              <w:left w:type="dxa" w:w="100"/>
              <w:bottom w:type="dxa" w:w="50"/>
              <w:right w:type="dxa" w:w="100"/>
            </w:tcMar>
          </w:tcPr>
          <w:p>
            <w:r>
              <w:rPr>
                <w:sz w:val="19"/>
                <w:szCs w:val="19"/>
              </w:rPr>
              <w:t xml:space="preserve">750</w:t>
            </w:r>
          </w:p>
        </w:tc>
        <w:tc>
          <w:tcPr>
            <w:tcW w:type="dxa" w:w="1680"/>
            <w:shd w:fill="FFFFFF" w:val="clear"/>
            <w:tcMar>
              <w:top w:type="dxa" w:w="50"/>
              <w:left w:type="dxa" w:w="100"/>
              <w:bottom w:type="dxa" w:w="50"/>
              <w:right w:type="dxa" w:w="100"/>
            </w:tcMar>
          </w:tcPr>
          <w:p>
            <w:r>
              <w:rPr>
                <w:sz w:val="19"/>
                <w:szCs w:val="19"/>
              </w:rPr>
              <w:t xml:space="preserve">127,545.67</w:t>
            </w:r>
          </w:p>
        </w:tc>
        <w:tc>
          <w:tcPr>
            <w:tcW w:type="dxa" w:w="1680"/>
            <w:shd w:fill="FFFFFF" w:val="clear"/>
            <w:tcMar>
              <w:top w:type="dxa" w:w="50"/>
              <w:left w:type="dxa" w:w="100"/>
              <w:bottom w:type="dxa" w:w="50"/>
              <w:right w:type="dxa" w:w="100"/>
            </w:tcMar>
          </w:tcPr>
          <w:p>
            <w:r>
              <w:rPr>
                <w:sz w:val="19"/>
                <w:szCs w:val="19"/>
              </w:rPr>
              <w:t xml:space="preserve">170.06</w:t>
            </w:r>
          </w:p>
        </w:tc>
        <w:tc>
          <w:tcPr>
            <w:tcW w:type="dxa" w:w="1680"/>
            <w:shd w:fill="FFFFFF" w:val="clear"/>
            <w:tcMar>
              <w:top w:type="dxa" w:w="50"/>
              <w:left w:type="dxa" w:w="100"/>
              <w:bottom w:type="dxa" w:w="50"/>
              <w:right w:type="dxa" w:w="100"/>
            </w:tcMar>
          </w:tcPr>
          <w:p>
            <w:r>
              <w:rPr>
                <w:sz w:val="19"/>
                <w:szCs w:val="19"/>
              </w:rPr>
              <w:t xml:space="preserve">—</w:t>
            </w:r>
          </w:p>
        </w:tc>
        <w:tc>
          <w:tcPr>
            <w:tcW w:type="dxa" w:w="1680"/>
            <w:shd w:fill="FFFFFF" w:val="clear"/>
            <w:tcMar>
              <w:top w:type="dxa" w:w="50"/>
              <w:left w:type="dxa" w:w="100"/>
              <w:bottom w:type="dxa" w:w="50"/>
              <w:right w:type="dxa" w:w="100"/>
            </w:tcMar>
          </w:tcPr>
          <w:p>
            <w:r>
              <w:rPr>
                <w:sz w:val="19"/>
                <w:szCs w:val="19"/>
              </w:rPr>
              <w:t xml:space="preserve">—</w:t>
            </w:r>
          </w:p>
        </w:tc>
      </w:tr>
      <w:tr>
        <w:tc>
          <w:tcPr>
            <w:tcW w:type="dxa" w:w="1680"/>
            <w:shd w:fill="F2F2F2" w:val="clear"/>
            <w:tcMar>
              <w:top w:type="dxa" w:w="50"/>
              <w:left w:type="dxa" w:w="100"/>
              <w:bottom w:type="dxa" w:w="50"/>
              <w:right w:type="dxa" w:w="100"/>
            </w:tcMar>
          </w:tcPr>
          <w:p>
            <w:r>
              <w:rPr>
                <w:sz w:val="19"/>
                <w:szCs w:val="19"/>
              </w:rPr>
              <w:t xml:space="preserve">2017-02</w:t>
            </w:r>
          </w:p>
        </w:tc>
        <w:tc>
          <w:tcPr>
            <w:tcW w:type="dxa" w:w="1680"/>
            <w:shd w:fill="F2F2F2" w:val="clear"/>
            <w:tcMar>
              <w:top w:type="dxa" w:w="50"/>
              <w:left w:type="dxa" w:w="100"/>
              <w:bottom w:type="dxa" w:w="50"/>
              <w:right w:type="dxa" w:w="100"/>
            </w:tcMar>
          </w:tcPr>
          <w:p>
            <w:r>
              <w:rPr>
                <w:sz w:val="19"/>
                <w:szCs w:val="19"/>
              </w:rPr>
              <w:t xml:space="preserve">1,653</w:t>
            </w:r>
          </w:p>
        </w:tc>
        <w:tc>
          <w:tcPr>
            <w:tcW w:type="dxa" w:w="1680"/>
            <w:shd w:fill="F2F2F2" w:val="clear"/>
            <w:tcMar>
              <w:top w:type="dxa" w:w="50"/>
              <w:left w:type="dxa" w:w="100"/>
              <w:bottom w:type="dxa" w:w="50"/>
              <w:right w:type="dxa" w:w="100"/>
            </w:tcMar>
          </w:tcPr>
          <w:p>
            <w:r>
              <w:rPr>
                <w:sz w:val="19"/>
                <w:szCs w:val="19"/>
              </w:rPr>
              <w:t xml:space="preserve">271,298.65</w:t>
            </w:r>
          </w:p>
        </w:tc>
        <w:tc>
          <w:tcPr>
            <w:tcW w:type="dxa" w:w="1680"/>
            <w:shd w:fill="F2F2F2" w:val="clear"/>
            <w:tcMar>
              <w:top w:type="dxa" w:w="50"/>
              <w:left w:type="dxa" w:w="100"/>
              <w:bottom w:type="dxa" w:w="50"/>
              <w:right w:type="dxa" w:w="100"/>
            </w:tcMar>
          </w:tcPr>
          <w:p>
            <w:r>
              <w:rPr>
                <w:sz w:val="19"/>
                <w:szCs w:val="19"/>
              </w:rPr>
              <w:t xml:space="preserve">164.13</w:t>
            </w:r>
          </w:p>
        </w:tc>
        <w:tc>
          <w:tcPr>
            <w:tcW w:type="dxa" w:w="1680"/>
            <w:shd w:fill="F2F2F2" w:val="clear"/>
            <w:tcMar>
              <w:top w:type="dxa" w:w="50"/>
              <w:left w:type="dxa" w:w="100"/>
              <w:bottom w:type="dxa" w:w="50"/>
              <w:right w:type="dxa" w:w="100"/>
            </w:tcMar>
          </w:tcPr>
          <w:p>
            <w:r>
              <w:rPr>
                <w:sz w:val="19"/>
                <w:szCs w:val="19"/>
              </w:rPr>
              <w:t xml:space="preserve">+112.71%</w:t>
            </w:r>
          </w:p>
        </w:tc>
        <w:tc>
          <w:tcPr>
            <w:tcW w:type="dxa" w:w="1680"/>
            <w:shd w:fill="F2F2F2" w:val="clear"/>
            <w:tcMar>
              <w:top w:type="dxa" w:w="50"/>
              <w:left w:type="dxa" w:w="100"/>
              <w:bottom w:type="dxa" w:w="50"/>
              <w:right w:type="dxa" w:w="100"/>
            </w:tcMar>
          </w:tcPr>
          <w:p>
            <w:r>
              <w:rPr>
                <w:sz w:val="19"/>
                <w:szCs w:val="19"/>
              </w:rPr>
              <w:t xml:space="preserve">—</w:t>
            </w:r>
          </w:p>
        </w:tc>
      </w:tr>
      <w:tr>
        <w:tc>
          <w:tcPr>
            <w:tcW w:type="dxa" w:w="1680"/>
            <w:shd w:fill="FFFFFF" w:val="clear"/>
            <w:tcMar>
              <w:top w:type="dxa" w:w="50"/>
              <w:left w:type="dxa" w:w="100"/>
              <w:bottom w:type="dxa" w:w="50"/>
              <w:right w:type="dxa" w:w="100"/>
            </w:tcMar>
          </w:tcPr>
          <w:p>
            <w:r>
              <w:rPr>
                <w:sz w:val="19"/>
                <w:szCs w:val="19"/>
              </w:rPr>
              <w:t xml:space="preserve">2017-03</w:t>
            </w:r>
          </w:p>
        </w:tc>
        <w:tc>
          <w:tcPr>
            <w:tcW w:type="dxa" w:w="1680"/>
            <w:shd w:fill="FFFFFF" w:val="clear"/>
            <w:tcMar>
              <w:top w:type="dxa" w:w="50"/>
              <w:left w:type="dxa" w:w="100"/>
              <w:bottom w:type="dxa" w:w="50"/>
              <w:right w:type="dxa" w:w="100"/>
            </w:tcMar>
          </w:tcPr>
          <w:p>
            <w:r>
              <w:rPr>
                <w:sz w:val="19"/>
                <w:szCs w:val="19"/>
              </w:rPr>
              <w:t xml:space="preserve">2,546</w:t>
            </w:r>
          </w:p>
        </w:tc>
        <w:tc>
          <w:tcPr>
            <w:tcW w:type="dxa" w:w="1680"/>
            <w:shd w:fill="FFFFFF" w:val="clear"/>
            <w:tcMar>
              <w:top w:type="dxa" w:w="50"/>
              <w:left w:type="dxa" w:w="100"/>
              <w:bottom w:type="dxa" w:w="50"/>
              <w:right w:type="dxa" w:w="100"/>
            </w:tcMar>
          </w:tcPr>
          <w:p>
            <w:r>
              <w:rPr>
                <w:sz w:val="19"/>
                <w:szCs w:val="19"/>
              </w:rPr>
              <w:t xml:space="preserve">414,369.39</w:t>
            </w:r>
          </w:p>
        </w:tc>
        <w:tc>
          <w:tcPr>
            <w:tcW w:type="dxa" w:w="1680"/>
            <w:shd w:fill="FFFFFF" w:val="clear"/>
            <w:tcMar>
              <w:top w:type="dxa" w:w="50"/>
              <w:left w:type="dxa" w:w="100"/>
              <w:bottom w:type="dxa" w:w="50"/>
              <w:right w:type="dxa" w:w="100"/>
            </w:tcMar>
          </w:tcPr>
          <w:p>
            <w:r>
              <w:rPr>
                <w:sz w:val="19"/>
                <w:szCs w:val="19"/>
              </w:rPr>
              <w:t xml:space="preserve">162.75</w:t>
            </w:r>
          </w:p>
        </w:tc>
        <w:tc>
          <w:tcPr>
            <w:tcW w:type="dxa" w:w="1680"/>
            <w:shd w:fill="FFFFFF" w:val="clear"/>
            <w:tcMar>
              <w:top w:type="dxa" w:w="50"/>
              <w:left w:type="dxa" w:w="100"/>
              <w:bottom w:type="dxa" w:w="50"/>
              <w:right w:type="dxa" w:w="100"/>
            </w:tcMar>
          </w:tcPr>
          <w:p>
            <w:r>
              <w:rPr>
                <w:sz w:val="19"/>
                <w:szCs w:val="19"/>
              </w:rPr>
              <w:t xml:space="preserve">+52.74%</w:t>
            </w:r>
          </w:p>
        </w:tc>
        <w:tc>
          <w:tcPr>
            <w:tcW w:type="dxa" w:w="1680"/>
            <w:shd w:fill="FFFFFF" w:val="clear"/>
            <w:tcMar>
              <w:top w:type="dxa" w:w="50"/>
              <w:left w:type="dxa" w:w="100"/>
              <w:bottom w:type="dxa" w:w="50"/>
              <w:right w:type="dxa" w:w="100"/>
            </w:tcMar>
          </w:tcPr>
          <w:p>
            <w:r>
              <w:rPr>
                <w:sz w:val="19"/>
                <w:szCs w:val="19"/>
              </w:rPr>
              <w:t xml:space="preserve">—</w:t>
            </w:r>
          </w:p>
        </w:tc>
      </w:tr>
      <w:tr>
        <w:tc>
          <w:tcPr>
            <w:tcW w:type="dxa" w:w="1680"/>
            <w:shd w:fill="F2F2F2" w:val="clear"/>
            <w:tcMar>
              <w:top w:type="dxa" w:w="50"/>
              <w:left w:type="dxa" w:w="100"/>
              <w:bottom w:type="dxa" w:w="50"/>
              <w:right w:type="dxa" w:w="100"/>
            </w:tcMar>
          </w:tcPr>
          <w:p>
            <w:r>
              <w:rPr>
                <w:sz w:val="19"/>
                <w:szCs w:val="19"/>
              </w:rPr>
              <w:t xml:space="preserve">2017-04</w:t>
            </w:r>
          </w:p>
        </w:tc>
        <w:tc>
          <w:tcPr>
            <w:tcW w:type="dxa" w:w="1680"/>
            <w:shd w:fill="F2F2F2" w:val="clear"/>
            <w:tcMar>
              <w:top w:type="dxa" w:w="50"/>
              <w:left w:type="dxa" w:w="100"/>
              <w:bottom w:type="dxa" w:w="50"/>
              <w:right w:type="dxa" w:w="100"/>
            </w:tcMar>
          </w:tcPr>
          <w:p>
            <w:r>
              <w:rPr>
                <w:sz w:val="19"/>
                <w:szCs w:val="19"/>
              </w:rPr>
              <w:t xml:space="preserve">2,303</w:t>
            </w:r>
          </w:p>
        </w:tc>
        <w:tc>
          <w:tcPr>
            <w:tcW w:type="dxa" w:w="1680"/>
            <w:shd w:fill="F2F2F2" w:val="clear"/>
            <w:tcMar>
              <w:top w:type="dxa" w:w="50"/>
              <w:left w:type="dxa" w:w="100"/>
              <w:bottom w:type="dxa" w:w="50"/>
              <w:right w:type="dxa" w:w="100"/>
            </w:tcMar>
          </w:tcPr>
          <w:p>
            <w:r>
              <w:rPr>
                <w:sz w:val="19"/>
                <w:szCs w:val="19"/>
              </w:rPr>
              <w:t xml:space="preserve">390,952.18</w:t>
            </w:r>
          </w:p>
        </w:tc>
        <w:tc>
          <w:tcPr>
            <w:tcW w:type="dxa" w:w="1680"/>
            <w:shd w:fill="F2F2F2" w:val="clear"/>
            <w:tcMar>
              <w:top w:type="dxa" w:w="50"/>
              <w:left w:type="dxa" w:w="100"/>
              <w:bottom w:type="dxa" w:w="50"/>
              <w:right w:type="dxa" w:w="100"/>
            </w:tcMar>
          </w:tcPr>
          <w:p>
            <w:r>
              <w:rPr>
                <w:sz w:val="19"/>
                <w:szCs w:val="19"/>
              </w:rPr>
              <w:t xml:space="preserve">169.76</w:t>
            </w:r>
          </w:p>
        </w:tc>
        <w:tc>
          <w:tcPr>
            <w:tcW w:type="dxa" w:w="1680"/>
            <w:shd w:fill="F2F2F2" w:val="clear"/>
            <w:tcMar>
              <w:top w:type="dxa" w:w="50"/>
              <w:left w:type="dxa" w:w="100"/>
              <w:bottom w:type="dxa" w:w="50"/>
              <w:right w:type="dxa" w:w="100"/>
            </w:tcMar>
          </w:tcPr>
          <w:p>
            <w:r>
              <w:rPr>
                <w:sz w:val="19"/>
                <w:szCs w:val="19"/>
              </w:rPr>
              <w:t xml:space="preserve">-5.65%</w:t>
            </w:r>
          </w:p>
        </w:tc>
        <w:tc>
          <w:tcPr>
            <w:tcW w:type="dxa" w:w="1680"/>
            <w:shd w:fill="F2F2F2" w:val="clear"/>
            <w:tcMar>
              <w:top w:type="dxa" w:w="50"/>
              <w:left w:type="dxa" w:w="100"/>
              <w:bottom w:type="dxa" w:w="50"/>
              <w:right w:type="dxa" w:w="100"/>
            </w:tcMar>
          </w:tcPr>
          <w:p>
            <w:r>
              <w:rPr>
                <w:sz w:val="19"/>
                <w:szCs w:val="19"/>
              </w:rPr>
              <w:t xml:space="preserve">—</w:t>
            </w:r>
          </w:p>
        </w:tc>
      </w:tr>
      <w:tr>
        <w:tc>
          <w:tcPr>
            <w:tcW w:type="dxa" w:w="1680"/>
            <w:shd w:fill="FFFFFF" w:val="clear"/>
            <w:tcMar>
              <w:top w:type="dxa" w:w="50"/>
              <w:left w:type="dxa" w:w="100"/>
              <w:bottom w:type="dxa" w:w="50"/>
              <w:right w:type="dxa" w:w="100"/>
            </w:tcMar>
          </w:tcPr>
          <w:p>
            <w:r>
              <w:rPr>
                <w:sz w:val="19"/>
                <w:szCs w:val="19"/>
              </w:rPr>
              <w:t xml:space="preserve">2017-05</w:t>
            </w:r>
          </w:p>
        </w:tc>
        <w:tc>
          <w:tcPr>
            <w:tcW w:type="dxa" w:w="1680"/>
            <w:shd w:fill="FFFFFF" w:val="clear"/>
            <w:tcMar>
              <w:top w:type="dxa" w:w="50"/>
              <w:left w:type="dxa" w:w="100"/>
              <w:bottom w:type="dxa" w:w="50"/>
              <w:right w:type="dxa" w:w="100"/>
            </w:tcMar>
          </w:tcPr>
          <w:p>
            <w:r>
              <w:rPr>
                <w:sz w:val="19"/>
                <w:szCs w:val="19"/>
              </w:rPr>
              <w:t xml:space="preserve">3,546</w:t>
            </w:r>
          </w:p>
        </w:tc>
        <w:tc>
          <w:tcPr>
            <w:tcW w:type="dxa" w:w="1680"/>
            <w:shd w:fill="FFFFFF" w:val="clear"/>
            <w:tcMar>
              <w:top w:type="dxa" w:w="50"/>
              <w:left w:type="dxa" w:w="100"/>
              <w:bottom w:type="dxa" w:w="50"/>
              <w:right w:type="dxa" w:w="100"/>
            </w:tcMar>
          </w:tcPr>
          <w:p>
            <w:r>
              <w:rPr>
                <w:sz w:val="19"/>
                <w:szCs w:val="19"/>
              </w:rPr>
              <w:t xml:space="preserve">567,066.73</w:t>
            </w:r>
          </w:p>
        </w:tc>
        <w:tc>
          <w:tcPr>
            <w:tcW w:type="dxa" w:w="1680"/>
            <w:shd w:fill="FFFFFF" w:val="clear"/>
            <w:tcMar>
              <w:top w:type="dxa" w:w="50"/>
              <w:left w:type="dxa" w:w="100"/>
              <w:bottom w:type="dxa" w:w="50"/>
              <w:right w:type="dxa" w:w="100"/>
            </w:tcMar>
          </w:tcPr>
          <w:p>
            <w:r>
              <w:rPr>
                <w:sz w:val="19"/>
                <w:szCs w:val="19"/>
              </w:rPr>
              <w:t xml:space="preserve">159.92</w:t>
            </w:r>
          </w:p>
        </w:tc>
        <w:tc>
          <w:tcPr>
            <w:tcW w:type="dxa" w:w="1680"/>
            <w:shd w:fill="FFFFFF" w:val="clear"/>
            <w:tcMar>
              <w:top w:type="dxa" w:w="50"/>
              <w:left w:type="dxa" w:w="100"/>
              <w:bottom w:type="dxa" w:w="50"/>
              <w:right w:type="dxa" w:w="100"/>
            </w:tcMar>
          </w:tcPr>
          <w:p>
            <w:r>
              <w:rPr>
                <w:sz w:val="19"/>
                <w:szCs w:val="19"/>
              </w:rPr>
              <w:t xml:space="preserve">+45.05%</w:t>
            </w:r>
          </w:p>
        </w:tc>
        <w:tc>
          <w:tcPr>
            <w:tcW w:type="dxa" w:w="1680"/>
            <w:shd w:fill="FFFFFF" w:val="clear"/>
            <w:tcMar>
              <w:top w:type="dxa" w:w="50"/>
              <w:left w:type="dxa" w:w="100"/>
              <w:bottom w:type="dxa" w:w="50"/>
              <w:right w:type="dxa" w:w="100"/>
            </w:tcMar>
          </w:tcPr>
          <w:p>
            <w:r>
              <w:rPr>
                <w:sz w:val="19"/>
                <w:szCs w:val="19"/>
              </w:rPr>
              <w:t xml:space="preserve">—</w:t>
            </w:r>
          </w:p>
        </w:tc>
      </w:tr>
      <w:tr>
        <w:tc>
          <w:tcPr>
            <w:tcW w:type="dxa" w:w="1680"/>
            <w:shd w:fill="F2F2F2" w:val="clear"/>
            <w:tcMar>
              <w:top w:type="dxa" w:w="50"/>
              <w:left w:type="dxa" w:w="100"/>
              <w:bottom w:type="dxa" w:w="50"/>
              <w:right w:type="dxa" w:w="100"/>
            </w:tcMar>
          </w:tcPr>
          <w:p>
            <w:r>
              <w:rPr>
                <w:sz w:val="19"/>
                <w:szCs w:val="19"/>
              </w:rPr>
              <w:t xml:space="preserve">2017-06</w:t>
            </w:r>
          </w:p>
        </w:tc>
        <w:tc>
          <w:tcPr>
            <w:tcW w:type="dxa" w:w="1680"/>
            <w:shd w:fill="F2F2F2" w:val="clear"/>
            <w:tcMar>
              <w:top w:type="dxa" w:w="50"/>
              <w:left w:type="dxa" w:w="100"/>
              <w:bottom w:type="dxa" w:w="50"/>
              <w:right w:type="dxa" w:w="100"/>
            </w:tcMar>
          </w:tcPr>
          <w:p>
            <w:r>
              <w:rPr>
                <w:sz w:val="19"/>
                <w:szCs w:val="19"/>
              </w:rPr>
              <w:t xml:space="preserve">3,135</w:t>
            </w:r>
          </w:p>
        </w:tc>
        <w:tc>
          <w:tcPr>
            <w:tcW w:type="dxa" w:w="1680"/>
            <w:shd w:fill="F2F2F2" w:val="clear"/>
            <w:tcMar>
              <w:top w:type="dxa" w:w="50"/>
              <w:left w:type="dxa" w:w="100"/>
              <w:bottom w:type="dxa" w:w="50"/>
              <w:right w:type="dxa" w:w="100"/>
            </w:tcMar>
          </w:tcPr>
          <w:p>
            <w:r>
              <w:rPr>
                <w:sz w:val="19"/>
                <w:szCs w:val="19"/>
              </w:rPr>
              <w:t xml:space="preserve">490,225.60</w:t>
            </w:r>
          </w:p>
        </w:tc>
        <w:tc>
          <w:tcPr>
            <w:tcW w:type="dxa" w:w="1680"/>
            <w:shd w:fill="F2F2F2" w:val="clear"/>
            <w:tcMar>
              <w:top w:type="dxa" w:w="50"/>
              <w:left w:type="dxa" w:w="100"/>
              <w:bottom w:type="dxa" w:w="50"/>
              <w:right w:type="dxa" w:w="100"/>
            </w:tcMar>
          </w:tcPr>
          <w:p>
            <w:r>
              <w:rPr>
                <w:sz w:val="19"/>
                <w:szCs w:val="19"/>
              </w:rPr>
              <w:t xml:space="preserve">156.37</w:t>
            </w:r>
          </w:p>
        </w:tc>
        <w:tc>
          <w:tcPr>
            <w:tcW w:type="dxa" w:w="1680"/>
            <w:shd w:fill="F2F2F2" w:val="clear"/>
            <w:tcMar>
              <w:top w:type="dxa" w:w="50"/>
              <w:left w:type="dxa" w:w="100"/>
              <w:bottom w:type="dxa" w:w="50"/>
              <w:right w:type="dxa" w:w="100"/>
            </w:tcMar>
          </w:tcPr>
          <w:p>
            <w:r>
              <w:rPr>
                <w:sz w:val="19"/>
                <w:szCs w:val="19"/>
              </w:rPr>
              <w:t xml:space="preserve">-13.55%</w:t>
            </w:r>
          </w:p>
        </w:tc>
        <w:tc>
          <w:tcPr>
            <w:tcW w:type="dxa" w:w="1680"/>
            <w:shd w:fill="F2F2F2" w:val="clear"/>
            <w:tcMar>
              <w:top w:type="dxa" w:w="50"/>
              <w:left w:type="dxa" w:w="100"/>
              <w:bottom w:type="dxa" w:w="50"/>
              <w:right w:type="dxa" w:w="100"/>
            </w:tcMar>
          </w:tcPr>
          <w:p>
            <w:r>
              <w:rPr>
                <w:sz w:val="19"/>
                <w:szCs w:val="19"/>
              </w:rPr>
              <w:t xml:space="preserve">—</w:t>
            </w:r>
          </w:p>
        </w:tc>
      </w:tr>
      <w:tr>
        <w:tc>
          <w:tcPr>
            <w:tcW w:type="dxa" w:w="1680"/>
            <w:shd w:fill="FFFFFF" w:val="clear"/>
            <w:tcMar>
              <w:top w:type="dxa" w:w="50"/>
              <w:left w:type="dxa" w:w="100"/>
              <w:bottom w:type="dxa" w:w="50"/>
              <w:right w:type="dxa" w:w="100"/>
            </w:tcMar>
          </w:tcPr>
          <w:p>
            <w:r>
              <w:rPr>
                <w:sz w:val="19"/>
                <w:szCs w:val="19"/>
              </w:rPr>
              <w:t xml:space="preserve">2017-07</w:t>
            </w:r>
          </w:p>
        </w:tc>
        <w:tc>
          <w:tcPr>
            <w:tcW w:type="dxa" w:w="1680"/>
            <w:shd w:fill="FFFFFF" w:val="clear"/>
            <w:tcMar>
              <w:top w:type="dxa" w:w="50"/>
              <w:left w:type="dxa" w:w="100"/>
              <w:bottom w:type="dxa" w:w="50"/>
              <w:right w:type="dxa" w:w="100"/>
            </w:tcMar>
          </w:tcPr>
          <w:p>
            <w:r>
              <w:rPr>
                <w:sz w:val="19"/>
                <w:szCs w:val="19"/>
              </w:rPr>
              <w:t xml:space="preserve">3,872</w:t>
            </w:r>
          </w:p>
        </w:tc>
        <w:tc>
          <w:tcPr>
            <w:tcW w:type="dxa" w:w="1680"/>
            <w:shd w:fill="FFFFFF" w:val="clear"/>
            <w:tcMar>
              <w:top w:type="dxa" w:w="50"/>
              <w:left w:type="dxa" w:w="100"/>
              <w:bottom w:type="dxa" w:w="50"/>
              <w:right w:type="dxa" w:w="100"/>
            </w:tcMar>
          </w:tcPr>
          <w:p>
            <w:r>
              <w:rPr>
                <w:sz w:val="19"/>
                <w:szCs w:val="19"/>
              </w:rPr>
              <w:t xml:space="preserve">566,403.93</w:t>
            </w:r>
          </w:p>
        </w:tc>
        <w:tc>
          <w:tcPr>
            <w:tcW w:type="dxa" w:w="1680"/>
            <w:shd w:fill="FFFFFF" w:val="clear"/>
            <w:tcMar>
              <w:top w:type="dxa" w:w="50"/>
              <w:left w:type="dxa" w:w="100"/>
              <w:bottom w:type="dxa" w:w="50"/>
              <w:right w:type="dxa" w:w="100"/>
            </w:tcMar>
          </w:tcPr>
          <w:p>
            <w:r>
              <w:rPr>
                <w:sz w:val="19"/>
                <w:szCs w:val="19"/>
              </w:rPr>
              <w:t xml:space="preserve">146.28</w:t>
            </w:r>
          </w:p>
        </w:tc>
        <w:tc>
          <w:tcPr>
            <w:tcW w:type="dxa" w:w="1680"/>
            <w:shd w:fill="FFFFFF" w:val="clear"/>
            <w:tcMar>
              <w:top w:type="dxa" w:w="50"/>
              <w:left w:type="dxa" w:w="100"/>
              <w:bottom w:type="dxa" w:w="50"/>
              <w:right w:type="dxa" w:w="100"/>
            </w:tcMar>
          </w:tcPr>
          <w:p>
            <w:r>
              <w:rPr>
                <w:sz w:val="19"/>
                <w:szCs w:val="19"/>
              </w:rPr>
              <w:t xml:space="preserve">+15.54%</w:t>
            </w:r>
          </w:p>
        </w:tc>
        <w:tc>
          <w:tcPr>
            <w:tcW w:type="dxa" w:w="1680"/>
            <w:shd w:fill="FFFFFF" w:val="clear"/>
            <w:tcMar>
              <w:top w:type="dxa" w:w="50"/>
              <w:left w:type="dxa" w:w="100"/>
              <w:bottom w:type="dxa" w:w="50"/>
              <w:right w:type="dxa" w:w="100"/>
            </w:tcMar>
          </w:tcPr>
          <w:p>
            <w:r>
              <w:rPr>
                <w:sz w:val="19"/>
                <w:szCs w:val="19"/>
              </w:rPr>
              <w:t xml:space="preserve">—</w:t>
            </w:r>
          </w:p>
        </w:tc>
      </w:tr>
      <w:tr>
        <w:tc>
          <w:tcPr>
            <w:tcW w:type="dxa" w:w="1680"/>
            <w:shd w:fill="F2F2F2" w:val="clear"/>
            <w:tcMar>
              <w:top w:type="dxa" w:w="50"/>
              <w:left w:type="dxa" w:w="100"/>
              <w:bottom w:type="dxa" w:w="50"/>
              <w:right w:type="dxa" w:w="100"/>
            </w:tcMar>
          </w:tcPr>
          <w:p>
            <w:r>
              <w:rPr>
                <w:sz w:val="19"/>
                <w:szCs w:val="19"/>
              </w:rPr>
              <w:t xml:space="preserve">2017-08</w:t>
            </w:r>
          </w:p>
        </w:tc>
        <w:tc>
          <w:tcPr>
            <w:tcW w:type="dxa" w:w="1680"/>
            <w:shd w:fill="F2F2F2" w:val="clear"/>
            <w:tcMar>
              <w:top w:type="dxa" w:w="50"/>
              <w:left w:type="dxa" w:w="100"/>
              <w:bottom w:type="dxa" w:w="50"/>
              <w:right w:type="dxa" w:w="100"/>
            </w:tcMar>
          </w:tcPr>
          <w:p>
            <w:r>
              <w:rPr>
                <w:sz w:val="19"/>
                <w:szCs w:val="19"/>
              </w:rPr>
              <w:t xml:space="preserve">4,193</w:t>
            </w:r>
          </w:p>
        </w:tc>
        <w:tc>
          <w:tcPr>
            <w:tcW w:type="dxa" w:w="1680"/>
            <w:shd w:fill="F2F2F2" w:val="clear"/>
            <w:tcMar>
              <w:top w:type="dxa" w:w="50"/>
              <w:left w:type="dxa" w:w="100"/>
              <w:bottom w:type="dxa" w:w="50"/>
              <w:right w:type="dxa" w:w="100"/>
            </w:tcMar>
          </w:tcPr>
          <w:p>
            <w:r>
              <w:rPr>
                <w:sz w:val="19"/>
                <w:szCs w:val="19"/>
              </w:rPr>
              <w:t xml:space="preserve">646,000.61</w:t>
            </w:r>
          </w:p>
        </w:tc>
        <w:tc>
          <w:tcPr>
            <w:tcW w:type="dxa" w:w="1680"/>
            <w:shd w:fill="F2F2F2" w:val="clear"/>
            <w:tcMar>
              <w:top w:type="dxa" w:w="50"/>
              <w:left w:type="dxa" w:w="100"/>
              <w:bottom w:type="dxa" w:w="50"/>
              <w:right w:type="dxa" w:w="100"/>
            </w:tcMar>
          </w:tcPr>
          <w:p>
            <w:r>
              <w:rPr>
                <w:sz w:val="19"/>
                <w:szCs w:val="19"/>
              </w:rPr>
              <w:t xml:space="preserve">154.07</w:t>
            </w:r>
          </w:p>
        </w:tc>
        <w:tc>
          <w:tcPr>
            <w:tcW w:type="dxa" w:w="1680"/>
            <w:shd w:fill="F2F2F2" w:val="clear"/>
            <w:tcMar>
              <w:top w:type="dxa" w:w="50"/>
              <w:left w:type="dxa" w:w="100"/>
              <w:bottom w:type="dxa" w:w="50"/>
              <w:right w:type="dxa" w:w="100"/>
            </w:tcMar>
          </w:tcPr>
          <w:p>
            <w:r>
              <w:rPr>
                <w:sz w:val="19"/>
                <w:szCs w:val="19"/>
              </w:rPr>
              <w:t xml:space="preserve">+14.05%</w:t>
            </w:r>
          </w:p>
        </w:tc>
        <w:tc>
          <w:tcPr>
            <w:tcW w:type="dxa" w:w="1680"/>
            <w:shd w:fill="F2F2F2" w:val="clear"/>
            <w:tcMar>
              <w:top w:type="dxa" w:w="50"/>
              <w:left w:type="dxa" w:w="100"/>
              <w:bottom w:type="dxa" w:w="50"/>
              <w:right w:type="dxa" w:w="100"/>
            </w:tcMar>
          </w:tcPr>
          <w:p>
            <w:r>
              <w:rPr>
                <w:sz w:val="19"/>
                <w:szCs w:val="19"/>
              </w:rPr>
              <w:t xml:space="preserve">—</w:t>
            </w:r>
          </w:p>
        </w:tc>
      </w:tr>
      <w:tr>
        <w:tc>
          <w:tcPr>
            <w:tcW w:type="dxa" w:w="1680"/>
            <w:shd w:fill="FFFFFF" w:val="clear"/>
            <w:tcMar>
              <w:top w:type="dxa" w:w="50"/>
              <w:left w:type="dxa" w:w="100"/>
              <w:bottom w:type="dxa" w:w="50"/>
              <w:right w:type="dxa" w:w="100"/>
            </w:tcMar>
          </w:tcPr>
          <w:p>
            <w:r>
              <w:rPr>
                <w:sz w:val="19"/>
                <w:szCs w:val="19"/>
              </w:rPr>
              <w:t xml:space="preserve">2017-09</w:t>
            </w:r>
          </w:p>
        </w:tc>
        <w:tc>
          <w:tcPr>
            <w:tcW w:type="dxa" w:w="1680"/>
            <w:shd w:fill="FFFFFF" w:val="clear"/>
            <w:tcMar>
              <w:top w:type="dxa" w:w="50"/>
              <w:left w:type="dxa" w:w="100"/>
              <w:bottom w:type="dxa" w:w="50"/>
              <w:right w:type="dxa" w:w="100"/>
            </w:tcMar>
          </w:tcPr>
          <w:p>
            <w:r>
              <w:rPr>
                <w:sz w:val="19"/>
                <w:szCs w:val="19"/>
              </w:rPr>
              <w:t xml:space="preserve">4,150</w:t>
            </w:r>
          </w:p>
        </w:tc>
        <w:tc>
          <w:tcPr>
            <w:tcW w:type="dxa" w:w="1680"/>
            <w:shd w:fill="FFFFFF" w:val="clear"/>
            <w:tcMar>
              <w:top w:type="dxa" w:w="50"/>
              <w:left w:type="dxa" w:w="100"/>
              <w:bottom w:type="dxa" w:w="50"/>
              <w:right w:type="dxa" w:w="100"/>
            </w:tcMar>
          </w:tcPr>
          <w:p>
            <w:r>
              <w:rPr>
                <w:sz w:val="19"/>
                <w:szCs w:val="19"/>
              </w:rPr>
              <w:t xml:space="preserve">701,169.99</w:t>
            </w:r>
          </w:p>
        </w:tc>
        <w:tc>
          <w:tcPr>
            <w:tcW w:type="dxa" w:w="1680"/>
            <w:shd w:fill="FFFFFF" w:val="clear"/>
            <w:tcMar>
              <w:top w:type="dxa" w:w="50"/>
              <w:left w:type="dxa" w:w="100"/>
              <w:bottom w:type="dxa" w:w="50"/>
              <w:right w:type="dxa" w:w="100"/>
            </w:tcMar>
          </w:tcPr>
          <w:p>
            <w:r>
              <w:rPr>
                <w:sz w:val="19"/>
                <w:szCs w:val="19"/>
              </w:rPr>
              <w:t xml:space="preserve">168.96</w:t>
            </w:r>
          </w:p>
        </w:tc>
        <w:tc>
          <w:tcPr>
            <w:tcW w:type="dxa" w:w="1680"/>
            <w:shd w:fill="FFFFFF" w:val="clear"/>
            <w:tcMar>
              <w:top w:type="dxa" w:w="50"/>
              <w:left w:type="dxa" w:w="100"/>
              <w:bottom w:type="dxa" w:w="50"/>
              <w:right w:type="dxa" w:w="100"/>
            </w:tcMar>
          </w:tcPr>
          <w:p>
            <w:r>
              <w:rPr>
                <w:sz w:val="19"/>
                <w:szCs w:val="19"/>
              </w:rPr>
              <w:t xml:space="preserve">+8.54%</w:t>
            </w:r>
          </w:p>
        </w:tc>
        <w:tc>
          <w:tcPr>
            <w:tcW w:type="dxa" w:w="1680"/>
            <w:shd w:fill="FFFFFF" w:val="clear"/>
            <w:tcMar>
              <w:top w:type="dxa" w:w="50"/>
              <w:left w:type="dxa" w:w="100"/>
              <w:bottom w:type="dxa" w:w="50"/>
              <w:right w:type="dxa" w:w="100"/>
            </w:tcMar>
          </w:tcPr>
          <w:p>
            <w:r>
              <w:rPr>
                <w:sz w:val="19"/>
                <w:szCs w:val="19"/>
              </w:rPr>
              <w:t xml:space="preserve">—</w:t>
            </w:r>
          </w:p>
        </w:tc>
      </w:tr>
      <w:tr>
        <w:tc>
          <w:tcPr>
            <w:tcW w:type="dxa" w:w="1680"/>
            <w:shd w:fill="F2F2F2" w:val="clear"/>
            <w:tcMar>
              <w:top w:type="dxa" w:w="50"/>
              <w:left w:type="dxa" w:w="100"/>
              <w:bottom w:type="dxa" w:w="50"/>
              <w:right w:type="dxa" w:w="100"/>
            </w:tcMar>
          </w:tcPr>
          <w:p>
            <w:r>
              <w:rPr>
                <w:sz w:val="19"/>
                <w:szCs w:val="19"/>
              </w:rPr>
              <w:t xml:space="preserve">2017-10</w:t>
            </w:r>
          </w:p>
        </w:tc>
        <w:tc>
          <w:tcPr>
            <w:tcW w:type="dxa" w:w="1680"/>
            <w:shd w:fill="F2F2F2" w:val="clear"/>
            <w:tcMar>
              <w:top w:type="dxa" w:w="50"/>
              <w:left w:type="dxa" w:w="100"/>
              <w:bottom w:type="dxa" w:w="50"/>
              <w:right w:type="dxa" w:w="100"/>
            </w:tcMar>
          </w:tcPr>
          <w:p>
            <w:r>
              <w:rPr>
                <w:sz w:val="19"/>
                <w:szCs w:val="19"/>
              </w:rPr>
              <w:t xml:space="preserve">4,478</w:t>
            </w:r>
          </w:p>
        </w:tc>
        <w:tc>
          <w:tcPr>
            <w:tcW w:type="dxa" w:w="1680"/>
            <w:shd w:fill="F2F2F2" w:val="clear"/>
            <w:tcMar>
              <w:top w:type="dxa" w:w="50"/>
              <w:left w:type="dxa" w:w="100"/>
              <w:bottom w:type="dxa" w:w="50"/>
              <w:right w:type="dxa" w:w="100"/>
            </w:tcMar>
          </w:tcPr>
          <w:p>
            <w:r>
              <w:rPr>
                <w:sz w:val="19"/>
                <w:szCs w:val="19"/>
              </w:rPr>
              <w:t xml:space="preserve">751,140.27</w:t>
            </w:r>
          </w:p>
        </w:tc>
        <w:tc>
          <w:tcPr>
            <w:tcW w:type="dxa" w:w="1680"/>
            <w:shd w:fill="F2F2F2" w:val="clear"/>
            <w:tcMar>
              <w:top w:type="dxa" w:w="50"/>
              <w:left w:type="dxa" w:w="100"/>
              <w:bottom w:type="dxa" w:w="50"/>
              <w:right w:type="dxa" w:w="100"/>
            </w:tcMar>
          </w:tcPr>
          <w:p>
            <w:r>
              <w:rPr>
                <w:sz w:val="19"/>
                <w:szCs w:val="19"/>
              </w:rPr>
              <w:t xml:space="preserve">167.74</w:t>
            </w:r>
          </w:p>
        </w:tc>
        <w:tc>
          <w:tcPr>
            <w:tcW w:type="dxa" w:w="1680"/>
            <w:shd w:fill="F2F2F2" w:val="clear"/>
            <w:tcMar>
              <w:top w:type="dxa" w:w="50"/>
              <w:left w:type="dxa" w:w="100"/>
              <w:bottom w:type="dxa" w:w="50"/>
              <w:right w:type="dxa" w:w="100"/>
            </w:tcMar>
          </w:tcPr>
          <w:p>
            <w:r>
              <w:rPr>
                <w:sz w:val="19"/>
                <w:szCs w:val="19"/>
              </w:rPr>
              <w:t xml:space="preserve">+7.13%</w:t>
            </w:r>
          </w:p>
        </w:tc>
        <w:tc>
          <w:tcPr>
            <w:tcW w:type="dxa" w:w="1680"/>
            <w:shd w:fill="F2F2F2" w:val="clear"/>
            <w:tcMar>
              <w:top w:type="dxa" w:w="50"/>
              <w:left w:type="dxa" w:w="100"/>
              <w:bottom w:type="dxa" w:w="50"/>
              <w:right w:type="dxa" w:w="100"/>
            </w:tcMar>
          </w:tcPr>
          <w:p>
            <w:r>
              <w:rPr>
                <w:sz w:val="19"/>
                <w:szCs w:val="19"/>
              </w:rPr>
              <w:t xml:space="preserve">—</w:t>
            </w:r>
          </w:p>
        </w:tc>
      </w:tr>
      <w:tr>
        <w:tc>
          <w:tcPr>
            <w:tcW w:type="dxa" w:w="1680"/>
            <w:shd w:fill="FFFFFF" w:val="clear"/>
            <w:tcMar>
              <w:top w:type="dxa" w:w="50"/>
              <w:left w:type="dxa" w:w="100"/>
              <w:bottom w:type="dxa" w:w="50"/>
              <w:right w:type="dxa" w:w="100"/>
            </w:tcMar>
          </w:tcPr>
          <w:p>
            <w:r>
              <w:rPr>
                <w:sz w:val="19"/>
                <w:szCs w:val="19"/>
              </w:rPr>
              <w:t xml:space="preserve">2017-11</w:t>
            </w:r>
          </w:p>
        </w:tc>
        <w:tc>
          <w:tcPr>
            <w:tcW w:type="dxa" w:w="1680"/>
            <w:shd w:fill="FFFFFF" w:val="clear"/>
            <w:tcMar>
              <w:top w:type="dxa" w:w="50"/>
              <w:left w:type="dxa" w:w="100"/>
              <w:bottom w:type="dxa" w:w="50"/>
              <w:right w:type="dxa" w:w="100"/>
            </w:tcMar>
          </w:tcPr>
          <w:p>
            <w:r>
              <w:rPr>
                <w:sz w:val="19"/>
                <w:szCs w:val="19"/>
              </w:rPr>
              <w:t xml:space="preserve">7,289</w:t>
            </w:r>
          </w:p>
        </w:tc>
        <w:tc>
          <w:tcPr>
            <w:tcW w:type="dxa" w:w="1680"/>
            <w:shd w:fill="FFFFFF" w:val="clear"/>
            <w:tcMar>
              <w:top w:type="dxa" w:w="50"/>
              <w:left w:type="dxa" w:w="100"/>
              <w:bottom w:type="dxa" w:w="50"/>
              <w:right w:type="dxa" w:w="100"/>
            </w:tcMar>
          </w:tcPr>
          <w:p>
            <w:r>
              <w:rPr>
                <w:sz w:val="19"/>
                <w:szCs w:val="19"/>
              </w:rPr>
              <w:t xml:space="preserve">1,153,528.05</w:t>
            </w:r>
          </w:p>
        </w:tc>
        <w:tc>
          <w:tcPr>
            <w:tcW w:type="dxa" w:w="1680"/>
            <w:shd w:fill="FFFFFF" w:val="clear"/>
            <w:tcMar>
              <w:top w:type="dxa" w:w="50"/>
              <w:left w:type="dxa" w:w="100"/>
              <w:bottom w:type="dxa" w:w="50"/>
              <w:right w:type="dxa" w:w="100"/>
            </w:tcMar>
          </w:tcPr>
          <w:p>
            <w:r>
              <w:rPr>
                <w:sz w:val="19"/>
                <w:szCs w:val="19"/>
              </w:rPr>
              <w:t xml:space="preserve">158.26</w:t>
            </w:r>
          </w:p>
        </w:tc>
        <w:tc>
          <w:tcPr>
            <w:tcW w:type="dxa" w:w="1680"/>
            <w:shd w:fill="FFFFFF" w:val="clear"/>
            <w:tcMar>
              <w:top w:type="dxa" w:w="50"/>
              <w:left w:type="dxa" w:w="100"/>
              <w:bottom w:type="dxa" w:w="50"/>
              <w:right w:type="dxa" w:w="100"/>
            </w:tcMar>
          </w:tcPr>
          <w:p>
            <w:r>
              <w:rPr>
                <w:sz w:val="19"/>
                <w:szCs w:val="19"/>
              </w:rPr>
              <w:t xml:space="preserve">+53.57%</w:t>
            </w:r>
          </w:p>
        </w:tc>
        <w:tc>
          <w:tcPr>
            <w:tcW w:type="dxa" w:w="1680"/>
            <w:shd w:fill="FFFFFF" w:val="clear"/>
            <w:tcMar>
              <w:top w:type="dxa" w:w="50"/>
              <w:left w:type="dxa" w:w="100"/>
              <w:bottom w:type="dxa" w:w="50"/>
              <w:right w:type="dxa" w:w="100"/>
            </w:tcMar>
          </w:tcPr>
          <w:p>
            <w:r>
              <w:rPr>
                <w:sz w:val="19"/>
                <w:szCs w:val="19"/>
              </w:rPr>
              <w:t xml:space="preserve">—</w:t>
            </w:r>
          </w:p>
        </w:tc>
      </w:tr>
      <w:tr>
        <w:tc>
          <w:tcPr>
            <w:tcW w:type="dxa" w:w="1680"/>
            <w:shd w:fill="F2F2F2" w:val="clear"/>
            <w:tcMar>
              <w:top w:type="dxa" w:w="50"/>
              <w:left w:type="dxa" w:w="100"/>
              <w:bottom w:type="dxa" w:w="50"/>
              <w:right w:type="dxa" w:w="100"/>
            </w:tcMar>
          </w:tcPr>
          <w:p>
            <w:r>
              <w:rPr>
                <w:sz w:val="19"/>
                <w:szCs w:val="19"/>
              </w:rPr>
              <w:t xml:space="preserve">2017-12</w:t>
            </w:r>
          </w:p>
        </w:tc>
        <w:tc>
          <w:tcPr>
            <w:tcW w:type="dxa" w:w="1680"/>
            <w:shd w:fill="F2F2F2" w:val="clear"/>
            <w:tcMar>
              <w:top w:type="dxa" w:w="50"/>
              <w:left w:type="dxa" w:w="100"/>
              <w:bottom w:type="dxa" w:w="50"/>
              <w:right w:type="dxa" w:w="100"/>
            </w:tcMar>
          </w:tcPr>
          <w:p>
            <w:r>
              <w:rPr>
                <w:sz w:val="19"/>
                <w:szCs w:val="19"/>
              </w:rPr>
              <w:t xml:space="preserve">5,513</w:t>
            </w:r>
          </w:p>
        </w:tc>
        <w:tc>
          <w:tcPr>
            <w:tcW w:type="dxa" w:w="1680"/>
            <w:shd w:fill="F2F2F2" w:val="clear"/>
            <w:tcMar>
              <w:top w:type="dxa" w:w="50"/>
              <w:left w:type="dxa" w:w="100"/>
              <w:bottom w:type="dxa" w:w="50"/>
              <w:right w:type="dxa" w:w="100"/>
            </w:tcMar>
          </w:tcPr>
          <w:p>
            <w:r>
              <w:rPr>
                <w:sz w:val="19"/>
                <w:szCs w:val="19"/>
              </w:rPr>
              <w:t xml:space="preserve">843,199.17</w:t>
            </w:r>
          </w:p>
        </w:tc>
        <w:tc>
          <w:tcPr>
            <w:tcW w:type="dxa" w:w="1680"/>
            <w:shd w:fill="F2F2F2" w:val="clear"/>
            <w:tcMar>
              <w:top w:type="dxa" w:w="50"/>
              <w:left w:type="dxa" w:w="100"/>
              <w:bottom w:type="dxa" w:w="50"/>
              <w:right w:type="dxa" w:w="100"/>
            </w:tcMar>
          </w:tcPr>
          <w:p>
            <w:r>
              <w:rPr>
                <w:sz w:val="19"/>
                <w:szCs w:val="19"/>
              </w:rPr>
              <w:t xml:space="preserve">152.95</w:t>
            </w:r>
          </w:p>
        </w:tc>
        <w:tc>
          <w:tcPr>
            <w:tcW w:type="dxa" w:w="1680"/>
            <w:shd w:fill="F2F2F2" w:val="clear"/>
            <w:tcMar>
              <w:top w:type="dxa" w:w="50"/>
              <w:left w:type="dxa" w:w="100"/>
              <w:bottom w:type="dxa" w:w="50"/>
              <w:right w:type="dxa" w:w="100"/>
            </w:tcMar>
          </w:tcPr>
          <w:p>
            <w:r>
              <w:rPr>
                <w:sz w:val="19"/>
                <w:szCs w:val="19"/>
              </w:rPr>
              <w:t xml:space="preserve">-26.90%</w:t>
            </w:r>
          </w:p>
        </w:tc>
        <w:tc>
          <w:tcPr>
            <w:tcW w:type="dxa" w:w="1680"/>
            <w:shd w:fill="F2F2F2" w:val="clear"/>
            <w:tcMar>
              <w:top w:type="dxa" w:w="50"/>
              <w:left w:type="dxa" w:w="100"/>
              <w:bottom w:type="dxa" w:w="50"/>
              <w:right w:type="dxa" w:w="100"/>
            </w:tcMar>
          </w:tcPr>
          <w:p>
            <w:r>
              <w:rPr>
                <w:sz w:val="19"/>
                <w:szCs w:val="19"/>
              </w:rPr>
              <w:t xml:space="preserve">—</w:t>
            </w:r>
          </w:p>
        </w:tc>
      </w:tr>
      <w:tr>
        <w:tc>
          <w:tcPr>
            <w:tcW w:type="dxa" w:w="1680"/>
            <w:shd w:fill="FFFFFF" w:val="clear"/>
            <w:tcMar>
              <w:top w:type="dxa" w:w="50"/>
              <w:left w:type="dxa" w:w="100"/>
              <w:bottom w:type="dxa" w:w="50"/>
              <w:right w:type="dxa" w:w="100"/>
            </w:tcMar>
          </w:tcPr>
          <w:p>
            <w:r>
              <w:rPr>
                <w:sz w:val="19"/>
                <w:szCs w:val="19"/>
              </w:rPr>
              <w:t xml:space="preserve">2018-01</w:t>
            </w:r>
          </w:p>
        </w:tc>
        <w:tc>
          <w:tcPr>
            <w:tcW w:type="dxa" w:w="1680"/>
            <w:shd w:fill="FFFFFF" w:val="clear"/>
            <w:tcMar>
              <w:top w:type="dxa" w:w="50"/>
              <w:left w:type="dxa" w:w="100"/>
              <w:bottom w:type="dxa" w:w="50"/>
              <w:right w:type="dxa" w:w="100"/>
            </w:tcMar>
          </w:tcPr>
          <w:p>
            <w:r>
              <w:rPr>
                <w:sz w:val="19"/>
                <w:szCs w:val="19"/>
              </w:rPr>
              <w:t xml:space="preserve">7,069</w:t>
            </w:r>
          </w:p>
        </w:tc>
        <w:tc>
          <w:tcPr>
            <w:tcW w:type="dxa" w:w="1680"/>
            <w:shd w:fill="FFFFFF" w:val="clear"/>
            <w:tcMar>
              <w:top w:type="dxa" w:w="50"/>
              <w:left w:type="dxa" w:w="100"/>
              <w:bottom w:type="dxa" w:w="50"/>
              <w:right w:type="dxa" w:w="100"/>
            </w:tcMar>
          </w:tcPr>
          <w:p>
            <w:r>
              <w:rPr>
                <w:sz w:val="19"/>
                <w:szCs w:val="19"/>
              </w:rPr>
              <w:t xml:space="preserve">1,078,606.86</w:t>
            </w:r>
          </w:p>
        </w:tc>
        <w:tc>
          <w:tcPr>
            <w:tcW w:type="dxa" w:w="1680"/>
            <w:shd w:fill="FFFFFF" w:val="clear"/>
            <w:tcMar>
              <w:top w:type="dxa" w:w="50"/>
              <w:left w:type="dxa" w:w="100"/>
              <w:bottom w:type="dxa" w:w="50"/>
              <w:right w:type="dxa" w:w="100"/>
            </w:tcMar>
          </w:tcPr>
          <w:p>
            <w:r>
              <w:rPr>
                <w:sz w:val="19"/>
                <w:szCs w:val="19"/>
              </w:rPr>
              <w:t xml:space="preserve">152.58</w:t>
            </w:r>
          </w:p>
        </w:tc>
        <w:tc>
          <w:tcPr>
            <w:tcW w:type="dxa" w:w="1680"/>
            <w:shd w:fill="FFFFFF" w:val="clear"/>
            <w:tcMar>
              <w:top w:type="dxa" w:w="50"/>
              <w:left w:type="dxa" w:w="100"/>
              <w:bottom w:type="dxa" w:w="50"/>
              <w:right w:type="dxa" w:w="100"/>
            </w:tcMar>
          </w:tcPr>
          <w:p>
            <w:r>
              <w:rPr>
                <w:sz w:val="19"/>
                <w:szCs w:val="19"/>
              </w:rPr>
              <w:t xml:space="preserve">+27.92%</w:t>
            </w:r>
          </w:p>
        </w:tc>
        <w:tc>
          <w:tcPr>
            <w:tcW w:type="dxa" w:w="1680"/>
            <w:shd w:fill="FFFFFF" w:val="clear"/>
            <w:tcMar>
              <w:top w:type="dxa" w:w="50"/>
              <w:left w:type="dxa" w:w="100"/>
              <w:bottom w:type="dxa" w:w="50"/>
              <w:right w:type="dxa" w:w="100"/>
            </w:tcMar>
          </w:tcPr>
          <w:p>
            <w:r>
              <w:rPr>
                <w:sz w:val="19"/>
                <w:szCs w:val="19"/>
              </w:rPr>
              <w:t xml:space="preserve">+745.66%</w:t>
            </w:r>
          </w:p>
        </w:tc>
      </w:tr>
      <w:tr>
        <w:tc>
          <w:tcPr>
            <w:tcW w:type="dxa" w:w="1680"/>
            <w:shd w:fill="F2F2F2" w:val="clear"/>
            <w:tcMar>
              <w:top w:type="dxa" w:w="50"/>
              <w:left w:type="dxa" w:w="100"/>
              <w:bottom w:type="dxa" w:w="50"/>
              <w:right w:type="dxa" w:w="100"/>
            </w:tcMar>
          </w:tcPr>
          <w:p>
            <w:r>
              <w:rPr>
                <w:sz w:val="19"/>
                <w:szCs w:val="19"/>
              </w:rPr>
              <w:t xml:space="preserve">2018-02</w:t>
            </w:r>
          </w:p>
        </w:tc>
        <w:tc>
          <w:tcPr>
            <w:tcW w:type="dxa" w:w="1680"/>
            <w:shd w:fill="F2F2F2" w:val="clear"/>
            <w:tcMar>
              <w:top w:type="dxa" w:w="50"/>
              <w:left w:type="dxa" w:w="100"/>
              <w:bottom w:type="dxa" w:w="50"/>
              <w:right w:type="dxa" w:w="100"/>
            </w:tcMar>
          </w:tcPr>
          <w:p>
            <w:r>
              <w:rPr>
                <w:sz w:val="19"/>
                <w:szCs w:val="19"/>
              </w:rPr>
              <w:t xml:space="preserve">6,555</w:t>
            </w:r>
          </w:p>
        </w:tc>
        <w:tc>
          <w:tcPr>
            <w:tcW w:type="dxa" w:w="1680"/>
            <w:shd w:fill="F2F2F2" w:val="clear"/>
            <w:tcMar>
              <w:top w:type="dxa" w:w="50"/>
              <w:left w:type="dxa" w:w="100"/>
              <w:bottom w:type="dxa" w:w="50"/>
              <w:right w:type="dxa" w:w="100"/>
            </w:tcMar>
          </w:tcPr>
          <w:p>
            <w:r>
              <w:rPr>
                <w:sz w:val="19"/>
                <w:szCs w:val="19"/>
              </w:rPr>
              <w:t xml:space="preserve">966,510.88</w:t>
            </w:r>
          </w:p>
        </w:tc>
        <w:tc>
          <w:tcPr>
            <w:tcW w:type="dxa" w:w="1680"/>
            <w:shd w:fill="F2F2F2" w:val="clear"/>
            <w:tcMar>
              <w:top w:type="dxa" w:w="50"/>
              <w:left w:type="dxa" w:w="100"/>
              <w:bottom w:type="dxa" w:w="50"/>
              <w:right w:type="dxa" w:w="100"/>
            </w:tcMar>
          </w:tcPr>
          <w:p>
            <w:r>
              <w:rPr>
                <w:sz w:val="19"/>
                <w:szCs w:val="19"/>
              </w:rPr>
              <w:t xml:space="preserve">147.45</w:t>
            </w:r>
          </w:p>
        </w:tc>
        <w:tc>
          <w:tcPr>
            <w:tcW w:type="dxa" w:w="1680"/>
            <w:shd w:fill="F2F2F2" w:val="clear"/>
            <w:tcMar>
              <w:top w:type="dxa" w:w="50"/>
              <w:left w:type="dxa" w:w="100"/>
              <w:bottom w:type="dxa" w:w="50"/>
              <w:right w:type="dxa" w:w="100"/>
            </w:tcMar>
          </w:tcPr>
          <w:p>
            <w:r>
              <w:rPr>
                <w:sz w:val="19"/>
                <w:szCs w:val="19"/>
              </w:rPr>
              <w:t xml:space="preserve">-10.39%</w:t>
            </w:r>
          </w:p>
        </w:tc>
        <w:tc>
          <w:tcPr>
            <w:tcW w:type="dxa" w:w="1680"/>
            <w:shd w:fill="F2F2F2" w:val="clear"/>
            <w:tcMar>
              <w:top w:type="dxa" w:w="50"/>
              <w:left w:type="dxa" w:w="100"/>
              <w:bottom w:type="dxa" w:w="50"/>
              <w:right w:type="dxa" w:w="100"/>
            </w:tcMar>
          </w:tcPr>
          <w:p>
            <w:r>
              <w:rPr>
                <w:sz w:val="19"/>
                <w:szCs w:val="19"/>
              </w:rPr>
              <w:t xml:space="preserve">+256.25%</w:t>
            </w:r>
          </w:p>
        </w:tc>
      </w:tr>
      <w:tr>
        <w:tc>
          <w:tcPr>
            <w:tcW w:type="dxa" w:w="1680"/>
            <w:shd w:fill="FFFFFF" w:val="clear"/>
            <w:tcMar>
              <w:top w:type="dxa" w:w="50"/>
              <w:left w:type="dxa" w:w="100"/>
              <w:bottom w:type="dxa" w:w="50"/>
              <w:right w:type="dxa" w:w="100"/>
            </w:tcMar>
          </w:tcPr>
          <w:p>
            <w:r>
              <w:rPr>
                <w:sz w:val="19"/>
                <w:szCs w:val="19"/>
              </w:rPr>
              <w:t xml:space="preserve">2018-03</w:t>
            </w:r>
          </w:p>
        </w:tc>
        <w:tc>
          <w:tcPr>
            <w:tcW w:type="dxa" w:w="1680"/>
            <w:shd w:fill="FFFFFF" w:val="clear"/>
            <w:tcMar>
              <w:top w:type="dxa" w:w="50"/>
              <w:left w:type="dxa" w:w="100"/>
              <w:bottom w:type="dxa" w:w="50"/>
              <w:right w:type="dxa" w:w="100"/>
            </w:tcMar>
          </w:tcPr>
          <w:p>
            <w:r>
              <w:rPr>
                <w:sz w:val="19"/>
                <w:szCs w:val="19"/>
              </w:rPr>
              <w:t xml:space="preserve">7,003</w:t>
            </w:r>
          </w:p>
        </w:tc>
        <w:tc>
          <w:tcPr>
            <w:tcW w:type="dxa" w:w="1680"/>
            <w:shd w:fill="FFFFFF" w:val="clear"/>
            <w:tcMar>
              <w:top w:type="dxa" w:w="50"/>
              <w:left w:type="dxa" w:w="100"/>
              <w:bottom w:type="dxa" w:w="50"/>
              <w:right w:type="dxa" w:w="100"/>
            </w:tcMar>
          </w:tcPr>
          <w:p>
            <w:r>
              <w:rPr>
                <w:sz w:val="19"/>
                <w:szCs w:val="19"/>
              </w:rPr>
              <w:t xml:space="preserve">1,120,678.00</w:t>
            </w:r>
          </w:p>
        </w:tc>
        <w:tc>
          <w:tcPr>
            <w:tcW w:type="dxa" w:w="1680"/>
            <w:shd w:fill="FFFFFF" w:val="clear"/>
            <w:tcMar>
              <w:top w:type="dxa" w:w="50"/>
              <w:left w:type="dxa" w:w="100"/>
              <w:bottom w:type="dxa" w:w="50"/>
              <w:right w:type="dxa" w:w="100"/>
            </w:tcMar>
          </w:tcPr>
          <w:p>
            <w:r>
              <w:rPr>
                <w:sz w:val="19"/>
                <w:szCs w:val="19"/>
              </w:rPr>
              <w:t xml:space="preserve">160.03</w:t>
            </w:r>
          </w:p>
        </w:tc>
        <w:tc>
          <w:tcPr>
            <w:tcW w:type="dxa" w:w="1680"/>
            <w:shd w:fill="FFFFFF" w:val="clear"/>
            <w:tcMar>
              <w:top w:type="dxa" w:w="50"/>
              <w:left w:type="dxa" w:w="100"/>
              <w:bottom w:type="dxa" w:w="50"/>
              <w:right w:type="dxa" w:w="100"/>
            </w:tcMar>
          </w:tcPr>
          <w:p>
            <w:r>
              <w:rPr>
                <w:sz w:val="19"/>
                <w:szCs w:val="19"/>
              </w:rPr>
              <w:t xml:space="preserve">+15.95%</w:t>
            </w:r>
          </w:p>
        </w:tc>
        <w:tc>
          <w:tcPr>
            <w:tcW w:type="dxa" w:w="1680"/>
            <w:shd w:fill="FFFFFF" w:val="clear"/>
            <w:tcMar>
              <w:top w:type="dxa" w:w="50"/>
              <w:left w:type="dxa" w:w="100"/>
              <w:bottom w:type="dxa" w:w="50"/>
              <w:right w:type="dxa" w:w="100"/>
            </w:tcMar>
          </w:tcPr>
          <w:p>
            <w:r>
              <w:rPr>
                <w:sz w:val="19"/>
                <w:szCs w:val="19"/>
              </w:rPr>
              <w:t xml:space="preserve">+170.45%</w:t>
            </w:r>
          </w:p>
        </w:tc>
      </w:tr>
      <w:tr>
        <w:tc>
          <w:tcPr>
            <w:tcW w:type="dxa" w:w="1680"/>
            <w:shd w:fill="F2F2F2" w:val="clear"/>
            <w:tcMar>
              <w:top w:type="dxa" w:w="50"/>
              <w:left w:type="dxa" w:w="100"/>
              <w:bottom w:type="dxa" w:w="50"/>
              <w:right w:type="dxa" w:w="100"/>
            </w:tcMar>
          </w:tcPr>
          <w:p>
            <w:r>
              <w:rPr>
                <w:sz w:val="19"/>
                <w:szCs w:val="19"/>
              </w:rPr>
              <w:t xml:space="preserve">2018-04</w:t>
            </w:r>
          </w:p>
        </w:tc>
        <w:tc>
          <w:tcPr>
            <w:tcW w:type="dxa" w:w="1680"/>
            <w:shd w:fill="F2F2F2" w:val="clear"/>
            <w:tcMar>
              <w:top w:type="dxa" w:w="50"/>
              <w:left w:type="dxa" w:w="100"/>
              <w:bottom w:type="dxa" w:w="50"/>
              <w:right w:type="dxa" w:w="100"/>
            </w:tcMar>
          </w:tcPr>
          <w:p>
            <w:r>
              <w:rPr>
                <w:sz w:val="19"/>
                <w:szCs w:val="19"/>
              </w:rPr>
              <w:t xml:space="preserve">6,798</w:t>
            </w:r>
          </w:p>
        </w:tc>
        <w:tc>
          <w:tcPr>
            <w:tcW w:type="dxa" w:w="1680"/>
            <w:shd w:fill="F2F2F2" w:val="clear"/>
            <w:tcMar>
              <w:top w:type="dxa" w:w="50"/>
              <w:left w:type="dxa" w:w="100"/>
              <w:bottom w:type="dxa" w:w="50"/>
              <w:right w:type="dxa" w:w="100"/>
            </w:tcMar>
          </w:tcPr>
          <w:p>
            <w:r>
              <w:rPr>
                <w:sz w:val="19"/>
                <w:szCs w:val="19"/>
              </w:rPr>
              <w:t xml:space="preserve">1,132,933.95</w:t>
            </w:r>
          </w:p>
        </w:tc>
        <w:tc>
          <w:tcPr>
            <w:tcW w:type="dxa" w:w="1680"/>
            <w:shd w:fill="F2F2F2" w:val="clear"/>
            <w:tcMar>
              <w:top w:type="dxa" w:w="50"/>
              <w:left w:type="dxa" w:w="100"/>
              <w:bottom w:type="dxa" w:w="50"/>
              <w:right w:type="dxa" w:w="100"/>
            </w:tcMar>
          </w:tcPr>
          <w:p>
            <w:r>
              <w:rPr>
                <w:sz w:val="19"/>
                <w:szCs w:val="19"/>
              </w:rPr>
              <w:t xml:space="preserve">166.66</w:t>
            </w:r>
          </w:p>
        </w:tc>
        <w:tc>
          <w:tcPr>
            <w:tcW w:type="dxa" w:w="1680"/>
            <w:shd w:fill="F2F2F2" w:val="clear"/>
            <w:tcMar>
              <w:top w:type="dxa" w:w="50"/>
              <w:left w:type="dxa" w:w="100"/>
              <w:bottom w:type="dxa" w:w="50"/>
              <w:right w:type="dxa" w:w="100"/>
            </w:tcMar>
          </w:tcPr>
          <w:p>
            <w:r>
              <w:rPr>
                <w:sz w:val="19"/>
                <w:szCs w:val="19"/>
              </w:rPr>
              <w:t xml:space="preserve">+1.09%</w:t>
            </w:r>
          </w:p>
        </w:tc>
        <w:tc>
          <w:tcPr>
            <w:tcW w:type="dxa" w:w="1680"/>
            <w:shd w:fill="F2F2F2" w:val="clear"/>
            <w:tcMar>
              <w:top w:type="dxa" w:w="50"/>
              <w:left w:type="dxa" w:w="100"/>
              <w:bottom w:type="dxa" w:w="50"/>
              <w:right w:type="dxa" w:w="100"/>
            </w:tcMar>
          </w:tcPr>
          <w:p>
            <w:r>
              <w:rPr>
                <w:sz w:val="19"/>
                <w:szCs w:val="19"/>
              </w:rPr>
              <w:t xml:space="preserve">+189.79%</w:t>
            </w:r>
          </w:p>
        </w:tc>
      </w:tr>
      <w:tr>
        <w:tc>
          <w:tcPr>
            <w:tcW w:type="dxa" w:w="1680"/>
            <w:shd w:fill="FFFFFF" w:val="clear"/>
            <w:tcMar>
              <w:top w:type="dxa" w:w="50"/>
              <w:left w:type="dxa" w:w="100"/>
              <w:bottom w:type="dxa" w:w="50"/>
              <w:right w:type="dxa" w:w="100"/>
            </w:tcMar>
          </w:tcPr>
          <w:p>
            <w:r>
              <w:rPr>
                <w:sz w:val="19"/>
                <w:szCs w:val="19"/>
              </w:rPr>
              <w:t xml:space="preserve">2018-05</w:t>
            </w:r>
          </w:p>
        </w:tc>
        <w:tc>
          <w:tcPr>
            <w:tcW w:type="dxa" w:w="1680"/>
            <w:shd w:fill="FFFFFF" w:val="clear"/>
            <w:tcMar>
              <w:top w:type="dxa" w:w="50"/>
              <w:left w:type="dxa" w:w="100"/>
              <w:bottom w:type="dxa" w:w="50"/>
              <w:right w:type="dxa" w:w="100"/>
            </w:tcMar>
          </w:tcPr>
          <w:p>
            <w:r>
              <w:rPr>
                <w:sz w:val="19"/>
                <w:szCs w:val="19"/>
              </w:rPr>
              <w:t xml:space="preserve">6,749</w:t>
            </w:r>
          </w:p>
        </w:tc>
        <w:tc>
          <w:tcPr>
            <w:tcW w:type="dxa" w:w="1680"/>
            <w:shd w:fill="FFFFFF" w:val="clear"/>
            <w:tcMar>
              <w:top w:type="dxa" w:w="50"/>
              <w:left w:type="dxa" w:w="100"/>
              <w:bottom w:type="dxa" w:w="50"/>
              <w:right w:type="dxa" w:w="100"/>
            </w:tcMar>
          </w:tcPr>
          <w:p>
            <w:r>
              <w:rPr>
                <w:sz w:val="19"/>
                <w:szCs w:val="19"/>
              </w:rPr>
              <w:t xml:space="preserve">1,128,836.69</w:t>
            </w:r>
          </w:p>
        </w:tc>
        <w:tc>
          <w:tcPr>
            <w:tcW w:type="dxa" w:w="1680"/>
            <w:shd w:fill="FFFFFF" w:val="clear"/>
            <w:tcMar>
              <w:top w:type="dxa" w:w="50"/>
              <w:left w:type="dxa" w:w="100"/>
              <w:bottom w:type="dxa" w:w="50"/>
              <w:right w:type="dxa" w:w="100"/>
            </w:tcMar>
          </w:tcPr>
          <w:p>
            <w:r>
              <w:rPr>
                <w:sz w:val="19"/>
                <w:szCs w:val="19"/>
              </w:rPr>
              <w:t xml:space="preserve">167.26</w:t>
            </w:r>
          </w:p>
        </w:tc>
        <w:tc>
          <w:tcPr>
            <w:tcW w:type="dxa" w:w="1680"/>
            <w:shd w:fill="FFFFFF" w:val="clear"/>
            <w:tcMar>
              <w:top w:type="dxa" w:w="50"/>
              <w:left w:type="dxa" w:w="100"/>
              <w:bottom w:type="dxa" w:w="50"/>
              <w:right w:type="dxa" w:w="100"/>
            </w:tcMar>
          </w:tcPr>
          <w:p>
            <w:r>
              <w:rPr>
                <w:sz w:val="19"/>
                <w:szCs w:val="19"/>
              </w:rPr>
              <w:t xml:space="preserve">-0.36%</w:t>
            </w:r>
          </w:p>
        </w:tc>
        <w:tc>
          <w:tcPr>
            <w:tcW w:type="dxa" w:w="1680"/>
            <w:shd w:fill="FFFFFF" w:val="clear"/>
            <w:tcMar>
              <w:top w:type="dxa" w:w="50"/>
              <w:left w:type="dxa" w:w="100"/>
              <w:bottom w:type="dxa" w:w="50"/>
              <w:right w:type="dxa" w:w="100"/>
            </w:tcMar>
          </w:tcPr>
          <w:p>
            <w:r>
              <w:rPr>
                <w:sz w:val="19"/>
                <w:szCs w:val="19"/>
              </w:rPr>
              <w:t xml:space="preserve">+99.07%</w:t>
            </w:r>
          </w:p>
        </w:tc>
      </w:tr>
      <w:tr>
        <w:tc>
          <w:tcPr>
            <w:tcW w:type="dxa" w:w="1680"/>
            <w:shd w:fill="F2F2F2" w:val="clear"/>
            <w:tcMar>
              <w:top w:type="dxa" w:w="50"/>
              <w:left w:type="dxa" w:w="100"/>
              <w:bottom w:type="dxa" w:w="50"/>
              <w:right w:type="dxa" w:w="100"/>
            </w:tcMar>
          </w:tcPr>
          <w:p>
            <w:r>
              <w:rPr>
                <w:sz w:val="19"/>
                <w:szCs w:val="19"/>
              </w:rPr>
              <w:t xml:space="preserve">2018-06</w:t>
            </w:r>
          </w:p>
        </w:tc>
        <w:tc>
          <w:tcPr>
            <w:tcW w:type="dxa" w:w="1680"/>
            <w:shd w:fill="F2F2F2" w:val="clear"/>
            <w:tcMar>
              <w:top w:type="dxa" w:w="50"/>
              <w:left w:type="dxa" w:w="100"/>
              <w:bottom w:type="dxa" w:w="50"/>
              <w:right w:type="dxa" w:w="100"/>
            </w:tcMar>
          </w:tcPr>
          <w:p>
            <w:r>
              <w:rPr>
                <w:sz w:val="19"/>
                <w:szCs w:val="19"/>
              </w:rPr>
              <w:t xml:space="preserve">6,099</w:t>
            </w:r>
          </w:p>
        </w:tc>
        <w:tc>
          <w:tcPr>
            <w:tcW w:type="dxa" w:w="1680"/>
            <w:shd w:fill="F2F2F2" w:val="clear"/>
            <w:tcMar>
              <w:top w:type="dxa" w:w="50"/>
              <w:left w:type="dxa" w:w="100"/>
              <w:bottom w:type="dxa" w:w="50"/>
              <w:right w:type="dxa" w:w="100"/>
            </w:tcMar>
          </w:tcPr>
          <w:p>
            <w:r>
              <w:rPr>
                <w:sz w:val="19"/>
                <w:szCs w:val="19"/>
              </w:rPr>
              <w:t xml:space="preserve">1,012,090.68</w:t>
            </w:r>
          </w:p>
        </w:tc>
        <w:tc>
          <w:tcPr>
            <w:tcW w:type="dxa" w:w="1680"/>
            <w:shd w:fill="F2F2F2" w:val="clear"/>
            <w:tcMar>
              <w:top w:type="dxa" w:w="50"/>
              <w:left w:type="dxa" w:w="100"/>
              <w:bottom w:type="dxa" w:w="50"/>
              <w:right w:type="dxa" w:w="100"/>
            </w:tcMar>
          </w:tcPr>
          <w:p>
            <w:r>
              <w:rPr>
                <w:sz w:val="19"/>
                <w:szCs w:val="19"/>
              </w:rPr>
              <w:t xml:space="preserve">165.94</w:t>
            </w:r>
          </w:p>
        </w:tc>
        <w:tc>
          <w:tcPr>
            <w:tcW w:type="dxa" w:w="1680"/>
            <w:shd w:fill="F2F2F2" w:val="clear"/>
            <w:tcMar>
              <w:top w:type="dxa" w:w="50"/>
              <w:left w:type="dxa" w:w="100"/>
              <w:bottom w:type="dxa" w:w="50"/>
              <w:right w:type="dxa" w:w="100"/>
            </w:tcMar>
          </w:tcPr>
          <w:p>
            <w:r>
              <w:rPr>
                <w:sz w:val="19"/>
                <w:szCs w:val="19"/>
              </w:rPr>
              <w:t xml:space="preserve">-10.34%</w:t>
            </w:r>
          </w:p>
        </w:tc>
        <w:tc>
          <w:tcPr>
            <w:tcW w:type="dxa" w:w="1680"/>
            <w:shd w:fill="F2F2F2" w:val="clear"/>
            <w:tcMar>
              <w:top w:type="dxa" w:w="50"/>
              <w:left w:type="dxa" w:w="100"/>
              <w:bottom w:type="dxa" w:w="50"/>
              <w:right w:type="dxa" w:w="100"/>
            </w:tcMar>
          </w:tcPr>
          <w:p>
            <w:r>
              <w:rPr>
                <w:sz w:val="19"/>
                <w:szCs w:val="19"/>
              </w:rPr>
              <w:t xml:space="preserve">+106.45%</w:t>
            </w:r>
          </w:p>
        </w:tc>
      </w:tr>
      <w:tr>
        <w:tc>
          <w:tcPr>
            <w:tcW w:type="dxa" w:w="1680"/>
            <w:shd w:fill="FFFFFF" w:val="clear"/>
            <w:tcMar>
              <w:top w:type="dxa" w:w="50"/>
              <w:left w:type="dxa" w:w="100"/>
              <w:bottom w:type="dxa" w:w="50"/>
              <w:right w:type="dxa" w:w="100"/>
            </w:tcMar>
          </w:tcPr>
          <w:p>
            <w:r>
              <w:rPr>
                <w:sz w:val="19"/>
                <w:szCs w:val="19"/>
              </w:rPr>
              <w:t xml:space="preserve">2018-07</w:t>
            </w:r>
          </w:p>
        </w:tc>
        <w:tc>
          <w:tcPr>
            <w:tcW w:type="dxa" w:w="1680"/>
            <w:shd w:fill="FFFFFF" w:val="clear"/>
            <w:tcMar>
              <w:top w:type="dxa" w:w="50"/>
              <w:left w:type="dxa" w:w="100"/>
              <w:bottom w:type="dxa" w:w="50"/>
              <w:right w:type="dxa" w:w="100"/>
            </w:tcMar>
          </w:tcPr>
          <w:p>
            <w:r>
              <w:rPr>
                <w:sz w:val="19"/>
                <w:szCs w:val="19"/>
              </w:rPr>
              <w:t xml:space="preserve">6,159</w:t>
            </w:r>
          </w:p>
        </w:tc>
        <w:tc>
          <w:tcPr>
            <w:tcW w:type="dxa" w:w="1680"/>
            <w:shd w:fill="FFFFFF" w:val="clear"/>
            <w:tcMar>
              <w:top w:type="dxa" w:w="50"/>
              <w:left w:type="dxa" w:w="100"/>
              <w:bottom w:type="dxa" w:w="50"/>
              <w:right w:type="dxa" w:w="100"/>
            </w:tcMar>
          </w:tcPr>
          <w:p>
            <w:r>
              <w:rPr>
                <w:sz w:val="19"/>
                <w:szCs w:val="19"/>
              </w:rPr>
              <w:t xml:space="preserve">1,027,903.86</w:t>
            </w:r>
          </w:p>
        </w:tc>
        <w:tc>
          <w:tcPr>
            <w:tcW w:type="dxa" w:w="1680"/>
            <w:shd w:fill="FFFFFF" w:val="clear"/>
            <w:tcMar>
              <w:top w:type="dxa" w:w="50"/>
              <w:left w:type="dxa" w:w="100"/>
              <w:bottom w:type="dxa" w:w="50"/>
              <w:right w:type="dxa" w:w="100"/>
            </w:tcMar>
          </w:tcPr>
          <w:p>
            <w:r>
              <w:rPr>
                <w:sz w:val="19"/>
                <w:szCs w:val="19"/>
              </w:rPr>
              <w:t xml:space="preserve">166.89</w:t>
            </w:r>
          </w:p>
        </w:tc>
        <w:tc>
          <w:tcPr>
            <w:tcW w:type="dxa" w:w="1680"/>
            <w:shd w:fill="FFFFFF" w:val="clear"/>
            <w:tcMar>
              <w:top w:type="dxa" w:w="50"/>
              <w:left w:type="dxa" w:w="100"/>
              <w:bottom w:type="dxa" w:w="50"/>
              <w:right w:type="dxa" w:w="100"/>
            </w:tcMar>
          </w:tcPr>
          <w:p>
            <w:r>
              <w:rPr>
                <w:sz w:val="19"/>
                <w:szCs w:val="19"/>
              </w:rPr>
              <w:t xml:space="preserve">+1.56%</w:t>
            </w:r>
          </w:p>
        </w:tc>
        <w:tc>
          <w:tcPr>
            <w:tcW w:type="dxa" w:w="1680"/>
            <w:shd w:fill="FFFFFF" w:val="clear"/>
            <w:tcMar>
              <w:top w:type="dxa" w:w="50"/>
              <w:left w:type="dxa" w:w="100"/>
              <w:bottom w:type="dxa" w:w="50"/>
              <w:right w:type="dxa" w:w="100"/>
            </w:tcMar>
          </w:tcPr>
          <w:p>
            <w:r>
              <w:rPr>
                <w:sz w:val="19"/>
                <w:szCs w:val="19"/>
              </w:rPr>
              <w:t xml:space="preserve">+81.48%</w:t>
            </w:r>
          </w:p>
        </w:tc>
      </w:tr>
      <w:tr>
        <w:tc>
          <w:tcPr>
            <w:tcW w:type="dxa" w:w="1680"/>
            <w:shd w:fill="F2F2F2" w:val="clear"/>
            <w:tcMar>
              <w:top w:type="dxa" w:w="50"/>
              <w:left w:type="dxa" w:w="100"/>
              <w:bottom w:type="dxa" w:w="50"/>
              <w:right w:type="dxa" w:w="100"/>
            </w:tcMar>
          </w:tcPr>
          <w:p>
            <w:r>
              <w:rPr>
                <w:sz w:val="19"/>
                <w:szCs w:val="19"/>
              </w:rPr>
              <w:t xml:space="preserve">2018-08</w:t>
            </w:r>
          </w:p>
        </w:tc>
        <w:tc>
          <w:tcPr>
            <w:tcW w:type="dxa" w:w="1680"/>
            <w:shd w:fill="F2F2F2" w:val="clear"/>
            <w:tcMar>
              <w:top w:type="dxa" w:w="50"/>
              <w:left w:type="dxa" w:w="100"/>
              <w:bottom w:type="dxa" w:w="50"/>
              <w:right w:type="dxa" w:w="100"/>
            </w:tcMar>
          </w:tcPr>
          <w:p>
            <w:r>
              <w:rPr>
                <w:sz w:val="19"/>
                <w:szCs w:val="19"/>
              </w:rPr>
              <w:t xml:space="preserve">6,351</w:t>
            </w:r>
          </w:p>
        </w:tc>
        <w:tc>
          <w:tcPr>
            <w:tcW w:type="dxa" w:w="1680"/>
            <w:shd w:fill="F2F2F2" w:val="clear"/>
            <w:tcMar>
              <w:top w:type="dxa" w:w="50"/>
              <w:left w:type="dxa" w:w="100"/>
              <w:bottom w:type="dxa" w:w="50"/>
              <w:right w:type="dxa" w:w="100"/>
            </w:tcMar>
          </w:tcPr>
          <w:p>
            <w:r>
              <w:rPr>
                <w:sz w:val="19"/>
                <w:szCs w:val="19"/>
              </w:rPr>
              <w:t xml:space="preserve">985,414.28</w:t>
            </w:r>
          </w:p>
        </w:tc>
        <w:tc>
          <w:tcPr>
            <w:tcW w:type="dxa" w:w="1680"/>
            <w:shd w:fill="F2F2F2" w:val="clear"/>
            <w:tcMar>
              <w:top w:type="dxa" w:w="50"/>
              <w:left w:type="dxa" w:w="100"/>
              <w:bottom w:type="dxa" w:w="50"/>
              <w:right w:type="dxa" w:w="100"/>
            </w:tcMar>
          </w:tcPr>
          <w:p>
            <w:r>
              <w:rPr>
                <w:sz w:val="19"/>
                <w:szCs w:val="19"/>
              </w:rPr>
              <w:t xml:space="preserve">155.16</w:t>
            </w:r>
          </w:p>
        </w:tc>
        <w:tc>
          <w:tcPr>
            <w:tcW w:type="dxa" w:w="1680"/>
            <w:shd w:fill="F2F2F2" w:val="clear"/>
            <w:tcMar>
              <w:top w:type="dxa" w:w="50"/>
              <w:left w:type="dxa" w:w="100"/>
              <w:bottom w:type="dxa" w:w="50"/>
              <w:right w:type="dxa" w:w="100"/>
            </w:tcMar>
          </w:tcPr>
          <w:p>
            <w:r>
              <w:rPr>
                <w:sz w:val="19"/>
                <w:szCs w:val="19"/>
              </w:rPr>
              <w:t xml:space="preserve">-4.13%</w:t>
            </w:r>
          </w:p>
        </w:tc>
        <w:tc>
          <w:tcPr>
            <w:tcW w:type="dxa" w:w="1680"/>
            <w:shd w:fill="F2F2F2" w:val="clear"/>
            <w:tcMar>
              <w:top w:type="dxa" w:w="50"/>
              <w:left w:type="dxa" w:w="100"/>
              <w:bottom w:type="dxa" w:w="50"/>
              <w:right w:type="dxa" w:w="100"/>
            </w:tcMar>
          </w:tcPr>
          <w:p>
            <w:r>
              <w:rPr>
                <w:sz w:val="19"/>
                <w:szCs w:val="19"/>
              </w:rPr>
              <w:t xml:space="preserve">+52.54%</w:t>
            </w:r>
          </w:p>
        </w:tc>
      </w:tr>
    </w:tbl>
    <w:p>
      <w:pPr>
        <w:spacing w:after="160"/>
      </w:pPr>
    </w:p>
    <w:p>
      <w:pPr>
        <w:spacing w:after="120"/>
        <w:jc w:val="left"/>
      </w:pPr>
      <w:r>
        <w:rPr>
          <w:b w:val="false"/>
          <w:bCs w:val="false"/>
          <w:i w:val="false"/>
          <w:iCs w:val="false"/>
          <w:sz w:val="21"/>
          <w:szCs w:val="21"/>
        </w:rPr>
        <w:t xml:space="preserve">Note: early-2017 MoM growth percentages (e.g., +112.71% in Feb 2017) reflect a ramp-up base effect — the platform was scaling from a very small January base — and should not be read as representative of steady-state month-to-month performance. Early-2018 YoY figures are inflated for the same reason, since they compare against a 2017 base that was itself still ramping. The most representative YoY read is the second half of 2018 (Jun–Aug: +106.45%, +81.48%, +52.54%), where both comparison months are operating at a mature scale.</w:t>
      </w:r>
    </w:p>
    <w:p>
      <w:pPr>
        <w:spacing w:after="80" w:before="180"/>
      </w:pPr>
      <w:r>
        <w:rPr>
          <w:b/>
          <w:bCs/>
          <w:color w:val="1F3864"/>
          <w:sz w:val="22"/>
          <w:szCs w:val="22"/>
        </w:rPr>
        <w:t xml:space="preserve">4.2.1 Interpretation</w:t>
      </w:r>
    </w:p>
    <w:p>
      <w:pPr>
        <w:spacing w:after="100"/>
      </w:pPr>
      <w:r>
        <w:rPr>
          <w:b/>
          <w:bCs/>
          <w:color w:val="1F3864"/>
          <w:sz w:val="21"/>
          <w:szCs w:val="21"/>
        </w:rPr>
        <w:t xml:space="preserve">Peak month: </w:t>
      </w:r>
      <w:r>
        <w:rPr>
          <w:sz w:val="21"/>
          <w:szCs w:val="21"/>
        </w:rPr>
        <w:t xml:space="preserve">November 2017, confirmed as a Black Friday effect (see 4.3 below) — the highest-revenue month in the dataset at 1,153,528.05 BRL.</w:t>
      </w:r>
    </w:p>
    <w:p>
      <w:pPr>
        <w:spacing w:after="100"/>
      </w:pPr>
      <w:r>
        <w:rPr>
          <w:b/>
          <w:bCs/>
          <w:color w:val="1F3864"/>
          <w:sz w:val="21"/>
          <w:szCs w:val="21"/>
        </w:rPr>
        <w:t xml:space="preserve">Lowest month: </w:t>
      </w:r>
      <w:r>
        <w:rPr>
          <w:sz w:val="21"/>
          <w:szCs w:val="21"/>
        </w:rPr>
        <w:t xml:space="preserve">January 2017 (127,545.67 BRL) — caveated as the first month of the analysis window during platform ramp-up, not a demand failure, and therefore not presented as a "weakest performance" finding without that context.</w:t>
      </w:r>
    </w:p>
    <w:p>
      <w:pPr>
        <w:spacing w:after="100"/>
      </w:pPr>
      <w:r>
        <w:rPr>
          <w:b/>
          <w:bCs/>
          <w:color w:val="1F3864"/>
          <w:sz w:val="21"/>
          <w:szCs w:val="21"/>
        </w:rPr>
        <w:t xml:space="preserve">Growth pattern: </w:t>
      </w:r>
      <w:r>
        <w:rPr>
          <w:sz w:val="21"/>
          <w:szCs w:val="21"/>
        </w:rPr>
        <w:t xml:space="preserve">Growth is real but decelerating as the base matures — a normal pattern for a maturing platform, not a warning sign in isolation.</w:t>
      </w:r>
    </w:p>
    <w:p>
      <w:pPr>
        <w:spacing w:after="100"/>
      </w:pPr>
      <w:r>
        <w:rPr>
          <w:b/>
          <w:bCs/>
          <w:color w:val="1F3864"/>
          <w:sz w:val="21"/>
          <w:szCs w:val="21"/>
        </w:rPr>
        <w:t xml:space="preserve">AOV stability: </w:t>
      </w:r>
      <w:r>
        <w:rPr>
          <w:sz w:val="21"/>
          <w:szCs w:val="21"/>
        </w:rPr>
        <w:t xml:space="preserve">AOV holds within a tight 146–170 BRL band across the entire 20-month window with no sustained drift, indicating that revenue growth is driven by order volume, not by increasing basket size.</w:t>
      </w:r>
    </w:p>
    <w:p>
      <w:pPr>
        <w:pStyle w:val="Heading2"/>
        <w:spacing w:after="100" w:before="240"/>
      </w:pPr>
      <w:r>
        <w:t xml:space="preserve">4.3 Black Friday Confirmation — Daily Breakdown, November 2017</w:t>
      </w:r>
    </w:p>
    <w:p>
      <w:pPr>
        <w:spacing w:after="120"/>
        <w:jc w:val="left"/>
      </w:pPr>
      <w:r>
        <w:rPr>
          <w:b w:val="false"/>
          <w:bCs w:val="false"/>
          <w:i w:val="false"/>
          <w:iCs w:val="false"/>
          <w:sz w:val="21"/>
          <w:szCs w:val="21"/>
        </w:rPr>
        <w:t xml:space="preserve">A daily breakdown of November 2017 was run to confirm the monthly spike was attributable to a specific promotional event rather than a gradual trend.</w:t>
      </w:r>
    </w:p>
    <w:p>
      <w:pPr>
        <w:spacing w:after="100"/>
      </w:pPr>
      <w:r>
        <w:rPr>
          <w:b/>
          <w:bCs/>
          <w:color w:val="1F3864"/>
          <w:sz w:val="21"/>
          <w:szCs w:val="21"/>
        </w:rPr>
        <w:t xml:space="preserve">Confirmed: </w:t>
      </w:r>
      <w:r>
        <w:rPr>
          <w:sz w:val="21"/>
          <w:szCs w:val="21"/>
        </w:rPr>
        <w:t xml:space="preserve">November 24, 2017 (a Friday — Black Friday) recorded 1,147 orders and 175,250.94 BRL in revenue, approximately 4.3x the month's average daily order volume (~190 orders/day). Elevated demand persisted through the following weekend (Nov 25: 487 orders, Nov 26: 382 orders) before gradually tapering back toward baseline by month end.</w:t>
      </w:r>
    </w:p>
    <w:p>
      <w:pPr>
        <w:pStyle w:val="Heading2"/>
        <w:spacing w:after="100" w:before="240"/>
      </w:pPr>
      <w:r>
        <w:t xml:space="preserve">4.4 Quarterly and Yearly Rollups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3864" w:val="clear"/>
            <w:tcMar>
              <w:top w:type="dxa" w:w="60"/>
              <w:left w:type="dxa" w:w="100"/>
              <w:bottom w:type="dxa" w:w="60"/>
              <w:right w:type="dxa" w:w="100"/>
            </w:tcMar>
          </w:tcPr>
          <w:p>
            <w:r>
              <w:rPr>
                <w:b/>
                <w:bCs/>
                <w:color w:val="FFFFFF"/>
                <w:sz w:val="19"/>
                <w:szCs w:val="19"/>
              </w:rPr>
              <w:t xml:space="preserve">Quarter</w:t>
            </w:r>
          </w:p>
        </w:tc>
        <w:tc>
          <w:tcPr>
            <w:tcW w:type="dxa" w:w="2520"/>
            <w:shd w:fill="1F3864" w:val="clear"/>
            <w:tcMar>
              <w:top w:type="dxa" w:w="60"/>
              <w:left w:type="dxa" w:w="100"/>
              <w:bottom w:type="dxa" w:w="60"/>
              <w:right w:type="dxa" w:w="100"/>
            </w:tcMar>
          </w:tcPr>
          <w:p>
            <w:r>
              <w:rPr>
                <w:b/>
                <w:bCs/>
                <w:color w:val="FFFFFF"/>
                <w:sz w:val="19"/>
                <w:szCs w:val="19"/>
              </w:rPr>
              <w:t xml:space="preserve">Orders</w:t>
            </w:r>
          </w:p>
        </w:tc>
        <w:tc>
          <w:tcPr>
            <w:tcW w:type="dxa" w:w="2520"/>
            <w:shd w:fill="1F3864" w:val="clear"/>
            <w:tcMar>
              <w:top w:type="dxa" w:w="60"/>
              <w:left w:type="dxa" w:w="100"/>
              <w:bottom w:type="dxa" w:w="60"/>
              <w:right w:type="dxa" w:w="100"/>
            </w:tcMar>
          </w:tcPr>
          <w:p>
            <w:r>
              <w:rPr>
                <w:b/>
                <w:bCs/>
                <w:color w:val="FFFFFF"/>
                <w:sz w:val="19"/>
                <w:szCs w:val="19"/>
              </w:rPr>
              <w:t xml:space="preserve">Revenue (BRL)</w:t>
            </w:r>
          </w:p>
        </w:tc>
        <w:tc>
          <w:tcPr>
            <w:tcW w:type="dxa" w:w="2520"/>
            <w:shd w:fill="1F3864" w:val="clear"/>
            <w:tcMar>
              <w:top w:type="dxa" w:w="60"/>
              <w:left w:type="dxa" w:w="100"/>
              <w:bottom w:type="dxa" w:w="60"/>
              <w:right w:type="dxa" w:w="100"/>
            </w:tcMar>
          </w:tcPr>
          <w:p>
            <w:r>
              <w:rPr>
                <w:b/>
                <w:bCs/>
                <w:color w:val="FFFFFF"/>
                <w:sz w:val="19"/>
                <w:szCs w:val="19"/>
              </w:rPr>
              <w:t xml:space="preserve">AOV</w:t>
            </w:r>
          </w:p>
        </w:tc>
      </w:tr>
      <w:tr>
        <w:tc>
          <w:tcPr>
            <w:tcW w:type="dxa" w:w="2520"/>
            <w:shd w:fill="FFFFFF" w:val="clear"/>
            <w:tcMar>
              <w:top w:type="dxa" w:w="50"/>
              <w:left w:type="dxa" w:w="100"/>
              <w:bottom w:type="dxa" w:w="50"/>
              <w:right w:type="dxa" w:w="100"/>
            </w:tcMar>
          </w:tcPr>
          <w:p>
            <w:r>
              <w:rPr>
                <w:sz w:val="19"/>
                <w:szCs w:val="19"/>
              </w:rPr>
              <w:t xml:space="preserve">Q1 2017</w:t>
            </w:r>
          </w:p>
        </w:tc>
        <w:tc>
          <w:tcPr>
            <w:tcW w:type="dxa" w:w="2520"/>
            <w:shd w:fill="FFFFFF" w:val="clear"/>
            <w:tcMar>
              <w:top w:type="dxa" w:w="50"/>
              <w:left w:type="dxa" w:w="100"/>
              <w:bottom w:type="dxa" w:w="50"/>
              <w:right w:type="dxa" w:w="100"/>
            </w:tcMar>
          </w:tcPr>
          <w:p>
            <w:r>
              <w:rPr>
                <w:sz w:val="19"/>
                <w:szCs w:val="19"/>
              </w:rPr>
              <w:t xml:space="preserve">4,949</w:t>
            </w:r>
          </w:p>
        </w:tc>
        <w:tc>
          <w:tcPr>
            <w:tcW w:type="dxa" w:w="2520"/>
            <w:shd w:fill="FFFFFF" w:val="clear"/>
            <w:tcMar>
              <w:top w:type="dxa" w:w="50"/>
              <w:left w:type="dxa" w:w="100"/>
              <w:bottom w:type="dxa" w:w="50"/>
              <w:right w:type="dxa" w:w="100"/>
            </w:tcMar>
          </w:tcPr>
          <w:p>
            <w:r>
              <w:rPr>
                <w:sz w:val="19"/>
                <w:szCs w:val="19"/>
              </w:rPr>
              <w:t xml:space="preserve">813,213.71</w:t>
            </w:r>
          </w:p>
        </w:tc>
        <w:tc>
          <w:tcPr>
            <w:tcW w:type="dxa" w:w="2520"/>
            <w:shd w:fill="FFFFFF" w:val="clear"/>
            <w:tcMar>
              <w:top w:type="dxa" w:w="50"/>
              <w:left w:type="dxa" w:w="100"/>
              <w:bottom w:type="dxa" w:w="50"/>
              <w:right w:type="dxa" w:w="100"/>
            </w:tcMar>
          </w:tcPr>
          <w:p>
            <w:r>
              <w:rPr>
                <w:sz w:val="19"/>
                <w:szCs w:val="19"/>
              </w:rPr>
              <w:t xml:space="preserve">164.32</w:t>
            </w:r>
          </w:p>
        </w:tc>
      </w:tr>
      <w:tr>
        <w:tc>
          <w:tcPr>
            <w:tcW w:type="dxa" w:w="2520"/>
            <w:shd w:fill="F2F2F2" w:val="clear"/>
            <w:tcMar>
              <w:top w:type="dxa" w:w="50"/>
              <w:left w:type="dxa" w:w="100"/>
              <w:bottom w:type="dxa" w:w="50"/>
              <w:right w:type="dxa" w:w="100"/>
            </w:tcMar>
          </w:tcPr>
          <w:p>
            <w:r>
              <w:rPr>
                <w:sz w:val="19"/>
                <w:szCs w:val="19"/>
              </w:rPr>
              <w:t xml:space="preserve">Q2 2017</w:t>
            </w:r>
          </w:p>
        </w:tc>
        <w:tc>
          <w:tcPr>
            <w:tcW w:type="dxa" w:w="2520"/>
            <w:shd w:fill="F2F2F2" w:val="clear"/>
            <w:tcMar>
              <w:top w:type="dxa" w:w="50"/>
              <w:left w:type="dxa" w:w="100"/>
              <w:bottom w:type="dxa" w:w="50"/>
              <w:right w:type="dxa" w:w="100"/>
            </w:tcMar>
          </w:tcPr>
          <w:p>
            <w:r>
              <w:rPr>
                <w:sz w:val="19"/>
                <w:szCs w:val="19"/>
              </w:rPr>
              <w:t xml:space="preserve">8,984</w:t>
            </w:r>
          </w:p>
        </w:tc>
        <w:tc>
          <w:tcPr>
            <w:tcW w:type="dxa" w:w="2520"/>
            <w:shd w:fill="F2F2F2" w:val="clear"/>
            <w:tcMar>
              <w:top w:type="dxa" w:w="50"/>
              <w:left w:type="dxa" w:w="100"/>
              <w:bottom w:type="dxa" w:w="50"/>
              <w:right w:type="dxa" w:w="100"/>
            </w:tcMar>
          </w:tcPr>
          <w:p>
            <w:r>
              <w:rPr>
                <w:sz w:val="19"/>
                <w:szCs w:val="19"/>
              </w:rPr>
              <w:t xml:space="preserve">1,448,244.51</w:t>
            </w:r>
          </w:p>
        </w:tc>
        <w:tc>
          <w:tcPr>
            <w:tcW w:type="dxa" w:w="2520"/>
            <w:shd w:fill="F2F2F2" w:val="clear"/>
            <w:tcMar>
              <w:top w:type="dxa" w:w="50"/>
              <w:left w:type="dxa" w:w="100"/>
              <w:bottom w:type="dxa" w:w="50"/>
              <w:right w:type="dxa" w:w="100"/>
            </w:tcMar>
          </w:tcPr>
          <w:p>
            <w:r>
              <w:rPr>
                <w:sz w:val="19"/>
                <w:szCs w:val="19"/>
              </w:rPr>
              <w:t xml:space="preserve">161.20</w:t>
            </w:r>
          </w:p>
        </w:tc>
      </w:tr>
      <w:tr>
        <w:tc>
          <w:tcPr>
            <w:tcW w:type="dxa" w:w="2520"/>
            <w:shd w:fill="FFFFFF" w:val="clear"/>
            <w:tcMar>
              <w:top w:type="dxa" w:w="50"/>
              <w:left w:type="dxa" w:w="100"/>
              <w:bottom w:type="dxa" w:w="50"/>
              <w:right w:type="dxa" w:w="100"/>
            </w:tcMar>
          </w:tcPr>
          <w:p>
            <w:r>
              <w:rPr>
                <w:sz w:val="19"/>
                <w:szCs w:val="19"/>
              </w:rPr>
              <w:t xml:space="preserve">Q3 2017</w:t>
            </w:r>
          </w:p>
        </w:tc>
        <w:tc>
          <w:tcPr>
            <w:tcW w:type="dxa" w:w="2520"/>
            <w:shd w:fill="FFFFFF" w:val="clear"/>
            <w:tcMar>
              <w:top w:type="dxa" w:w="50"/>
              <w:left w:type="dxa" w:w="100"/>
              <w:bottom w:type="dxa" w:w="50"/>
              <w:right w:type="dxa" w:w="100"/>
            </w:tcMar>
          </w:tcPr>
          <w:p>
            <w:r>
              <w:rPr>
                <w:sz w:val="19"/>
                <w:szCs w:val="19"/>
              </w:rPr>
              <w:t xml:space="preserve">12,215</w:t>
            </w:r>
          </w:p>
        </w:tc>
        <w:tc>
          <w:tcPr>
            <w:tcW w:type="dxa" w:w="2520"/>
            <w:shd w:fill="FFFFFF" w:val="clear"/>
            <w:tcMar>
              <w:top w:type="dxa" w:w="50"/>
              <w:left w:type="dxa" w:w="100"/>
              <w:bottom w:type="dxa" w:w="50"/>
              <w:right w:type="dxa" w:w="100"/>
            </w:tcMar>
          </w:tcPr>
          <w:p>
            <w:r>
              <w:rPr>
                <w:sz w:val="19"/>
                <w:szCs w:val="19"/>
              </w:rPr>
              <w:t xml:space="preserve">1,913,574.53</w:t>
            </w:r>
          </w:p>
        </w:tc>
        <w:tc>
          <w:tcPr>
            <w:tcW w:type="dxa" w:w="2520"/>
            <w:shd w:fill="FFFFFF" w:val="clear"/>
            <w:tcMar>
              <w:top w:type="dxa" w:w="50"/>
              <w:left w:type="dxa" w:w="100"/>
              <w:bottom w:type="dxa" w:w="50"/>
              <w:right w:type="dxa" w:w="100"/>
            </w:tcMar>
          </w:tcPr>
          <w:p>
            <w:r>
              <w:rPr>
                <w:sz w:val="19"/>
                <w:szCs w:val="19"/>
              </w:rPr>
              <w:t xml:space="preserve">156.66</w:t>
            </w:r>
          </w:p>
        </w:tc>
      </w:tr>
      <w:tr>
        <w:tc>
          <w:tcPr>
            <w:tcW w:type="dxa" w:w="2520"/>
            <w:shd w:fill="F2F2F2" w:val="clear"/>
            <w:tcMar>
              <w:top w:type="dxa" w:w="50"/>
              <w:left w:type="dxa" w:w="100"/>
              <w:bottom w:type="dxa" w:w="50"/>
              <w:right w:type="dxa" w:w="100"/>
            </w:tcMar>
          </w:tcPr>
          <w:p>
            <w:r>
              <w:rPr>
                <w:sz w:val="19"/>
                <w:szCs w:val="19"/>
              </w:rPr>
              <w:t xml:space="preserve">Q4 2017</w:t>
            </w:r>
          </w:p>
        </w:tc>
        <w:tc>
          <w:tcPr>
            <w:tcW w:type="dxa" w:w="2520"/>
            <w:shd w:fill="F2F2F2" w:val="clear"/>
            <w:tcMar>
              <w:top w:type="dxa" w:w="50"/>
              <w:left w:type="dxa" w:w="100"/>
              <w:bottom w:type="dxa" w:w="50"/>
              <w:right w:type="dxa" w:w="100"/>
            </w:tcMar>
          </w:tcPr>
          <w:p>
            <w:r>
              <w:rPr>
                <w:sz w:val="19"/>
                <w:szCs w:val="19"/>
              </w:rPr>
              <w:t xml:space="preserve">17,280</w:t>
            </w:r>
          </w:p>
        </w:tc>
        <w:tc>
          <w:tcPr>
            <w:tcW w:type="dxa" w:w="2520"/>
            <w:shd w:fill="F2F2F2" w:val="clear"/>
            <w:tcMar>
              <w:top w:type="dxa" w:w="50"/>
              <w:left w:type="dxa" w:w="100"/>
              <w:bottom w:type="dxa" w:w="50"/>
              <w:right w:type="dxa" w:w="100"/>
            </w:tcMar>
          </w:tcPr>
          <w:p>
            <w:r>
              <w:rPr>
                <w:sz w:val="19"/>
                <w:szCs w:val="19"/>
              </w:rPr>
              <w:t xml:space="preserve">2,747,867.49</w:t>
            </w:r>
          </w:p>
        </w:tc>
        <w:tc>
          <w:tcPr>
            <w:tcW w:type="dxa" w:w="2520"/>
            <w:shd w:fill="F2F2F2" w:val="clear"/>
            <w:tcMar>
              <w:top w:type="dxa" w:w="50"/>
              <w:left w:type="dxa" w:w="100"/>
              <w:bottom w:type="dxa" w:w="50"/>
              <w:right w:type="dxa" w:w="100"/>
            </w:tcMar>
          </w:tcPr>
          <w:p>
            <w:r>
              <w:rPr>
                <w:sz w:val="19"/>
                <w:szCs w:val="19"/>
              </w:rPr>
              <w:t xml:space="preserve">159.02</w:t>
            </w:r>
          </w:p>
        </w:tc>
      </w:tr>
      <w:tr>
        <w:tc>
          <w:tcPr>
            <w:tcW w:type="dxa" w:w="2520"/>
            <w:shd w:fill="FFFFFF" w:val="clear"/>
            <w:tcMar>
              <w:top w:type="dxa" w:w="50"/>
              <w:left w:type="dxa" w:w="100"/>
              <w:bottom w:type="dxa" w:w="50"/>
              <w:right w:type="dxa" w:w="100"/>
            </w:tcMar>
          </w:tcPr>
          <w:p>
            <w:r>
              <w:rPr>
                <w:sz w:val="19"/>
                <w:szCs w:val="19"/>
              </w:rPr>
              <w:t xml:space="preserve">Q1 2018</w:t>
            </w:r>
          </w:p>
        </w:tc>
        <w:tc>
          <w:tcPr>
            <w:tcW w:type="dxa" w:w="2520"/>
            <w:shd w:fill="FFFFFF" w:val="clear"/>
            <w:tcMar>
              <w:top w:type="dxa" w:w="50"/>
              <w:left w:type="dxa" w:w="100"/>
              <w:bottom w:type="dxa" w:w="50"/>
              <w:right w:type="dxa" w:w="100"/>
            </w:tcMar>
          </w:tcPr>
          <w:p>
            <w:r>
              <w:rPr>
                <w:sz w:val="19"/>
                <w:szCs w:val="19"/>
              </w:rPr>
              <w:t xml:space="preserve">20,627</w:t>
            </w:r>
          </w:p>
        </w:tc>
        <w:tc>
          <w:tcPr>
            <w:tcW w:type="dxa" w:w="2520"/>
            <w:shd w:fill="FFFFFF" w:val="clear"/>
            <w:tcMar>
              <w:top w:type="dxa" w:w="50"/>
              <w:left w:type="dxa" w:w="100"/>
              <w:bottom w:type="dxa" w:w="50"/>
              <w:right w:type="dxa" w:w="100"/>
            </w:tcMar>
          </w:tcPr>
          <w:p>
            <w:r>
              <w:rPr>
                <w:sz w:val="19"/>
                <w:szCs w:val="19"/>
              </w:rPr>
              <w:t xml:space="preserve">3,165,795.74</w:t>
            </w:r>
          </w:p>
        </w:tc>
        <w:tc>
          <w:tcPr>
            <w:tcW w:type="dxa" w:w="2520"/>
            <w:shd w:fill="FFFFFF" w:val="clear"/>
            <w:tcMar>
              <w:top w:type="dxa" w:w="50"/>
              <w:left w:type="dxa" w:w="100"/>
              <w:bottom w:type="dxa" w:w="50"/>
              <w:right w:type="dxa" w:w="100"/>
            </w:tcMar>
          </w:tcPr>
          <w:p>
            <w:r>
              <w:rPr>
                <w:sz w:val="19"/>
                <w:szCs w:val="19"/>
              </w:rPr>
              <w:t xml:space="preserve">153.48</w:t>
            </w:r>
          </w:p>
        </w:tc>
      </w:tr>
      <w:tr>
        <w:tc>
          <w:tcPr>
            <w:tcW w:type="dxa" w:w="2520"/>
            <w:shd w:fill="F2F2F2" w:val="clear"/>
            <w:tcMar>
              <w:top w:type="dxa" w:w="50"/>
              <w:left w:type="dxa" w:w="100"/>
              <w:bottom w:type="dxa" w:w="50"/>
              <w:right w:type="dxa" w:w="100"/>
            </w:tcMar>
          </w:tcPr>
          <w:p>
            <w:r>
              <w:rPr>
                <w:sz w:val="19"/>
                <w:szCs w:val="19"/>
              </w:rPr>
              <w:t xml:space="preserve">Q2 2018</w:t>
            </w:r>
          </w:p>
        </w:tc>
        <w:tc>
          <w:tcPr>
            <w:tcW w:type="dxa" w:w="2520"/>
            <w:shd w:fill="F2F2F2" w:val="clear"/>
            <w:tcMar>
              <w:top w:type="dxa" w:w="50"/>
              <w:left w:type="dxa" w:w="100"/>
              <w:bottom w:type="dxa" w:w="50"/>
              <w:right w:type="dxa" w:w="100"/>
            </w:tcMar>
          </w:tcPr>
          <w:p>
            <w:r>
              <w:rPr>
                <w:sz w:val="19"/>
                <w:szCs w:val="19"/>
              </w:rPr>
              <w:t xml:space="preserve">19,646</w:t>
            </w:r>
          </w:p>
        </w:tc>
        <w:tc>
          <w:tcPr>
            <w:tcW w:type="dxa" w:w="2520"/>
            <w:shd w:fill="F2F2F2" w:val="clear"/>
            <w:tcMar>
              <w:top w:type="dxa" w:w="50"/>
              <w:left w:type="dxa" w:w="100"/>
              <w:bottom w:type="dxa" w:w="50"/>
              <w:right w:type="dxa" w:w="100"/>
            </w:tcMar>
          </w:tcPr>
          <w:p>
            <w:r>
              <w:rPr>
                <w:sz w:val="19"/>
                <w:szCs w:val="19"/>
              </w:rPr>
              <w:t xml:space="preserve">3,273,861.32</w:t>
            </w:r>
          </w:p>
        </w:tc>
        <w:tc>
          <w:tcPr>
            <w:tcW w:type="dxa" w:w="2520"/>
            <w:shd w:fill="F2F2F2" w:val="clear"/>
            <w:tcMar>
              <w:top w:type="dxa" w:w="50"/>
              <w:left w:type="dxa" w:w="100"/>
              <w:bottom w:type="dxa" w:w="50"/>
              <w:right w:type="dxa" w:w="100"/>
            </w:tcMar>
          </w:tcPr>
          <w:p>
            <w:r>
              <w:rPr>
                <w:sz w:val="19"/>
                <w:szCs w:val="19"/>
              </w:rPr>
              <w:t xml:space="preserve">166.64</w:t>
            </w:r>
          </w:p>
        </w:tc>
      </w:tr>
      <w:tr>
        <w:tc>
          <w:tcPr>
            <w:tcW w:type="dxa" w:w="2520"/>
            <w:shd w:fill="FFFFFF" w:val="clear"/>
            <w:tcMar>
              <w:top w:type="dxa" w:w="50"/>
              <w:left w:type="dxa" w:w="100"/>
              <w:bottom w:type="dxa" w:w="50"/>
              <w:right w:type="dxa" w:w="100"/>
            </w:tcMar>
          </w:tcPr>
          <w:p>
            <w:r>
              <w:rPr>
                <w:sz w:val="19"/>
                <w:szCs w:val="19"/>
              </w:rPr>
              <w:t xml:space="preserve">Q3 2018 (partial — Jul/Aug only)</w:t>
            </w:r>
          </w:p>
        </w:tc>
        <w:tc>
          <w:tcPr>
            <w:tcW w:type="dxa" w:w="2520"/>
            <w:shd w:fill="FFFFFF" w:val="clear"/>
            <w:tcMar>
              <w:top w:type="dxa" w:w="50"/>
              <w:left w:type="dxa" w:w="100"/>
              <w:bottom w:type="dxa" w:w="50"/>
              <w:right w:type="dxa" w:w="100"/>
            </w:tcMar>
          </w:tcPr>
          <w:p>
            <w:r>
              <w:rPr>
                <w:sz w:val="19"/>
                <w:szCs w:val="19"/>
              </w:rPr>
              <w:t xml:space="preserve">12,510</w:t>
            </w:r>
          </w:p>
        </w:tc>
        <w:tc>
          <w:tcPr>
            <w:tcW w:type="dxa" w:w="2520"/>
            <w:shd w:fill="FFFFFF" w:val="clear"/>
            <w:tcMar>
              <w:top w:type="dxa" w:w="50"/>
              <w:left w:type="dxa" w:w="100"/>
              <w:bottom w:type="dxa" w:w="50"/>
              <w:right w:type="dxa" w:w="100"/>
            </w:tcMar>
          </w:tcPr>
          <w:p>
            <w:r>
              <w:rPr>
                <w:sz w:val="19"/>
                <w:szCs w:val="19"/>
              </w:rPr>
              <w:t xml:space="preserve">2,013,318.14</w:t>
            </w:r>
          </w:p>
        </w:tc>
        <w:tc>
          <w:tcPr>
            <w:tcW w:type="dxa" w:w="2520"/>
            <w:shd w:fill="FFFFFF" w:val="clear"/>
            <w:tcMar>
              <w:top w:type="dxa" w:w="50"/>
              <w:left w:type="dxa" w:w="100"/>
              <w:bottom w:type="dxa" w:w="50"/>
              <w:right w:type="dxa" w:w="100"/>
            </w:tcMar>
          </w:tcPr>
          <w:p>
            <w:r>
              <w:rPr>
                <w:sz w:val="19"/>
                <w:szCs w:val="19"/>
              </w:rPr>
              <w:t xml:space="preserve">160.94</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3864" w:val="clear"/>
            <w:tcMar>
              <w:top w:type="dxa" w:w="60"/>
              <w:left w:type="dxa" w:w="100"/>
              <w:bottom w:type="dxa" w:w="60"/>
              <w:right w:type="dxa" w:w="100"/>
            </w:tcMar>
          </w:tcPr>
          <w:p>
            <w:r>
              <w:rPr>
                <w:b/>
                <w:bCs/>
                <w:color w:val="FFFFFF"/>
                <w:sz w:val="19"/>
                <w:szCs w:val="19"/>
              </w:rPr>
              <w:t xml:space="preserve">Year</w:t>
            </w:r>
          </w:p>
        </w:tc>
        <w:tc>
          <w:tcPr>
            <w:tcW w:type="dxa" w:w="2520"/>
            <w:shd w:fill="1F3864" w:val="clear"/>
            <w:tcMar>
              <w:top w:type="dxa" w:w="60"/>
              <w:left w:type="dxa" w:w="100"/>
              <w:bottom w:type="dxa" w:w="60"/>
              <w:right w:type="dxa" w:w="100"/>
            </w:tcMar>
          </w:tcPr>
          <w:p>
            <w:r>
              <w:rPr>
                <w:b/>
                <w:bCs/>
                <w:color w:val="FFFFFF"/>
                <w:sz w:val="19"/>
                <w:szCs w:val="19"/>
              </w:rPr>
              <w:t xml:space="preserve">Orders</w:t>
            </w:r>
          </w:p>
        </w:tc>
        <w:tc>
          <w:tcPr>
            <w:tcW w:type="dxa" w:w="2520"/>
            <w:shd w:fill="1F3864" w:val="clear"/>
            <w:tcMar>
              <w:top w:type="dxa" w:w="60"/>
              <w:left w:type="dxa" w:w="100"/>
              <w:bottom w:type="dxa" w:w="60"/>
              <w:right w:type="dxa" w:w="100"/>
            </w:tcMar>
          </w:tcPr>
          <w:p>
            <w:r>
              <w:rPr>
                <w:b/>
                <w:bCs/>
                <w:color w:val="FFFFFF"/>
                <w:sz w:val="19"/>
                <w:szCs w:val="19"/>
              </w:rPr>
              <w:t xml:space="preserve">Revenue (BRL)</w:t>
            </w:r>
          </w:p>
        </w:tc>
        <w:tc>
          <w:tcPr>
            <w:tcW w:type="dxa" w:w="2520"/>
            <w:shd w:fill="1F3864" w:val="clear"/>
            <w:tcMar>
              <w:top w:type="dxa" w:w="60"/>
              <w:left w:type="dxa" w:w="100"/>
              <w:bottom w:type="dxa" w:w="60"/>
              <w:right w:type="dxa" w:w="100"/>
            </w:tcMar>
          </w:tcPr>
          <w:p>
            <w:r>
              <w:rPr>
                <w:b/>
                <w:bCs/>
                <w:color w:val="FFFFFF"/>
                <w:sz w:val="19"/>
                <w:szCs w:val="19"/>
              </w:rPr>
              <w:t xml:space="preserve">AOV</w:t>
            </w:r>
          </w:p>
        </w:tc>
      </w:tr>
      <w:tr>
        <w:tc>
          <w:tcPr>
            <w:tcW w:type="dxa" w:w="2520"/>
            <w:shd w:fill="FFFFFF" w:val="clear"/>
            <w:tcMar>
              <w:top w:type="dxa" w:w="50"/>
              <w:left w:type="dxa" w:w="100"/>
              <w:bottom w:type="dxa" w:w="50"/>
              <w:right w:type="dxa" w:w="100"/>
            </w:tcMar>
          </w:tcPr>
          <w:p>
            <w:r>
              <w:rPr>
                <w:sz w:val="19"/>
                <w:szCs w:val="19"/>
              </w:rPr>
              <w:t xml:space="preserve">2017 (full year)</w:t>
            </w:r>
          </w:p>
        </w:tc>
        <w:tc>
          <w:tcPr>
            <w:tcW w:type="dxa" w:w="2520"/>
            <w:shd w:fill="FFFFFF" w:val="clear"/>
            <w:tcMar>
              <w:top w:type="dxa" w:w="50"/>
              <w:left w:type="dxa" w:w="100"/>
              <w:bottom w:type="dxa" w:w="50"/>
              <w:right w:type="dxa" w:w="100"/>
            </w:tcMar>
          </w:tcPr>
          <w:p>
            <w:r>
              <w:rPr>
                <w:sz w:val="19"/>
                <w:szCs w:val="19"/>
              </w:rPr>
              <w:t xml:space="preserve">43,428</w:t>
            </w:r>
          </w:p>
        </w:tc>
        <w:tc>
          <w:tcPr>
            <w:tcW w:type="dxa" w:w="2520"/>
            <w:shd w:fill="FFFFFF" w:val="clear"/>
            <w:tcMar>
              <w:top w:type="dxa" w:w="50"/>
              <w:left w:type="dxa" w:w="100"/>
              <w:bottom w:type="dxa" w:w="50"/>
              <w:right w:type="dxa" w:w="100"/>
            </w:tcMar>
          </w:tcPr>
          <w:p>
            <w:r>
              <w:rPr>
                <w:sz w:val="19"/>
                <w:szCs w:val="19"/>
              </w:rPr>
              <w:t xml:space="preserve">6,922,900.24</w:t>
            </w:r>
          </w:p>
        </w:tc>
        <w:tc>
          <w:tcPr>
            <w:tcW w:type="dxa" w:w="2520"/>
            <w:shd w:fill="FFFFFF" w:val="clear"/>
            <w:tcMar>
              <w:top w:type="dxa" w:w="50"/>
              <w:left w:type="dxa" w:w="100"/>
              <w:bottom w:type="dxa" w:w="50"/>
              <w:right w:type="dxa" w:w="100"/>
            </w:tcMar>
          </w:tcPr>
          <w:p>
            <w:r>
              <w:rPr>
                <w:sz w:val="19"/>
                <w:szCs w:val="19"/>
              </w:rPr>
              <w:t xml:space="preserve">159.41</w:t>
            </w:r>
          </w:p>
        </w:tc>
      </w:tr>
      <w:tr>
        <w:tc>
          <w:tcPr>
            <w:tcW w:type="dxa" w:w="2520"/>
            <w:shd w:fill="F2F2F2" w:val="clear"/>
            <w:tcMar>
              <w:top w:type="dxa" w:w="50"/>
              <w:left w:type="dxa" w:w="100"/>
              <w:bottom w:type="dxa" w:w="50"/>
              <w:right w:type="dxa" w:w="100"/>
            </w:tcMar>
          </w:tcPr>
          <w:p>
            <w:r>
              <w:rPr>
                <w:sz w:val="19"/>
                <w:szCs w:val="19"/>
              </w:rPr>
              <w:t xml:space="preserve">2018 (Jan–Aug only)</w:t>
            </w:r>
          </w:p>
        </w:tc>
        <w:tc>
          <w:tcPr>
            <w:tcW w:type="dxa" w:w="2520"/>
            <w:shd w:fill="F2F2F2" w:val="clear"/>
            <w:tcMar>
              <w:top w:type="dxa" w:w="50"/>
              <w:left w:type="dxa" w:w="100"/>
              <w:bottom w:type="dxa" w:w="50"/>
              <w:right w:type="dxa" w:w="100"/>
            </w:tcMar>
          </w:tcPr>
          <w:p>
            <w:r>
              <w:rPr>
                <w:sz w:val="19"/>
                <w:szCs w:val="19"/>
              </w:rPr>
              <w:t xml:space="preserve">52,783</w:t>
            </w:r>
          </w:p>
        </w:tc>
        <w:tc>
          <w:tcPr>
            <w:tcW w:type="dxa" w:w="2520"/>
            <w:shd w:fill="F2F2F2" w:val="clear"/>
            <w:tcMar>
              <w:top w:type="dxa" w:w="50"/>
              <w:left w:type="dxa" w:w="100"/>
              <w:bottom w:type="dxa" w:w="50"/>
              <w:right w:type="dxa" w:w="100"/>
            </w:tcMar>
          </w:tcPr>
          <w:p>
            <w:r>
              <w:rPr>
                <w:sz w:val="19"/>
                <w:szCs w:val="19"/>
              </w:rPr>
              <w:t xml:space="preserve">8,452,975.20</w:t>
            </w:r>
          </w:p>
        </w:tc>
        <w:tc>
          <w:tcPr>
            <w:tcW w:type="dxa" w:w="2520"/>
            <w:shd w:fill="F2F2F2" w:val="clear"/>
            <w:tcMar>
              <w:top w:type="dxa" w:w="50"/>
              <w:left w:type="dxa" w:w="100"/>
              <w:bottom w:type="dxa" w:w="50"/>
              <w:right w:type="dxa" w:w="100"/>
            </w:tcMar>
          </w:tcPr>
          <w:p>
            <w:r>
              <w:rPr>
                <w:sz w:val="19"/>
                <w:szCs w:val="19"/>
              </w:rPr>
              <w:t xml:space="preserve">160.15</w:t>
            </w:r>
          </w:p>
        </w:tc>
      </w:tr>
    </w:tbl>
    <w:p>
      <w:pPr>
        <w:spacing w:after="160"/>
      </w:pPr>
    </w:p>
    <w:p>
      <w:pPr>
        <w:spacing w:after="80" w:before="180"/>
      </w:pPr>
      <w:r>
        <w:rPr>
          <w:b/>
          <w:bCs/>
          <w:color w:val="1F3864"/>
          <w:sz w:val="22"/>
          <w:szCs w:val="22"/>
        </w:rPr>
        <w:t xml:space="preserve">4.4.1 Interpretation</w:t>
      </w:r>
    </w:p>
    <w:p>
      <w:pPr>
        <w:spacing w:after="100"/>
      </w:pPr>
      <w:r>
        <w:rPr>
          <w:b/>
          <w:bCs/>
          <w:color w:val="1F3864"/>
          <w:sz w:val="21"/>
          <w:szCs w:val="21"/>
        </w:rPr>
        <w:t xml:space="preserve">Post-holiday baseline shift: </w:t>
      </w:r>
      <w:r>
        <w:rPr>
          <w:sz w:val="21"/>
          <w:szCs w:val="21"/>
        </w:rPr>
        <w:t xml:space="preserve">Q1 2018 order volume (20,627) exceeds Q4 2017 (17,280), indicating the November holiday demand lift did not fully revert after December — a new, higher baseline was established from January 2018 onward, rather than a simple spike-and-reversion pattern.</w:t>
      </w:r>
    </w:p>
    <w:p>
      <w:pPr>
        <w:spacing w:after="100"/>
      </w:pPr>
      <w:r>
        <w:rPr>
          <w:b/>
          <w:bCs/>
          <w:color w:val="1F3864"/>
          <w:sz w:val="21"/>
          <w:szCs w:val="21"/>
        </w:rPr>
        <w:t xml:space="preserve">2018 already exceeds 2017 at 8 months: </w:t>
      </w:r>
      <w:r>
        <w:rPr>
          <w:sz w:val="21"/>
          <w:szCs w:val="21"/>
        </w:rPr>
        <w:t xml:space="preserve">2018's Jan–Aug totals (52,783 orders, 8,452,975.20 BRL) already surpass all of 2017. An annualized estimate (÷ 8 × 12) suggests approximately 79,175 orders and 12.68M BRL for a full 2018 — presented here explicitly as an estimate based on partial-year data, not a confirmed result.</w:t>
      </w:r>
    </w:p>
    <w:p>
      <w:pPr>
        <w:spacing w:after="100"/>
      </w:pPr>
      <w:r>
        <w:rPr>
          <w:b/>
          <w:bCs/>
          <w:color w:val="1F3864"/>
          <w:sz w:val="21"/>
          <w:szCs w:val="21"/>
        </w:rPr>
        <w:t xml:space="preserve">AOV consistency at yearly grain: </w:t>
      </w:r>
      <w:r>
        <w:rPr>
          <w:sz w:val="21"/>
          <w:szCs w:val="21"/>
        </w:rPr>
        <w:t xml:space="preserve">159.41 (2017) vs. 160.15 (2018) — near-identical, reinforcing the volume-driven growth finding across all three time grains examined (monthly, quarterly, yearly).</w:t>
      </w:r>
    </w:p>
    <w:p>
      <w:pPr>
        <w:pBdr>
          <w:bottom w:val="single" w:color="AAAAAA" w:sz="6" w:space="1"/>
        </w:pBdr>
        <w:spacing w:after="200"/>
      </w:pPr>
    </w:p>
    <w:p>
      <w:pPr>
        <w:pStyle w:val="Heading1"/>
        <w:spacing w:after="140" w:before="320"/>
      </w:pPr>
      <w:r>
        <w:t xml:space="preserve">5. Objective 3 — Product Performance</w:t>
      </w:r>
    </w:p>
    <w:p>
      <w:pPr>
        <w:spacing w:after="120"/>
        <w:jc w:val="left"/>
      </w:pPr>
      <w:r>
        <w:rPr>
          <w:b w:val="false"/>
          <w:bCs w:val="false"/>
          <w:i w:val="false"/>
          <w:iCs w:val="false"/>
          <w:sz w:val="21"/>
          <w:szCs w:val="21"/>
        </w:rPr>
        <w:t xml:space="preserve">Business Question: Which product categories perform best, by revenue and by order volume?</w:t>
      </w:r>
    </w:p>
    <w:p>
      <w:pPr>
        <w:pStyle w:val="Heading2"/>
        <w:spacing w:after="100" w:before="240"/>
      </w:pPr>
      <w:r>
        <w:t xml:space="preserve">5.1 Grain Decision — Category Revenue Definition</w:t>
      </w:r>
    </w:p>
    <w:p>
      <w:pPr>
        <w:spacing w:after="120"/>
        <w:jc w:val="left"/>
      </w:pPr>
      <w:r>
        <w:rPr>
          <w:b w:val="false"/>
          <w:bCs w:val="false"/>
          <w:i w:val="false"/>
          <w:iCs w:val="false"/>
          <w:sz w:val="21"/>
          <w:szCs w:val="21"/>
        </w:rPr>
        <w:t xml:space="preserve">Product category resides on fact_order_items (item grain), while the project's Total Revenue KPI is defined on payment_value (order grain, fact_orders/fact_payments). The Phase 4 Cleaning Log (§4, item 11) already documents that SUM(payment_value) and SUM(price + freight) do not reconcile exactly at the order level (variance up to ~183 BRL, attributed to installment/bank fees).</w:t>
      </w:r>
    </w:p>
    <w:p>
      <w:pPr>
        <w:spacing w:after="120"/>
      </w:pPr>
      <w:r>
        <w:rPr>
          <w:b/>
          <w:bCs/>
          <w:sz w:val="21"/>
          <w:szCs w:val="21"/>
        </w:rPr>
        <w:t xml:space="preserve">Decision: </w:t>
      </w:r>
      <w:r>
        <w:rPr>
          <w:sz w:val="21"/>
          <w:szCs w:val="21"/>
        </w:rPr>
        <w:t xml:space="preserve">Category revenue is defined as SUM(price) from fact_order_items, scoped to delivered orders. This is documented explicitly as a deliberate deviation from the Total Revenue KPI definition: category-level totals will not reconcile exactly to Total Revenue, due to freight and installment-fee variance. A proportional allocation of payment_value across items was considered and rejected as unnecessary complexity for limited analytical benefit.</w:t>
      </w:r>
    </w:p>
    <w:p>
      <w:pPr>
        <w:spacing w:after="120"/>
        <w:jc w:val="left"/>
      </w:pPr>
      <w:r>
        <w:rPr>
          <w:b w:val="false"/>
          <w:bCs w:val="false"/>
          <w:i w:val="false"/>
          <w:iCs w:val="false"/>
          <w:sz w:val="21"/>
          <w:szCs w:val="21"/>
        </w:rPr>
        <w:t xml:space="preserve">A second grain caveat: an order may contain items from multiple categories. Order counts summed across all categories will therefore exceed the true Total Orders figure. This is expected and does not require correction.</w:t>
      </w:r>
    </w:p>
    <w:p>
      <w:pPr>
        <w:pStyle w:val="Heading2"/>
        <w:spacing w:after="100" w:before="240"/>
      </w:pPr>
      <w:r>
        <w:t xml:space="preserve">5.2 Category Ranking — Revenue, Orders, and AOV</w:t>
      </w:r>
    </w:p>
    <w:p>
      <w:pPr>
        <w:spacing w:after="120"/>
        <w:jc w:val="left"/>
      </w:pPr>
      <w:r>
        <w:rPr>
          <w:b w:val="false"/>
          <w:bCs w:val="false"/>
          <w:i w:val="false"/>
          <w:iCs w:val="false"/>
          <w:sz w:val="21"/>
          <w:szCs w:val="21"/>
        </w:rPr>
        <w:t xml:space="preserve">Top 10 categories by revenue (of 71 total categories, including an 'Uncategorized' bucket for the 610 products with missing category data per Phase 4 §7):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shd w:fill="1F3864" w:val="clear"/>
            <w:tcMar>
              <w:top w:type="dxa" w:w="60"/>
              <w:left w:type="dxa" w:w="100"/>
              <w:bottom w:type="dxa" w:w="60"/>
              <w:right w:type="dxa" w:w="100"/>
            </w:tcMar>
          </w:tcPr>
          <w:p>
            <w:r>
              <w:rPr>
                <w:b/>
                <w:bCs/>
                <w:color w:val="FFFFFF"/>
                <w:sz w:val="19"/>
                <w:szCs w:val="19"/>
              </w:rPr>
              <w:t xml:space="preserve">Category</w:t>
            </w:r>
          </w:p>
        </w:tc>
        <w:tc>
          <w:tcPr>
            <w:tcW w:type="dxa" w:w="2016"/>
            <w:shd w:fill="1F3864" w:val="clear"/>
            <w:tcMar>
              <w:top w:type="dxa" w:w="60"/>
              <w:left w:type="dxa" w:w="100"/>
              <w:bottom w:type="dxa" w:w="60"/>
              <w:right w:type="dxa" w:w="100"/>
            </w:tcMar>
          </w:tcPr>
          <w:p>
            <w:r>
              <w:rPr>
                <w:b/>
                <w:bCs/>
                <w:color w:val="FFFFFF"/>
                <w:sz w:val="19"/>
                <w:szCs w:val="19"/>
              </w:rPr>
              <w:t xml:space="preserve">Orders</w:t>
            </w:r>
          </w:p>
        </w:tc>
        <w:tc>
          <w:tcPr>
            <w:tcW w:type="dxa" w:w="2016"/>
            <w:shd w:fill="1F3864" w:val="clear"/>
            <w:tcMar>
              <w:top w:type="dxa" w:w="60"/>
              <w:left w:type="dxa" w:w="100"/>
              <w:bottom w:type="dxa" w:w="60"/>
              <w:right w:type="dxa" w:w="100"/>
            </w:tcMar>
          </w:tcPr>
          <w:p>
            <w:r>
              <w:rPr>
                <w:b/>
                <w:bCs/>
                <w:color w:val="FFFFFF"/>
                <w:sz w:val="19"/>
                <w:szCs w:val="19"/>
              </w:rPr>
              <w:t xml:space="preserve">Category Revenue (BRL)</w:t>
            </w:r>
          </w:p>
        </w:tc>
        <w:tc>
          <w:tcPr>
            <w:tcW w:type="dxa" w:w="2016"/>
            <w:shd w:fill="1F3864" w:val="clear"/>
            <w:tcMar>
              <w:top w:type="dxa" w:w="60"/>
              <w:left w:type="dxa" w:w="100"/>
              <w:bottom w:type="dxa" w:w="60"/>
              <w:right w:type="dxa" w:w="100"/>
            </w:tcMar>
          </w:tcPr>
          <w:p>
            <w:r>
              <w:rPr>
                <w:b/>
                <w:bCs/>
                <w:color w:val="FFFFFF"/>
                <w:sz w:val="19"/>
                <w:szCs w:val="19"/>
              </w:rPr>
              <w:t xml:space="preserve">AOV</w:t>
            </w:r>
          </w:p>
        </w:tc>
        <w:tc>
          <w:tcPr>
            <w:tcW w:type="dxa" w:w="2016"/>
            <w:shd w:fill="1F3864" w:val="clear"/>
            <w:tcMar>
              <w:top w:type="dxa" w:w="60"/>
              <w:left w:type="dxa" w:w="100"/>
              <w:bottom w:type="dxa" w:w="60"/>
              <w:right w:type="dxa" w:w="100"/>
            </w:tcMar>
          </w:tcPr>
          <w:p>
            <w:r>
              <w:rPr>
                <w:b/>
                <w:bCs/>
                <w:color w:val="FFFFFF"/>
                <w:sz w:val="19"/>
                <w:szCs w:val="19"/>
              </w:rPr>
              <w:t xml:space="preserve">% of Revenue</w:t>
            </w:r>
          </w:p>
        </w:tc>
      </w:tr>
      <w:tr>
        <w:tc>
          <w:tcPr>
            <w:tcW w:type="dxa" w:w="2016"/>
            <w:shd w:fill="FFFFFF" w:val="clear"/>
            <w:tcMar>
              <w:top w:type="dxa" w:w="50"/>
              <w:left w:type="dxa" w:w="100"/>
              <w:bottom w:type="dxa" w:w="50"/>
              <w:right w:type="dxa" w:w="100"/>
            </w:tcMar>
          </w:tcPr>
          <w:p>
            <w:r>
              <w:rPr>
                <w:sz w:val="19"/>
                <w:szCs w:val="19"/>
              </w:rPr>
              <w:t xml:space="preserve">health_beauty</w:t>
            </w:r>
          </w:p>
        </w:tc>
        <w:tc>
          <w:tcPr>
            <w:tcW w:type="dxa" w:w="2016"/>
            <w:shd w:fill="FFFFFF" w:val="clear"/>
            <w:tcMar>
              <w:top w:type="dxa" w:w="50"/>
              <w:left w:type="dxa" w:w="100"/>
              <w:bottom w:type="dxa" w:w="50"/>
              <w:right w:type="dxa" w:w="100"/>
            </w:tcMar>
          </w:tcPr>
          <w:p>
            <w:r>
              <w:rPr>
                <w:sz w:val="19"/>
                <w:szCs w:val="19"/>
              </w:rPr>
              <w:t xml:space="preserve">8,647</w:t>
            </w:r>
          </w:p>
        </w:tc>
        <w:tc>
          <w:tcPr>
            <w:tcW w:type="dxa" w:w="2016"/>
            <w:shd w:fill="FFFFFF" w:val="clear"/>
            <w:tcMar>
              <w:top w:type="dxa" w:w="50"/>
              <w:left w:type="dxa" w:w="100"/>
              <w:bottom w:type="dxa" w:w="50"/>
              <w:right w:type="dxa" w:w="100"/>
            </w:tcMar>
          </w:tcPr>
          <w:p>
            <w:r>
              <w:rPr>
                <w:sz w:val="19"/>
                <w:szCs w:val="19"/>
              </w:rPr>
              <w:t xml:space="preserve">1,233,131.72</w:t>
            </w:r>
          </w:p>
        </w:tc>
        <w:tc>
          <w:tcPr>
            <w:tcW w:type="dxa" w:w="2016"/>
            <w:shd w:fill="FFFFFF" w:val="clear"/>
            <w:tcMar>
              <w:top w:type="dxa" w:w="50"/>
              <w:left w:type="dxa" w:w="100"/>
              <w:bottom w:type="dxa" w:w="50"/>
              <w:right w:type="dxa" w:w="100"/>
            </w:tcMar>
          </w:tcPr>
          <w:p>
            <w:r>
              <w:rPr>
                <w:sz w:val="19"/>
                <w:szCs w:val="19"/>
              </w:rPr>
              <w:t xml:space="preserve">142.61</w:t>
            </w:r>
          </w:p>
        </w:tc>
        <w:tc>
          <w:tcPr>
            <w:tcW w:type="dxa" w:w="2016"/>
            <w:shd w:fill="FFFFFF" w:val="clear"/>
            <w:tcMar>
              <w:top w:type="dxa" w:w="50"/>
              <w:left w:type="dxa" w:w="100"/>
              <w:bottom w:type="dxa" w:w="50"/>
              <w:right w:type="dxa" w:w="100"/>
            </w:tcMar>
          </w:tcPr>
          <w:p>
            <w:r>
              <w:rPr>
                <w:sz w:val="19"/>
                <w:szCs w:val="19"/>
              </w:rPr>
              <w:t xml:space="preserve">9.33%</w:t>
            </w:r>
          </w:p>
        </w:tc>
      </w:tr>
      <w:tr>
        <w:tc>
          <w:tcPr>
            <w:tcW w:type="dxa" w:w="2016"/>
            <w:shd w:fill="F2F2F2" w:val="clear"/>
            <w:tcMar>
              <w:top w:type="dxa" w:w="50"/>
              <w:left w:type="dxa" w:w="100"/>
              <w:bottom w:type="dxa" w:w="50"/>
              <w:right w:type="dxa" w:w="100"/>
            </w:tcMar>
          </w:tcPr>
          <w:p>
            <w:r>
              <w:rPr>
                <w:sz w:val="19"/>
                <w:szCs w:val="19"/>
              </w:rPr>
              <w:t xml:space="preserve">watches_gifts</w:t>
            </w:r>
          </w:p>
        </w:tc>
        <w:tc>
          <w:tcPr>
            <w:tcW w:type="dxa" w:w="2016"/>
            <w:shd w:fill="F2F2F2" w:val="clear"/>
            <w:tcMar>
              <w:top w:type="dxa" w:w="50"/>
              <w:left w:type="dxa" w:w="100"/>
              <w:bottom w:type="dxa" w:w="50"/>
              <w:right w:type="dxa" w:w="100"/>
            </w:tcMar>
          </w:tcPr>
          <w:p>
            <w:r>
              <w:rPr>
                <w:sz w:val="19"/>
                <w:szCs w:val="19"/>
              </w:rPr>
              <w:t xml:space="preserve">5,495</w:t>
            </w:r>
          </w:p>
        </w:tc>
        <w:tc>
          <w:tcPr>
            <w:tcW w:type="dxa" w:w="2016"/>
            <w:shd w:fill="F2F2F2" w:val="clear"/>
            <w:tcMar>
              <w:top w:type="dxa" w:w="50"/>
              <w:left w:type="dxa" w:w="100"/>
              <w:bottom w:type="dxa" w:w="50"/>
              <w:right w:type="dxa" w:w="100"/>
            </w:tcMar>
          </w:tcPr>
          <w:p>
            <w:r>
              <w:rPr>
                <w:sz w:val="19"/>
                <w:szCs w:val="19"/>
              </w:rPr>
              <w:t xml:space="preserve">1,166,176.98</w:t>
            </w:r>
          </w:p>
        </w:tc>
        <w:tc>
          <w:tcPr>
            <w:tcW w:type="dxa" w:w="2016"/>
            <w:shd w:fill="F2F2F2" w:val="clear"/>
            <w:tcMar>
              <w:top w:type="dxa" w:w="50"/>
              <w:left w:type="dxa" w:w="100"/>
              <w:bottom w:type="dxa" w:w="50"/>
              <w:right w:type="dxa" w:w="100"/>
            </w:tcMar>
          </w:tcPr>
          <w:p>
            <w:r>
              <w:rPr>
                <w:sz w:val="19"/>
                <w:szCs w:val="19"/>
              </w:rPr>
              <w:t xml:space="preserve">212.23</w:t>
            </w:r>
          </w:p>
        </w:tc>
        <w:tc>
          <w:tcPr>
            <w:tcW w:type="dxa" w:w="2016"/>
            <w:shd w:fill="F2F2F2" w:val="clear"/>
            <w:tcMar>
              <w:top w:type="dxa" w:w="50"/>
              <w:left w:type="dxa" w:w="100"/>
              <w:bottom w:type="dxa" w:w="50"/>
              <w:right w:type="dxa" w:w="100"/>
            </w:tcMar>
          </w:tcPr>
          <w:p>
            <w:r>
              <w:rPr>
                <w:sz w:val="19"/>
                <w:szCs w:val="19"/>
              </w:rPr>
              <w:t xml:space="preserve">8.82%</w:t>
            </w:r>
          </w:p>
        </w:tc>
      </w:tr>
      <w:tr>
        <w:tc>
          <w:tcPr>
            <w:tcW w:type="dxa" w:w="2016"/>
            <w:shd w:fill="FFFFFF" w:val="clear"/>
            <w:tcMar>
              <w:top w:type="dxa" w:w="50"/>
              <w:left w:type="dxa" w:w="100"/>
              <w:bottom w:type="dxa" w:w="50"/>
              <w:right w:type="dxa" w:w="100"/>
            </w:tcMar>
          </w:tcPr>
          <w:p>
            <w:r>
              <w:rPr>
                <w:sz w:val="19"/>
                <w:szCs w:val="19"/>
              </w:rPr>
              <w:t xml:space="preserve">bed_bath_table</w:t>
            </w:r>
          </w:p>
        </w:tc>
        <w:tc>
          <w:tcPr>
            <w:tcW w:type="dxa" w:w="2016"/>
            <w:shd w:fill="FFFFFF" w:val="clear"/>
            <w:tcMar>
              <w:top w:type="dxa" w:w="50"/>
              <w:left w:type="dxa" w:w="100"/>
              <w:bottom w:type="dxa" w:w="50"/>
              <w:right w:type="dxa" w:w="100"/>
            </w:tcMar>
          </w:tcPr>
          <w:p>
            <w:r>
              <w:rPr>
                <w:sz w:val="19"/>
                <w:szCs w:val="19"/>
              </w:rPr>
              <w:t xml:space="preserve">9,272</w:t>
            </w:r>
          </w:p>
        </w:tc>
        <w:tc>
          <w:tcPr>
            <w:tcW w:type="dxa" w:w="2016"/>
            <w:shd w:fill="FFFFFF" w:val="clear"/>
            <w:tcMar>
              <w:top w:type="dxa" w:w="50"/>
              <w:left w:type="dxa" w:w="100"/>
              <w:bottom w:type="dxa" w:w="50"/>
              <w:right w:type="dxa" w:w="100"/>
            </w:tcMar>
          </w:tcPr>
          <w:p>
            <w:r>
              <w:rPr>
                <w:sz w:val="19"/>
                <w:szCs w:val="19"/>
              </w:rPr>
              <w:t xml:space="preserve">1,023,434.76</w:t>
            </w:r>
          </w:p>
        </w:tc>
        <w:tc>
          <w:tcPr>
            <w:tcW w:type="dxa" w:w="2016"/>
            <w:shd w:fill="FFFFFF" w:val="clear"/>
            <w:tcMar>
              <w:top w:type="dxa" w:w="50"/>
              <w:left w:type="dxa" w:w="100"/>
              <w:bottom w:type="dxa" w:w="50"/>
              <w:right w:type="dxa" w:w="100"/>
            </w:tcMar>
          </w:tcPr>
          <w:p>
            <w:r>
              <w:rPr>
                <w:sz w:val="19"/>
                <w:szCs w:val="19"/>
              </w:rPr>
              <w:t xml:space="preserve">110.38</w:t>
            </w:r>
          </w:p>
        </w:tc>
        <w:tc>
          <w:tcPr>
            <w:tcW w:type="dxa" w:w="2016"/>
            <w:shd w:fill="FFFFFF" w:val="clear"/>
            <w:tcMar>
              <w:top w:type="dxa" w:w="50"/>
              <w:left w:type="dxa" w:w="100"/>
              <w:bottom w:type="dxa" w:w="50"/>
              <w:right w:type="dxa" w:w="100"/>
            </w:tcMar>
          </w:tcPr>
          <w:p>
            <w:r>
              <w:rPr>
                <w:sz w:val="19"/>
                <w:szCs w:val="19"/>
              </w:rPr>
              <w:t xml:space="preserve">7.74%</w:t>
            </w:r>
          </w:p>
        </w:tc>
      </w:tr>
      <w:tr>
        <w:tc>
          <w:tcPr>
            <w:tcW w:type="dxa" w:w="2016"/>
            <w:shd w:fill="F2F2F2" w:val="clear"/>
            <w:tcMar>
              <w:top w:type="dxa" w:w="50"/>
              <w:left w:type="dxa" w:w="100"/>
              <w:bottom w:type="dxa" w:w="50"/>
              <w:right w:type="dxa" w:w="100"/>
            </w:tcMar>
          </w:tcPr>
          <w:p>
            <w:r>
              <w:rPr>
                <w:sz w:val="19"/>
                <w:szCs w:val="19"/>
              </w:rPr>
              <w:t xml:space="preserve">sports_leisure</w:t>
            </w:r>
          </w:p>
        </w:tc>
        <w:tc>
          <w:tcPr>
            <w:tcW w:type="dxa" w:w="2016"/>
            <w:shd w:fill="F2F2F2" w:val="clear"/>
            <w:tcMar>
              <w:top w:type="dxa" w:w="50"/>
              <w:left w:type="dxa" w:w="100"/>
              <w:bottom w:type="dxa" w:w="50"/>
              <w:right w:type="dxa" w:w="100"/>
            </w:tcMar>
          </w:tcPr>
          <w:p>
            <w:r>
              <w:rPr>
                <w:sz w:val="19"/>
                <w:szCs w:val="19"/>
              </w:rPr>
              <w:t xml:space="preserve">7,530</w:t>
            </w:r>
          </w:p>
        </w:tc>
        <w:tc>
          <w:tcPr>
            <w:tcW w:type="dxa" w:w="2016"/>
            <w:shd w:fill="F2F2F2" w:val="clear"/>
            <w:tcMar>
              <w:top w:type="dxa" w:w="50"/>
              <w:left w:type="dxa" w:w="100"/>
              <w:bottom w:type="dxa" w:w="50"/>
              <w:right w:type="dxa" w:w="100"/>
            </w:tcMar>
          </w:tcPr>
          <w:p>
            <w:r>
              <w:rPr>
                <w:sz w:val="19"/>
                <w:szCs w:val="19"/>
              </w:rPr>
              <w:t xml:space="preserve">954,852.55</w:t>
            </w:r>
          </w:p>
        </w:tc>
        <w:tc>
          <w:tcPr>
            <w:tcW w:type="dxa" w:w="2016"/>
            <w:shd w:fill="F2F2F2" w:val="clear"/>
            <w:tcMar>
              <w:top w:type="dxa" w:w="50"/>
              <w:left w:type="dxa" w:w="100"/>
              <w:bottom w:type="dxa" w:w="50"/>
              <w:right w:type="dxa" w:w="100"/>
            </w:tcMar>
          </w:tcPr>
          <w:p>
            <w:r>
              <w:rPr>
                <w:sz w:val="19"/>
                <w:szCs w:val="19"/>
              </w:rPr>
              <w:t xml:space="preserve">126.81</w:t>
            </w:r>
          </w:p>
        </w:tc>
        <w:tc>
          <w:tcPr>
            <w:tcW w:type="dxa" w:w="2016"/>
            <w:shd w:fill="F2F2F2" w:val="clear"/>
            <w:tcMar>
              <w:top w:type="dxa" w:w="50"/>
              <w:left w:type="dxa" w:w="100"/>
              <w:bottom w:type="dxa" w:w="50"/>
              <w:right w:type="dxa" w:w="100"/>
            </w:tcMar>
          </w:tcPr>
          <w:p>
            <w:r>
              <w:rPr>
                <w:sz w:val="19"/>
                <w:szCs w:val="19"/>
              </w:rPr>
              <w:t xml:space="preserve">7.22%</w:t>
            </w:r>
          </w:p>
        </w:tc>
      </w:tr>
      <w:tr>
        <w:tc>
          <w:tcPr>
            <w:tcW w:type="dxa" w:w="2016"/>
            <w:shd w:fill="FFFFFF" w:val="clear"/>
            <w:tcMar>
              <w:top w:type="dxa" w:w="50"/>
              <w:left w:type="dxa" w:w="100"/>
              <w:bottom w:type="dxa" w:w="50"/>
              <w:right w:type="dxa" w:w="100"/>
            </w:tcMar>
          </w:tcPr>
          <w:p>
            <w:r>
              <w:rPr>
                <w:sz w:val="19"/>
                <w:szCs w:val="19"/>
              </w:rPr>
              <w:t xml:space="preserve">computers_accessories</w:t>
            </w:r>
          </w:p>
        </w:tc>
        <w:tc>
          <w:tcPr>
            <w:tcW w:type="dxa" w:w="2016"/>
            <w:shd w:fill="FFFFFF" w:val="clear"/>
            <w:tcMar>
              <w:top w:type="dxa" w:w="50"/>
              <w:left w:type="dxa" w:w="100"/>
              <w:bottom w:type="dxa" w:w="50"/>
              <w:right w:type="dxa" w:w="100"/>
            </w:tcMar>
          </w:tcPr>
          <w:p>
            <w:r>
              <w:rPr>
                <w:sz w:val="19"/>
                <w:szCs w:val="19"/>
              </w:rPr>
              <w:t xml:space="preserve">6,530</w:t>
            </w:r>
          </w:p>
        </w:tc>
        <w:tc>
          <w:tcPr>
            <w:tcW w:type="dxa" w:w="2016"/>
            <w:shd w:fill="FFFFFF" w:val="clear"/>
            <w:tcMar>
              <w:top w:type="dxa" w:w="50"/>
              <w:left w:type="dxa" w:w="100"/>
              <w:bottom w:type="dxa" w:w="50"/>
              <w:right w:type="dxa" w:w="100"/>
            </w:tcMar>
          </w:tcPr>
          <w:p>
            <w:r>
              <w:rPr>
                <w:sz w:val="19"/>
                <w:szCs w:val="19"/>
              </w:rPr>
              <w:t xml:space="preserve">888,724.61</w:t>
            </w:r>
          </w:p>
        </w:tc>
        <w:tc>
          <w:tcPr>
            <w:tcW w:type="dxa" w:w="2016"/>
            <w:shd w:fill="FFFFFF" w:val="clear"/>
            <w:tcMar>
              <w:top w:type="dxa" w:w="50"/>
              <w:left w:type="dxa" w:w="100"/>
              <w:bottom w:type="dxa" w:w="50"/>
              <w:right w:type="dxa" w:w="100"/>
            </w:tcMar>
          </w:tcPr>
          <w:p>
            <w:r>
              <w:rPr>
                <w:sz w:val="19"/>
                <w:szCs w:val="19"/>
              </w:rPr>
              <w:t xml:space="preserve">136.10</w:t>
            </w:r>
          </w:p>
        </w:tc>
        <w:tc>
          <w:tcPr>
            <w:tcW w:type="dxa" w:w="2016"/>
            <w:shd w:fill="FFFFFF" w:val="clear"/>
            <w:tcMar>
              <w:top w:type="dxa" w:w="50"/>
              <w:left w:type="dxa" w:w="100"/>
              <w:bottom w:type="dxa" w:w="50"/>
              <w:right w:type="dxa" w:w="100"/>
            </w:tcMar>
          </w:tcPr>
          <w:p>
            <w:r>
              <w:rPr>
                <w:sz w:val="19"/>
                <w:szCs w:val="19"/>
              </w:rPr>
              <w:t xml:space="preserve">6.72%</w:t>
            </w:r>
          </w:p>
        </w:tc>
      </w:tr>
      <w:tr>
        <w:tc>
          <w:tcPr>
            <w:tcW w:type="dxa" w:w="2016"/>
            <w:shd w:fill="F2F2F2" w:val="clear"/>
            <w:tcMar>
              <w:top w:type="dxa" w:w="50"/>
              <w:left w:type="dxa" w:w="100"/>
              <w:bottom w:type="dxa" w:w="50"/>
              <w:right w:type="dxa" w:w="100"/>
            </w:tcMar>
          </w:tcPr>
          <w:p>
            <w:r>
              <w:rPr>
                <w:sz w:val="19"/>
                <w:szCs w:val="19"/>
              </w:rPr>
              <w:t xml:space="preserve">furniture_decor</w:t>
            </w:r>
          </w:p>
        </w:tc>
        <w:tc>
          <w:tcPr>
            <w:tcW w:type="dxa" w:w="2016"/>
            <w:shd w:fill="F2F2F2" w:val="clear"/>
            <w:tcMar>
              <w:top w:type="dxa" w:w="50"/>
              <w:left w:type="dxa" w:w="100"/>
              <w:bottom w:type="dxa" w:w="50"/>
              <w:right w:type="dxa" w:w="100"/>
            </w:tcMar>
          </w:tcPr>
          <w:p>
            <w:r>
              <w:rPr>
                <w:sz w:val="19"/>
                <w:szCs w:val="19"/>
              </w:rPr>
              <w:t xml:space="preserve">6,307</w:t>
            </w:r>
          </w:p>
        </w:tc>
        <w:tc>
          <w:tcPr>
            <w:tcW w:type="dxa" w:w="2016"/>
            <w:shd w:fill="F2F2F2" w:val="clear"/>
            <w:tcMar>
              <w:top w:type="dxa" w:w="50"/>
              <w:left w:type="dxa" w:w="100"/>
              <w:bottom w:type="dxa" w:w="50"/>
              <w:right w:type="dxa" w:w="100"/>
            </w:tcMar>
          </w:tcPr>
          <w:p>
            <w:r>
              <w:rPr>
                <w:sz w:val="19"/>
                <w:szCs w:val="19"/>
              </w:rPr>
              <w:t xml:space="preserve">711,927.69</w:t>
            </w:r>
          </w:p>
        </w:tc>
        <w:tc>
          <w:tcPr>
            <w:tcW w:type="dxa" w:w="2016"/>
            <w:shd w:fill="F2F2F2" w:val="clear"/>
            <w:tcMar>
              <w:top w:type="dxa" w:w="50"/>
              <w:left w:type="dxa" w:w="100"/>
              <w:bottom w:type="dxa" w:w="50"/>
              <w:right w:type="dxa" w:w="100"/>
            </w:tcMar>
          </w:tcPr>
          <w:p>
            <w:r>
              <w:rPr>
                <w:sz w:val="19"/>
                <w:szCs w:val="19"/>
              </w:rPr>
              <w:t xml:space="preserve">112.88</w:t>
            </w:r>
          </w:p>
        </w:tc>
        <w:tc>
          <w:tcPr>
            <w:tcW w:type="dxa" w:w="2016"/>
            <w:shd w:fill="F2F2F2" w:val="clear"/>
            <w:tcMar>
              <w:top w:type="dxa" w:w="50"/>
              <w:left w:type="dxa" w:w="100"/>
              <w:bottom w:type="dxa" w:w="50"/>
              <w:right w:type="dxa" w:w="100"/>
            </w:tcMar>
          </w:tcPr>
          <w:p>
            <w:r>
              <w:rPr>
                <w:sz w:val="19"/>
                <w:szCs w:val="19"/>
              </w:rPr>
              <w:t xml:space="preserve">5.38%</w:t>
            </w:r>
          </w:p>
        </w:tc>
      </w:tr>
      <w:tr>
        <w:tc>
          <w:tcPr>
            <w:tcW w:type="dxa" w:w="2016"/>
            <w:shd w:fill="FFFFFF" w:val="clear"/>
            <w:tcMar>
              <w:top w:type="dxa" w:w="50"/>
              <w:left w:type="dxa" w:w="100"/>
              <w:bottom w:type="dxa" w:w="50"/>
              <w:right w:type="dxa" w:w="100"/>
            </w:tcMar>
          </w:tcPr>
          <w:p>
            <w:r>
              <w:rPr>
                <w:sz w:val="19"/>
                <w:szCs w:val="19"/>
              </w:rPr>
              <w:t xml:space="preserve">housewares</w:t>
            </w:r>
          </w:p>
        </w:tc>
        <w:tc>
          <w:tcPr>
            <w:tcW w:type="dxa" w:w="2016"/>
            <w:shd w:fill="FFFFFF" w:val="clear"/>
            <w:tcMar>
              <w:top w:type="dxa" w:w="50"/>
              <w:left w:type="dxa" w:w="100"/>
              <w:bottom w:type="dxa" w:w="50"/>
              <w:right w:type="dxa" w:w="100"/>
            </w:tcMar>
          </w:tcPr>
          <w:p>
            <w:r>
              <w:rPr>
                <w:sz w:val="19"/>
                <w:szCs w:val="19"/>
              </w:rPr>
              <w:t xml:space="preserve">5,743</w:t>
            </w:r>
          </w:p>
        </w:tc>
        <w:tc>
          <w:tcPr>
            <w:tcW w:type="dxa" w:w="2016"/>
            <w:shd w:fill="FFFFFF" w:val="clear"/>
            <w:tcMar>
              <w:top w:type="dxa" w:w="50"/>
              <w:left w:type="dxa" w:w="100"/>
              <w:bottom w:type="dxa" w:w="50"/>
              <w:right w:type="dxa" w:w="100"/>
            </w:tcMar>
          </w:tcPr>
          <w:p>
            <w:r>
              <w:rPr>
                <w:sz w:val="19"/>
                <w:szCs w:val="19"/>
              </w:rPr>
              <w:t xml:space="preserve">615,628.69</w:t>
            </w:r>
          </w:p>
        </w:tc>
        <w:tc>
          <w:tcPr>
            <w:tcW w:type="dxa" w:w="2016"/>
            <w:shd w:fill="FFFFFF" w:val="clear"/>
            <w:tcMar>
              <w:top w:type="dxa" w:w="50"/>
              <w:left w:type="dxa" w:w="100"/>
              <w:bottom w:type="dxa" w:w="50"/>
              <w:right w:type="dxa" w:w="100"/>
            </w:tcMar>
          </w:tcPr>
          <w:p>
            <w:r>
              <w:rPr>
                <w:sz w:val="19"/>
                <w:szCs w:val="19"/>
              </w:rPr>
              <w:t xml:space="preserve">107.20</w:t>
            </w:r>
          </w:p>
        </w:tc>
        <w:tc>
          <w:tcPr>
            <w:tcW w:type="dxa" w:w="2016"/>
            <w:shd w:fill="FFFFFF" w:val="clear"/>
            <w:tcMar>
              <w:top w:type="dxa" w:w="50"/>
              <w:left w:type="dxa" w:w="100"/>
              <w:bottom w:type="dxa" w:w="50"/>
              <w:right w:type="dxa" w:w="100"/>
            </w:tcMar>
          </w:tcPr>
          <w:p>
            <w:r>
              <w:rPr>
                <w:sz w:val="19"/>
                <w:szCs w:val="19"/>
              </w:rPr>
              <w:t xml:space="preserve">4.66%</w:t>
            </w:r>
          </w:p>
        </w:tc>
      </w:tr>
      <w:tr>
        <w:tc>
          <w:tcPr>
            <w:tcW w:type="dxa" w:w="2016"/>
            <w:shd w:fill="F2F2F2" w:val="clear"/>
            <w:tcMar>
              <w:top w:type="dxa" w:w="50"/>
              <w:left w:type="dxa" w:w="100"/>
              <w:bottom w:type="dxa" w:w="50"/>
              <w:right w:type="dxa" w:w="100"/>
            </w:tcMar>
          </w:tcPr>
          <w:p>
            <w:r>
              <w:rPr>
                <w:sz w:val="19"/>
                <w:szCs w:val="19"/>
              </w:rPr>
              <w:t xml:space="preserve">cool_stuff</w:t>
            </w:r>
          </w:p>
        </w:tc>
        <w:tc>
          <w:tcPr>
            <w:tcW w:type="dxa" w:w="2016"/>
            <w:shd w:fill="F2F2F2" w:val="clear"/>
            <w:tcMar>
              <w:top w:type="dxa" w:w="50"/>
              <w:left w:type="dxa" w:w="100"/>
              <w:bottom w:type="dxa" w:w="50"/>
              <w:right w:type="dxa" w:w="100"/>
            </w:tcMar>
          </w:tcPr>
          <w:p>
            <w:r>
              <w:rPr>
                <w:sz w:val="19"/>
                <w:szCs w:val="19"/>
              </w:rPr>
              <w:t xml:space="preserve">3,559</w:t>
            </w:r>
          </w:p>
        </w:tc>
        <w:tc>
          <w:tcPr>
            <w:tcW w:type="dxa" w:w="2016"/>
            <w:shd w:fill="F2F2F2" w:val="clear"/>
            <w:tcMar>
              <w:top w:type="dxa" w:w="50"/>
              <w:left w:type="dxa" w:w="100"/>
              <w:bottom w:type="dxa" w:w="50"/>
              <w:right w:type="dxa" w:w="100"/>
            </w:tcMar>
          </w:tcPr>
          <w:p>
            <w:r>
              <w:rPr>
                <w:sz w:val="19"/>
                <w:szCs w:val="19"/>
              </w:rPr>
              <w:t xml:space="preserve">610,204.10</w:t>
            </w:r>
          </w:p>
        </w:tc>
        <w:tc>
          <w:tcPr>
            <w:tcW w:type="dxa" w:w="2016"/>
            <w:shd w:fill="F2F2F2" w:val="clear"/>
            <w:tcMar>
              <w:top w:type="dxa" w:w="50"/>
              <w:left w:type="dxa" w:w="100"/>
              <w:bottom w:type="dxa" w:w="50"/>
              <w:right w:type="dxa" w:w="100"/>
            </w:tcMar>
          </w:tcPr>
          <w:p>
            <w:r>
              <w:rPr>
                <w:sz w:val="19"/>
                <w:szCs w:val="19"/>
              </w:rPr>
              <w:t xml:space="preserve">171.45</w:t>
            </w:r>
          </w:p>
        </w:tc>
        <w:tc>
          <w:tcPr>
            <w:tcW w:type="dxa" w:w="2016"/>
            <w:shd w:fill="F2F2F2" w:val="clear"/>
            <w:tcMar>
              <w:top w:type="dxa" w:w="50"/>
              <w:left w:type="dxa" w:w="100"/>
              <w:bottom w:type="dxa" w:w="50"/>
              <w:right w:type="dxa" w:w="100"/>
            </w:tcMar>
          </w:tcPr>
          <w:p>
            <w:r>
              <w:rPr>
                <w:sz w:val="19"/>
                <w:szCs w:val="19"/>
              </w:rPr>
              <w:t xml:space="preserve">4.62%</w:t>
            </w:r>
          </w:p>
        </w:tc>
      </w:tr>
      <w:tr>
        <w:tc>
          <w:tcPr>
            <w:tcW w:type="dxa" w:w="2016"/>
            <w:shd w:fill="FFFFFF" w:val="clear"/>
            <w:tcMar>
              <w:top w:type="dxa" w:w="50"/>
              <w:left w:type="dxa" w:w="100"/>
              <w:bottom w:type="dxa" w:w="50"/>
              <w:right w:type="dxa" w:w="100"/>
            </w:tcMar>
          </w:tcPr>
          <w:p>
            <w:r>
              <w:rPr>
                <w:sz w:val="19"/>
                <w:szCs w:val="19"/>
              </w:rPr>
              <w:t xml:space="preserve">auto</w:t>
            </w:r>
          </w:p>
        </w:tc>
        <w:tc>
          <w:tcPr>
            <w:tcW w:type="dxa" w:w="2016"/>
            <w:shd w:fill="FFFFFF" w:val="clear"/>
            <w:tcMar>
              <w:top w:type="dxa" w:w="50"/>
              <w:left w:type="dxa" w:w="100"/>
              <w:bottom w:type="dxa" w:w="50"/>
              <w:right w:type="dxa" w:w="100"/>
            </w:tcMar>
          </w:tcPr>
          <w:p>
            <w:r>
              <w:rPr>
                <w:sz w:val="19"/>
                <w:szCs w:val="19"/>
              </w:rPr>
              <w:t xml:space="preserve">3,810</w:t>
            </w:r>
          </w:p>
        </w:tc>
        <w:tc>
          <w:tcPr>
            <w:tcW w:type="dxa" w:w="2016"/>
            <w:shd w:fill="FFFFFF" w:val="clear"/>
            <w:tcMar>
              <w:top w:type="dxa" w:w="50"/>
              <w:left w:type="dxa" w:w="100"/>
              <w:bottom w:type="dxa" w:w="50"/>
              <w:right w:type="dxa" w:w="100"/>
            </w:tcMar>
          </w:tcPr>
          <w:p>
            <w:r>
              <w:rPr>
                <w:sz w:val="19"/>
                <w:szCs w:val="19"/>
              </w:rPr>
              <w:t xml:space="preserve">578,966.65</w:t>
            </w:r>
          </w:p>
        </w:tc>
        <w:tc>
          <w:tcPr>
            <w:tcW w:type="dxa" w:w="2016"/>
            <w:shd w:fill="FFFFFF" w:val="clear"/>
            <w:tcMar>
              <w:top w:type="dxa" w:w="50"/>
              <w:left w:type="dxa" w:w="100"/>
              <w:bottom w:type="dxa" w:w="50"/>
              <w:right w:type="dxa" w:w="100"/>
            </w:tcMar>
          </w:tcPr>
          <w:p>
            <w:r>
              <w:rPr>
                <w:sz w:val="19"/>
                <w:szCs w:val="19"/>
              </w:rPr>
              <w:t xml:space="preserve">151.96</w:t>
            </w:r>
          </w:p>
        </w:tc>
        <w:tc>
          <w:tcPr>
            <w:tcW w:type="dxa" w:w="2016"/>
            <w:shd w:fill="FFFFFF" w:val="clear"/>
            <w:tcMar>
              <w:top w:type="dxa" w:w="50"/>
              <w:left w:type="dxa" w:w="100"/>
              <w:bottom w:type="dxa" w:w="50"/>
              <w:right w:type="dxa" w:w="100"/>
            </w:tcMar>
          </w:tcPr>
          <w:p>
            <w:r>
              <w:rPr>
                <w:sz w:val="19"/>
                <w:szCs w:val="19"/>
              </w:rPr>
              <w:t xml:space="preserve">4.38%</w:t>
            </w:r>
          </w:p>
        </w:tc>
      </w:tr>
      <w:tr>
        <w:tc>
          <w:tcPr>
            <w:tcW w:type="dxa" w:w="2016"/>
            <w:shd w:fill="F2F2F2" w:val="clear"/>
            <w:tcMar>
              <w:top w:type="dxa" w:w="50"/>
              <w:left w:type="dxa" w:w="100"/>
              <w:bottom w:type="dxa" w:w="50"/>
              <w:right w:type="dxa" w:w="100"/>
            </w:tcMar>
          </w:tcPr>
          <w:p>
            <w:r>
              <w:rPr>
                <w:sz w:val="19"/>
                <w:szCs w:val="19"/>
              </w:rPr>
              <w:t xml:space="preserve">toys</w:t>
            </w:r>
          </w:p>
        </w:tc>
        <w:tc>
          <w:tcPr>
            <w:tcW w:type="dxa" w:w="2016"/>
            <w:shd w:fill="F2F2F2" w:val="clear"/>
            <w:tcMar>
              <w:top w:type="dxa" w:w="50"/>
              <w:left w:type="dxa" w:w="100"/>
              <w:bottom w:type="dxa" w:w="50"/>
              <w:right w:type="dxa" w:w="100"/>
            </w:tcMar>
          </w:tcPr>
          <w:p>
            <w:r>
              <w:rPr>
                <w:sz w:val="19"/>
                <w:szCs w:val="19"/>
              </w:rPr>
              <w:t xml:space="preserve">3,804</w:t>
            </w:r>
          </w:p>
        </w:tc>
        <w:tc>
          <w:tcPr>
            <w:tcW w:type="dxa" w:w="2016"/>
            <w:shd w:fill="F2F2F2" w:val="clear"/>
            <w:tcMar>
              <w:top w:type="dxa" w:w="50"/>
              <w:left w:type="dxa" w:w="100"/>
              <w:bottom w:type="dxa" w:w="50"/>
              <w:right w:type="dxa" w:w="100"/>
            </w:tcMar>
          </w:tcPr>
          <w:p>
            <w:r>
              <w:rPr>
                <w:sz w:val="19"/>
                <w:szCs w:val="19"/>
              </w:rPr>
              <w:t xml:space="preserve">471,286.48</w:t>
            </w:r>
          </w:p>
        </w:tc>
        <w:tc>
          <w:tcPr>
            <w:tcW w:type="dxa" w:w="2016"/>
            <w:shd w:fill="F2F2F2" w:val="clear"/>
            <w:tcMar>
              <w:top w:type="dxa" w:w="50"/>
              <w:left w:type="dxa" w:w="100"/>
              <w:bottom w:type="dxa" w:w="50"/>
              <w:right w:type="dxa" w:w="100"/>
            </w:tcMar>
          </w:tcPr>
          <w:p>
            <w:r>
              <w:rPr>
                <w:sz w:val="19"/>
                <w:szCs w:val="19"/>
              </w:rPr>
              <w:t xml:space="preserve">123.89</w:t>
            </w:r>
          </w:p>
        </w:tc>
        <w:tc>
          <w:tcPr>
            <w:tcW w:type="dxa" w:w="2016"/>
            <w:shd w:fill="F2F2F2" w:val="clear"/>
            <w:tcMar>
              <w:top w:type="dxa" w:w="50"/>
              <w:left w:type="dxa" w:w="100"/>
              <w:bottom w:type="dxa" w:w="50"/>
              <w:right w:type="dxa" w:w="100"/>
            </w:tcMar>
          </w:tcPr>
          <w:p>
            <w:r>
              <w:rPr>
                <w:sz w:val="19"/>
                <w:szCs w:val="19"/>
              </w:rPr>
              <w:t xml:space="preserve">3.56%</w:t>
            </w:r>
          </w:p>
        </w:tc>
      </w:tr>
    </w:tbl>
    <w:p>
      <w:pPr>
        <w:spacing w:after="160"/>
      </w:pPr>
    </w:p>
    <w:p>
      <w:pPr>
        <w:spacing w:after="80" w:before="180"/>
      </w:pPr>
      <w:r>
        <w:rPr>
          <w:b/>
          <w:bCs/>
          <w:color w:val="1F3864"/>
          <w:sz w:val="22"/>
          <w:szCs w:val="22"/>
        </w:rPr>
        <w:t xml:space="preserve">5.2.1 Interpretation</w:t>
      </w:r>
    </w:p>
    <w:p>
      <w:pPr>
        <w:spacing w:after="100"/>
      </w:pPr>
      <w:r>
        <w:rPr>
          <w:b/>
          <w:bCs/>
          <w:color w:val="1F3864"/>
          <w:sz w:val="21"/>
          <w:szCs w:val="21"/>
        </w:rPr>
        <w:t xml:space="preserve">Revenue leader vs. demand leader diverge: </w:t>
      </w:r>
      <w:r>
        <w:rPr>
          <w:sz w:val="21"/>
          <w:szCs w:val="21"/>
        </w:rPr>
        <w:t xml:space="preserve">health_beauty leads by revenue, but bed_bath_table leads by order count (9,272 orders) despite ranking third in revenue — confirming that a single ranking dimension would misrepresent category performance.</w:t>
      </w:r>
    </w:p>
    <w:p>
      <w:pPr>
        <w:spacing w:after="100"/>
      </w:pPr>
      <w:r>
        <w:rPr>
          <w:b/>
          <w:bCs/>
          <w:color w:val="1F3864"/>
          <w:sz w:val="21"/>
          <w:szCs w:val="21"/>
        </w:rPr>
        <w:t xml:space="preserve">AOV leader is a distinct category entirely: </w:t>
      </w:r>
      <w:r>
        <w:rPr>
          <w:sz w:val="21"/>
          <w:szCs w:val="21"/>
        </w:rPr>
        <w:t xml:space="preserve">computers leads all categories in AOV (1,235.50 BRL) on only 177 orders — a high-value, low-frequency category that would not appear near the top of either the revenue or order-volume ranking.</w:t>
      </w:r>
    </w:p>
    <w:p>
      <w:pPr>
        <w:spacing w:after="100"/>
      </w:pPr>
      <w:r>
        <w:rPr>
          <w:b/>
          <w:bCs/>
          <w:color w:val="1F3864"/>
          <w:sz w:val="21"/>
          <w:szCs w:val="21"/>
        </w:rPr>
        <w:t xml:space="preserve">Revenue concentration: </w:t>
      </w:r>
      <w:r>
        <w:rPr>
          <w:sz w:val="21"/>
          <w:szCs w:val="21"/>
        </w:rPr>
        <w:t xml:space="preserve">The top 5 categories account for ~39.8% of category revenue; the top 10 account for ~62.4%. With 71 categories total, this indicates a genuinely diversified marketplace rather than dependence on one or two categories.</w:t>
      </w:r>
    </w:p>
    <w:p>
      <w:pPr>
        <w:spacing w:after="100"/>
      </w:pPr>
      <w:r>
        <w:rPr>
          <w:b/>
          <w:bCs/>
          <w:color w:val="1F3864"/>
          <w:sz w:val="21"/>
          <w:szCs w:val="21"/>
        </w:rPr>
        <w:t xml:space="preserve">High-value / low-frequency cluster: </w:t>
      </w:r>
      <w:r>
        <w:rPr>
          <w:sz w:val="21"/>
          <w:szCs w:val="21"/>
        </w:rPr>
        <w:t xml:space="preserve">Categories including computers (1,235.50 AOV), small_appliances_home_oven_and_coffee (647.08 AOV), and agro_industry_and_commerce (398.68 AOV) represent considered, big-ticket purchase categories — a different strategic lever (margin per transaction) than volume-driven categories.</w:t>
      </w:r>
    </w:p>
    <w:p>
      <w:pPr>
        <w:spacing w:after="100"/>
      </w:pPr>
      <w:r>
        <w:rPr>
          <w:b/>
          <w:bCs/>
          <w:color w:val="1F3864"/>
          <w:sz w:val="21"/>
          <w:szCs w:val="21"/>
        </w:rPr>
        <w:t xml:space="preserve">Data completeness caveat: </w:t>
      </w:r>
      <w:r>
        <w:rPr>
          <w:sz w:val="21"/>
          <w:szCs w:val="21"/>
        </w:rPr>
        <w:t xml:space="preserve">The 'Uncategorized' bucket (1,412 orders, 1.33% of revenue, from 610 products with missing category data) should be footnoted on any category ranking visualization.</w:t>
      </w:r>
    </w:p>
    <w:p>
      <w:pPr>
        <w:pStyle w:val="Heading2"/>
        <w:spacing w:after="100" w:before="240"/>
      </w:pPr>
      <w:r>
        <w:t xml:space="preserve">5.3 Bottom Categories (≥100 orders threshold)</w:t>
      </w:r>
    </w:p>
    <w:p>
      <w:pPr>
        <w:spacing w:after="120"/>
        <w:jc w:val="left"/>
      </w:pPr>
      <w:r>
        <w:rPr>
          <w:b w:val="false"/>
          <w:bCs w:val="false"/>
          <w:i w:val="false"/>
          <w:iCs w:val="false"/>
          <w:sz w:val="21"/>
          <w:szCs w:val="21"/>
        </w:rPr>
        <w:t xml:space="preserve">A minimum threshold of 100 orders was applied before identifying "bottom performing" categories, since categories with very low order counts (e.g., 2–38 orders) produce statistically meaningless rankings rather than genuine underperformance signals.</w:t>
      </w:r>
    </w:p>
    <w:p>
      <w:pPr>
        <w:spacing w:after="100"/>
      </w:pPr>
      <w:r>
        <w:rPr>
          <w:b/>
          <w:bCs/>
          <w:color w:val="1F3864"/>
          <w:sz w:val="21"/>
          <w:szCs w:val="21"/>
        </w:rPr>
        <w:t xml:space="preserve">Finding: </w:t>
      </w:r>
      <w:r>
        <w:rPr>
          <w:sz w:val="21"/>
          <w:szCs w:val="21"/>
        </w:rPr>
        <w:t xml:space="preserve">Among categories with meaningful volume, telephony (4,093 orders, 75.70 AOV) and electronics (2,517 orders, 61.60 AOV) stand out as high-demand categories converting to disproportionately low revenue per order — roughly half the average AOV (~129.22) of comparable top-15-volume categories. This is a distinct pattern from simple low-revenue categories, which are explained by low order volume rather than genuine underperformance.</w:t>
      </w:r>
    </w:p>
    <w:p>
      <w:pPr>
        <w:pStyle w:val="Heading2"/>
        <w:spacing w:after="100" w:before="240"/>
      </w:pPr>
      <w:r>
        <w:t xml:space="preserve">5.4 Category Growth (Jan–Aug 2017 vs. Jan–Aug 2018)</w:t>
      </w:r>
    </w:p>
    <w:p>
      <w:pPr>
        <w:spacing w:after="120"/>
        <w:jc w:val="left"/>
      </w:pPr>
      <w:r>
        <w:rPr>
          <w:b w:val="false"/>
          <w:bCs w:val="false"/>
          <w:i w:val="false"/>
          <w:iCs w:val="false"/>
          <w:sz w:val="21"/>
          <w:szCs w:val="21"/>
        </w:rPr>
        <w:t xml:space="preserve">Growth was measured using two equal-length, calendar-aligned 8-month windows (Jan–Aug of each year) to avoid both the 2016 pilot-period base effect and the partial-year distortion identified in the yearly rollup. Only categories with a 2017 base of ≥100 orders were considered for growth-ranking, to avoid small-sample noise (e.g., a 2-to-69-order swing showing as a &gt;48,000% "growth" figure with no business meaning).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3864" w:val="clear"/>
            <w:tcMar>
              <w:top w:type="dxa" w:w="60"/>
              <w:left w:type="dxa" w:w="100"/>
              <w:bottom w:type="dxa" w:w="60"/>
              <w:right w:type="dxa" w:w="100"/>
            </w:tcMar>
          </w:tcPr>
          <w:p>
            <w:r>
              <w:rPr>
                <w:b/>
                <w:bCs/>
                <w:color w:val="FFFFFF"/>
                <w:sz w:val="19"/>
                <w:szCs w:val="19"/>
              </w:rPr>
              <w:t xml:space="preserve">Category</w:t>
            </w:r>
          </w:p>
        </w:tc>
        <w:tc>
          <w:tcPr>
            <w:tcW w:type="dxa" w:w="2520"/>
            <w:shd w:fill="1F3864" w:val="clear"/>
            <w:tcMar>
              <w:top w:type="dxa" w:w="60"/>
              <w:left w:type="dxa" w:w="100"/>
              <w:bottom w:type="dxa" w:w="60"/>
              <w:right w:type="dxa" w:w="100"/>
            </w:tcMar>
          </w:tcPr>
          <w:p>
            <w:r>
              <w:rPr>
                <w:b/>
                <w:bCs/>
                <w:color w:val="FFFFFF"/>
                <w:sz w:val="19"/>
                <w:szCs w:val="19"/>
              </w:rPr>
              <w:t xml:space="preserve">2017 Orders</w:t>
            </w:r>
          </w:p>
        </w:tc>
        <w:tc>
          <w:tcPr>
            <w:tcW w:type="dxa" w:w="2520"/>
            <w:shd w:fill="1F3864" w:val="clear"/>
            <w:tcMar>
              <w:top w:type="dxa" w:w="60"/>
              <w:left w:type="dxa" w:w="100"/>
              <w:bottom w:type="dxa" w:w="60"/>
              <w:right w:type="dxa" w:w="100"/>
            </w:tcMar>
          </w:tcPr>
          <w:p>
            <w:r>
              <w:rPr>
                <w:b/>
                <w:bCs/>
                <w:color w:val="FFFFFF"/>
                <w:sz w:val="19"/>
                <w:szCs w:val="19"/>
              </w:rPr>
              <w:t xml:space="preserve">2018 Orders</w:t>
            </w:r>
          </w:p>
        </w:tc>
        <w:tc>
          <w:tcPr>
            <w:tcW w:type="dxa" w:w="2520"/>
            <w:shd w:fill="1F3864" w:val="clear"/>
            <w:tcMar>
              <w:top w:type="dxa" w:w="60"/>
              <w:left w:type="dxa" w:w="100"/>
              <w:bottom w:type="dxa" w:w="60"/>
              <w:right w:type="dxa" w:w="100"/>
            </w:tcMar>
          </w:tcPr>
          <w:p>
            <w:r>
              <w:rPr>
                <w:b/>
                <w:bCs/>
                <w:color w:val="FFFFFF"/>
                <w:sz w:val="19"/>
                <w:szCs w:val="19"/>
              </w:rPr>
              <w:t xml:space="preserve">Revenue Growth</w:t>
            </w:r>
          </w:p>
        </w:tc>
      </w:tr>
      <w:tr>
        <w:tc>
          <w:tcPr>
            <w:tcW w:type="dxa" w:w="2520"/>
            <w:shd w:fill="FFFFFF" w:val="clear"/>
            <w:tcMar>
              <w:top w:type="dxa" w:w="50"/>
              <w:left w:type="dxa" w:w="100"/>
              <w:bottom w:type="dxa" w:w="50"/>
              <w:right w:type="dxa" w:w="100"/>
            </w:tcMar>
          </w:tcPr>
          <w:p>
            <w:r>
              <w:rPr>
                <w:sz w:val="19"/>
                <w:szCs w:val="19"/>
              </w:rPr>
              <w:t xml:space="preserve">baby</w:t>
            </w:r>
          </w:p>
        </w:tc>
        <w:tc>
          <w:tcPr>
            <w:tcW w:type="dxa" w:w="2520"/>
            <w:shd w:fill="FFFFFF" w:val="clear"/>
            <w:tcMar>
              <w:top w:type="dxa" w:w="50"/>
              <w:left w:type="dxa" w:w="100"/>
              <w:bottom w:type="dxa" w:w="50"/>
              <w:right w:type="dxa" w:w="100"/>
            </w:tcMar>
          </w:tcPr>
          <w:p>
            <w:r>
              <w:rPr>
                <w:sz w:val="19"/>
                <w:szCs w:val="19"/>
              </w:rPr>
              <w:t xml:space="preserve">559</w:t>
            </w:r>
          </w:p>
        </w:tc>
        <w:tc>
          <w:tcPr>
            <w:tcW w:type="dxa" w:w="2520"/>
            <w:shd w:fill="FFFFFF" w:val="clear"/>
            <w:tcMar>
              <w:top w:type="dxa" w:w="50"/>
              <w:left w:type="dxa" w:w="100"/>
              <w:bottom w:type="dxa" w:w="50"/>
              <w:right w:type="dxa" w:w="100"/>
            </w:tcMar>
          </w:tcPr>
          <w:p>
            <w:r>
              <w:rPr>
                <w:sz w:val="19"/>
                <w:szCs w:val="19"/>
              </w:rPr>
              <w:t xml:space="preserve">1,627</w:t>
            </w:r>
          </w:p>
        </w:tc>
        <w:tc>
          <w:tcPr>
            <w:tcW w:type="dxa" w:w="2520"/>
            <w:shd w:fill="FFFFFF" w:val="clear"/>
            <w:tcMar>
              <w:top w:type="dxa" w:w="50"/>
              <w:left w:type="dxa" w:w="100"/>
              <w:bottom w:type="dxa" w:w="50"/>
              <w:right w:type="dxa" w:w="100"/>
            </w:tcMar>
          </w:tcPr>
          <w:p>
            <w:r>
              <w:rPr>
                <w:sz w:val="19"/>
                <w:szCs w:val="19"/>
              </w:rPr>
              <w:t xml:space="preserve">+268.6%</w:t>
            </w:r>
          </w:p>
        </w:tc>
      </w:tr>
      <w:tr>
        <w:tc>
          <w:tcPr>
            <w:tcW w:type="dxa" w:w="2520"/>
            <w:shd w:fill="F2F2F2" w:val="clear"/>
            <w:tcMar>
              <w:top w:type="dxa" w:w="50"/>
              <w:left w:type="dxa" w:w="100"/>
              <w:bottom w:type="dxa" w:w="50"/>
              <w:right w:type="dxa" w:w="100"/>
            </w:tcMar>
          </w:tcPr>
          <w:p>
            <w:r>
              <w:rPr>
                <w:sz w:val="19"/>
                <w:szCs w:val="19"/>
              </w:rPr>
              <w:t xml:space="preserve">stationery</w:t>
            </w:r>
          </w:p>
        </w:tc>
        <w:tc>
          <w:tcPr>
            <w:tcW w:type="dxa" w:w="2520"/>
            <w:shd w:fill="F2F2F2" w:val="clear"/>
            <w:tcMar>
              <w:top w:type="dxa" w:w="50"/>
              <w:left w:type="dxa" w:w="100"/>
              <w:bottom w:type="dxa" w:w="50"/>
              <w:right w:type="dxa" w:w="100"/>
            </w:tcMar>
          </w:tcPr>
          <w:p>
            <w:r>
              <w:rPr>
                <w:sz w:val="19"/>
                <w:szCs w:val="19"/>
              </w:rPr>
              <w:t xml:space="preserve">361</w:t>
            </w:r>
          </w:p>
        </w:tc>
        <w:tc>
          <w:tcPr>
            <w:tcW w:type="dxa" w:w="2520"/>
            <w:shd w:fill="F2F2F2" w:val="clear"/>
            <w:tcMar>
              <w:top w:type="dxa" w:w="50"/>
              <w:left w:type="dxa" w:w="100"/>
              <w:bottom w:type="dxa" w:w="50"/>
              <w:right w:type="dxa" w:w="100"/>
            </w:tcMar>
          </w:tcPr>
          <w:p>
            <w:r>
              <w:rPr>
                <w:sz w:val="19"/>
                <w:szCs w:val="19"/>
              </w:rPr>
              <w:t xml:space="preserve">1,367</w:t>
            </w:r>
          </w:p>
        </w:tc>
        <w:tc>
          <w:tcPr>
            <w:tcW w:type="dxa" w:w="2520"/>
            <w:shd w:fill="F2F2F2" w:val="clear"/>
            <w:tcMar>
              <w:top w:type="dxa" w:w="50"/>
              <w:left w:type="dxa" w:w="100"/>
              <w:bottom w:type="dxa" w:w="50"/>
              <w:right w:type="dxa" w:w="100"/>
            </w:tcMar>
          </w:tcPr>
          <w:p>
            <w:r>
              <w:rPr>
                <w:sz w:val="19"/>
                <w:szCs w:val="19"/>
              </w:rPr>
              <w:t xml:space="preserve">+260.3%</w:t>
            </w:r>
          </w:p>
        </w:tc>
      </w:tr>
      <w:tr>
        <w:tc>
          <w:tcPr>
            <w:tcW w:type="dxa" w:w="2520"/>
            <w:shd w:fill="FFFFFF" w:val="clear"/>
            <w:tcMar>
              <w:top w:type="dxa" w:w="50"/>
              <w:left w:type="dxa" w:w="100"/>
              <w:bottom w:type="dxa" w:w="50"/>
              <w:right w:type="dxa" w:w="100"/>
            </w:tcMar>
          </w:tcPr>
          <w:p>
            <w:r>
              <w:rPr>
                <w:sz w:val="19"/>
                <w:szCs w:val="19"/>
              </w:rPr>
              <w:t xml:space="preserve">electronics</w:t>
            </w:r>
          </w:p>
        </w:tc>
        <w:tc>
          <w:tcPr>
            <w:tcW w:type="dxa" w:w="2520"/>
            <w:shd w:fill="FFFFFF" w:val="clear"/>
            <w:tcMar>
              <w:top w:type="dxa" w:w="50"/>
              <w:left w:type="dxa" w:w="100"/>
              <w:bottom w:type="dxa" w:w="50"/>
              <w:right w:type="dxa" w:w="100"/>
            </w:tcMar>
          </w:tcPr>
          <w:p>
            <w:r>
              <w:rPr>
                <w:sz w:val="19"/>
                <w:szCs w:val="19"/>
              </w:rPr>
              <w:t xml:space="preserve">338</w:t>
            </w:r>
          </w:p>
        </w:tc>
        <w:tc>
          <w:tcPr>
            <w:tcW w:type="dxa" w:w="2520"/>
            <w:shd w:fill="FFFFFF" w:val="clear"/>
            <w:tcMar>
              <w:top w:type="dxa" w:w="50"/>
              <w:left w:type="dxa" w:w="100"/>
              <w:bottom w:type="dxa" w:w="50"/>
              <w:right w:type="dxa" w:w="100"/>
            </w:tcMar>
          </w:tcPr>
          <w:p>
            <w:r>
              <w:rPr>
                <w:sz w:val="19"/>
                <w:szCs w:val="19"/>
              </w:rPr>
              <w:t xml:space="preserve">1,706</w:t>
            </w:r>
          </w:p>
        </w:tc>
        <w:tc>
          <w:tcPr>
            <w:tcW w:type="dxa" w:w="2520"/>
            <w:shd w:fill="FFFFFF" w:val="clear"/>
            <w:tcMar>
              <w:top w:type="dxa" w:w="50"/>
              <w:left w:type="dxa" w:w="100"/>
              <w:bottom w:type="dxa" w:w="50"/>
              <w:right w:type="dxa" w:w="100"/>
            </w:tcMar>
          </w:tcPr>
          <w:p>
            <w:r>
              <w:rPr>
                <w:sz w:val="19"/>
                <w:szCs w:val="19"/>
              </w:rPr>
              <w:t xml:space="preserve">+244.2%</w:t>
            </w:r>
          </w:p>
        </w:tc>
      </w:tr>
      <w:tr>
        <w:tc>
          <w:tcPr>
            <w:tcW w:type="dxa" w:w="2520"/>
            <w:shd w:fill="F2F2F2" w:val="clear"/>
            <w:tcMar>
              <w:top w:type="dxa" w:w="50"/>
              <w:left w:type="dxa" w:w="100"/>
              <w:bottom w:type="dxa" w:w="50"/>
              <w:right w:type="dxa" w:w="100"/>
            </w:tcMar>
          </w:tcPr>
          <w:p>
            <w:r>
              <w:rPr>
                <w:sz w:val="19"/>
                <w:szCs w:val="19"/>
              </w:rPr>
              <w:t xml:space="preserve">watches_gifts</w:t>
            </w:r>
          </w:p>
        </w:tc>
        <w:tc>
          <w:tcPr>
            <w:tcW w:type="dxa" w:w="2520"/>
            <w:shd w:fill="F2F2F2" w:val="clear"/>
            <w:tcMar>
              <w:top w:type="dxa" w:w="50"/>
              <w:left w:type="dxa" w:w="100"/>
              <w:bottom w:type="dxa" w:w="50"/>
              <w:right w:type="dxa" w:w="100"/>
            </w:tcMar>
          </w:tcPr>
          <w:p>
            <w:r>
              <w:rPr>
                <w:sz w:val="19"/>
                <w:szCs w:val="19"/>
              </w:rPr>
              <w:t xml:space="preserve">783</w:t>
            </w:r>
          </w:p>
        </w:tc>
        <w:tc>
          <w:tcPr>
            <w:tcW w:type="dxa" w:w="2520"/>
            <w:shd w:fill="F2F2F2" w:val="clear"/>
            <w:tcMar>
              <w:top w:type="dxa" w:w="50"/>
              <w:left w:type="dxa" w:w="100"/>
              <w:bottom w:type="dxa" w:w="50"/>
              <w:right w:type="dxa" w:w="100"/>
            </w:tcMar>
          </w:tcPr>
          <w:p>
            <w:r>
              <w:rPr>
                <w:sz w:val="19"/>
                <w:szCs w:val="19"/>
              </w:rPr>
              <w:t xml:space="preserve">3,418</w:t>
            </w:r>
          </w:p>
        </w:tc>
        <w:tc>
          <w:tcPr>
            <w:tcW w:type="dxa" w:w="2520"/>
            <w:shd w:fill="F2F2F2" w:val="clear"/>
            <w:tcMar>
              <w:top w:type="dxa" w:w="50"/>
              <w:left w:type="dxa" w:w="100"/>
              <w:bottom w:type="dxa" w:w="50"/>
              <w:right w:type="dxa" w:w="100"/>
            </w:tcMar>
          </w:tcPr>
          <w:p>
            <w:r>
              <w:rPr>
                <w:sz w:val="19"/>
                <w:szCs w:val="19"/>
              </w:rPr>
              <w:t xml:space="preserve">+242.0%</w:t>
            </w:r>
          </w:p>
        </w:tc>
      </w:tr>
      <w:tr>
        <w:tc>
          <w:tcPr>
            <w:tcW w:type="dxa" w:w="2520"/>
            <w:shd w:fill="FFFFFF" w:val="clear"/>
            <w:tcMar>
              <w:top w:type="dxa" w:w="50"/>
              <w:left w:type="dxa" w:w="100"/>
              <w:bottom w:type="dxa" w:w="50"/>
              <w:right w:type="dxa" w:w="100"/>
            </w:tcMar>
          </w:tcPr>
          <w:p>
            <w:r>
              <w:rPr>
                <w:sz w:val="19"/>
                <w:szCs w:val="19"/>
              </w:rPr>
              <w:t xml:space="preserve">health_beauty</w:t>
            </w:r>
          </w:p>
        </w:tc>
        <w:tc>
          <w:tcPr>
            <w:tcW w:type="dxa" w:w="2520"/>
            <w:shd w:fill="FFFFFF" w:val="clear"/>
            <w:tcMar>
              <w:top w:type="dxa" w:w="50"/>
              <w:left w:type="dxa" w:w="100"/>
              <w:bottom w:type="dxa" w:w="50"/>
              <w:right w:type="dxa" w:w="100"/>
            </w:tcMar>
          </w:tcPr>
          <w:p>
            <w:r>
              <w:rPr>
                <w:sz w:val="19"/>
                <w:szCs w:val="19"/>
              </w:rPr>
              <w:t xml:space="preserve">1,682</w:t>
            </w:r>
          </w:p>
        </w:tc>
        <w:tc>
          <w:tcPr>
            <w:tcW w:type="dxa" w:w="2520"/>
            <w:shd w:fill="FFFFFF" w:val="clear"/>
            <w:tcMar>
              <w:top w:type="dxa" w:w="50"/>
              <w:left w:type="dxa" w:w="100"/>
              <w:bottom w:type="dxa" w:w="50"/>
              <w:right w:type="dxa" w:w="100"/>
            </w:tcMar>
          </w:tcPr>
          <w:p>
            <w:r>
              <w:rPr>
                <w:sz w:val="19"/>
                <w:szCs w:val="19"/>
              </w:rPr>
              <w:t xml:space="preserve">5,305</w:t>
            </w:r>
          </w:p>
        </w:tc>
        <w:tc>
          <w:tcPr>
            <w:tcW w:type="dxa" w:w="2520"/>
            <w:shd w:fill="FFFFFF" w:val="clear"/>
            <w:tcMar>
              <w:top w:type="dxa" w:w="50"/>
              <w:left w:type="dxa" w:w="100"/>
              <w:bottom w:type="dxa" w:w="50"/>
              <w:right w:type="dxa" w:w="100"/>
            </w:tcMar>
          </w:tcPr>
          <w:p>
            <w:r>
              <w:rPr>
                <w:sz w:val="19"/>
                <w:szCs w:val="19"/>
              </w:rPr>
              <w:t xml:space="preserve">+210.3%</w:t>
            </w:r>
          </w:p>
        </w:tc>
      </w:tr>
      <w:tr>
        <w:tc>
          <w:tcPr>
            <w:tcW w:type="dxa" w:w="2520"/>
            <w:shd w:fill="F2F2F2" w:val="clear"/>
            <w:tcMar>
              <w:top w:type="dxa" w:w="50"/>
              <w:left w:type="dxa" w:w="100"/>
              <w:bottom w:type="dxa" w:w="50"/>
              <w:right w:type="dxa" w:w="100"/>
            </w:tcMar>
          </w:tcPr>
          <w:p>
            <w:r>
              <w:rPr>
                <w:sz w:val="19"/>
                <w:szCs w:val="19"/>
              </w:rPr>
              <w:t xml:space="preserve">housewares</w:t>
            </w:r>
          </w:p>
        </w:tc>
        <w:tc>
          <w:tcPr>
            <w:tcW w:type="dxa" w:w="2520"/>
            <w:shd w:fill="F2F2F2" w:val="clear"/>
            <w:tcMar>
              <w:top w:type="dxa" w:w="50"/>
              <w:left w:type="dxa" w:w="100"/>
              <w:bottom w:type="dxa" w:w="50"/>
              <w:right w:type="dxa" w:w="100"/>
            </w:tcMar>
          </w:tcPr>
          <w:p>
            <w:r>
              <w:rPr>
                <w:sz w:val="19"/>
                <w:szCs w:val="19"/>
              </w:rPr>
              <w:t xml:space="preserve">1,390</w:t>
            </w:r>
          </w:p>
        </w:tc>
        <w:tc>
          <w:tcPr>
            <w:tcW w:type="dxa" w:w="2520"/>
            <w:shd w:fill="F2F2F2" w:val="clear"/>
            <w:tcMar>
              <w:top w:type="dxa" w:w="50"/>
              <w:left w:type="dxa" w:w="100"/>
              <w:bottom w:type="dxa" w:w="50"/>
              <w:right w:type="dxa" w:w="100"/>
            </w:tcMar>
          </w:tcPr>
          <w:p>
            <w:r>
              <w:rPr>
                <w:sz w:val="19"/>
                <w:szCs w:val="19"/>
              </w:rPr>
              <w:t xml:space="preserve">3,351</w:t>
            </w:r>
          </w:p>
        </w:tc>
        <w:tc>
          <w:tcPr>
            <w:tcW w:type="dxa" w:w="2520"/>
            <w:shd w:fill="F2F2F2" w:val="clear"/>
            <w:tcMar>
              <w:top w:type="dxa" w:w="50"/>
              <w:left w:type="dxa" w:w="100"/>
              <w:bottom w:type="dxa" w:w="50"/>
              <w:right w:type="dxa" w:w="100"/>
            </w:tcMar>
          </w:tcPr>
          <w:p>
            <w:r>
              <w:rPr>
                <w:sz w:val="19"/>
                <w:szCs w:val="19"/>
              </w:rPr>
              <w:t xml:space="preserve">+207.2%</w:t>
            </w:r>
          </w:p>
        </w:tc>
      </w:tr>
      <w:tr>
        <w:tc>
          <w:tcPr>
            <w:tcW w:type="dxa" w:w="2520"/>
            <w:shd w:fill="FFFFFF" w:val="clear"/>
            <w:tcMar>
              <w:top w:type="dxa" w:w="50"/>
              <w:left w:type="dxa" w:w="100"/>
              <w:bottom w:type="dxa" w:w="50"/>
              <w:right w:type="dxa" w:w="100"/>
            </w:tcMar>
          </w:tcPr>
          <w:p>
            <w:r>
              <w:rPr>
                <w:sz w:val="19"/>
                <w:szCs w:val="19"/>
              </w:rPr>
              <w:t xml:space="preserve">telephony</w:t>
            </w:r>
          </w:p>
        </w:tc>
        <w:tc>
          <w:tcPr>
            <w:tcW w:type="dxa" w:w="2520"/>
            <w:shd w:fill="FFFFFF" w:val="clear"/>
            <w:tcMar>
              <w:top w:type="dxa" w:w="50"/>
              <w:left w:type="dxa" w:w="100"/>
              <w:bottom w:type="dxa" w:w="50"/>
              <w:right w:type="dxa" w:w="100"/>
            </w:tcMar>
          </w:tcPr>
          <w:p>
            <w:r>
              <w:rPr>
                <w:sz w:val="19"/>
                <w:szCs w:val="19"/>
              </w:rPr>
              <w:t xml:space="preserve">1,009</w:t>
            </w:r>
          </w:p>
        </w:tc>
        <w:tc>
          <w:tcPr>
            <w:tcW w:type="dxa" w:w="2520"/>
            <w:shd w:fill="FFFFFF" w:val="clear"/>
            <w:tcMar>
              <w:top w:type="dxa" w:w="50"/>
              <w:left w:type="dxa" w:w="100"/>
              <w:bottom w:type="dxa" w:w="50"/>
              <w:right w:type="dxa" w:w="100"/>
            </w:tcMar>
          </w:tcPr>
          <w:p>
            <w:r>
              <w:rPr>
                <w:sz w:val="19"/>
                <w:szCs w:val="19"/>
              </w:rPr>
              <w:t xml:space="preserve">2,117</w:t>
            </w:r>
          </w:p>
        </w:tc>
        <w:tc>
          <w:tcPr>
            <w:tcW w:type="dxa" w:w="2520"/>
            <w:shd w:fill="FFFFFF" w:val="clear"/>
            <w:tcMar>
              <w:top w:type="dxa" w:w="50"/>
              <w:left w:type="dxa" w:w="100"/>
              <w:bottom w:type="dxa" w:w="50"/>
              <w:right w:type="dxa" w:w="100"/>
            </w:tcMar>
          </w:tcPr>
          <w:p>
            <w:r>
              <w:rPr>
                <w:sz w:val="19"/>
                <w:szCs w:val="19"/>
              </w:rPr>
              <w:t xml:space="preserve">+203.0%</w:t>
            </w:r>
          </w:p>
        </w:tc>
      </w:tr>
      <w:tr>
        <w:tc>
          <w:tcPr>
            <w:tcW w:type="dxa" w:w="2520"/>
            <w:shd w:fill="F2F2F2" w:val="clear"/>
            <w:tcMar>
              <w:top w:type="dxa" w:w="50"/>
              <w:left w:type="dxa" w:w="100"/>
              <w:bottom w:type="dxa" w:w="50"/>
              <w:right w:type="dxa" w:w="100"/>
            </w:tcMar>
          </w:tcPr>
          <w:p>
            <w:r>
              <w:rPr>
                <w:sz w:val="19"/>
                <w:szCs w:val="19"/>
              </w:rPr>
              <w:t xml:space="preserve">bed_bath_table</w:t>
            </w:r>
          </w:p>
        </w:tc>
        <w:tc>
          <w:tcPr>
            <w:tcW w:type="dxa" w:w="2520"/>
            <w:shd w:fill="F2F2F2" w:val="clear"/>
            <w:tcMar>
              <w:top w:type="dxa" w:w="50"/>
              <w:left w:type="dxa" w:w="100"/>
              <w:bottom w:type="dxa" w:w="50"/>
              <w:right w:type="dxa" w:w="100"/>
            </w:tcMar>
          </w:tcPr>
          <w:p>
            <w:r>
              <w:rPr>
                <w:sz w:val="19"/>
                <w:szCs w:val="19"/>
              </w:rPr>
              <w:t xml:space="preserve">2,245</w:t>
            </w:r>
          </w:p>
        </w:tc>
        <w:tc>
          <w:tcPr>
            <w:tcW w:type="dxa" w:w="2520"/>
            <w:shd w:fill="F2F2F2" w:val="clear"/>
            <w:tcMar>
              <w:top w:type="dxa" w:w="50"/>
              <w:left w:type="dxa" w:w="100"/>
              <w:bottom w:type="dxa" w:w="50"/>
              <w:right w:type="dxa" w:w="100"/>
            </w:tcMar>
          </w:tcPr>
          <w:p>
            <w:r>
              <w:rPr>
                <w:sz w:val="19"/>
                <w:szCs w:val="19"/>
              </w:rPr>
              <w:t xml:space="preserve">4,844</w:t>
            </w:r>
          </w:p>
        </w:tc>
        <w:tc>
          <w:tcPr>
            <w:tcW w:type="dxa" w:w="2520"/>
            <w:shd w:fill="F2F2F2" w:val="clear"/>
            <w:tcMar>
              <w:top w:type="dxa" w:w="50"/>
              <w:left w:type="dxa" w:w="100"/>
              <w:bottom w:type="dxa" w:w="50"/>
              <w:right w:type="dxa" w:w="100"/>
            </w:tcMar>
          </w:tcPr>
          <w:p>
            <w:r>
              <w:rPr>
                <w:sz w:val="19"/>
                <w:szCs w:val="19"/>
              </w:rPr>
              <w:t xml:space="preserve">+109.2%</w:t>
            </w:r>
          </w:p>
        </w:tc>
      </w:tr>
      <w:tr>
        <w:tc>
          <w:tcPr>
            <w:tcW w:type="dxa" w:w="2520"/>
            <w:shd w:fill="FFFFFF" w:val="clear"/>
            <w:tcMar>
              <w:top w:type="dxa" w:w="50"/>
              <w:left w:type="dxa" w:w="100"/>
              <w:bottom w:type="dxa" w:w="50"/>
              <w:right w:type="dxa" w:w="100"/>
            </w:tcMar>
          </w:tcPr>
          <w:p>
            <w:r>
              <w:rPr>
                <w:sz w:val="19"/>
                <w:szCs w:val="19"/>
              </w:rPr>
              <w:t xml:space="preserve">market_place</w:t>
            </w:r>
          </w:p>
        </w:tc>
        <w:tc>
          <w:tcPr>
            <w:tcW w:type="dxa" w:w="2520"/>
            <w:shd w:fill="FFFFFF" w:val="clear"/>
            <w:tcMar>
              <w:top w:type="dxa" w:w="50"/>
              <w:left w:type="dxa" w:w="100"/>
              <w:bottom w:type="dxa" w:w="50"/>
              <w:right w:type="dxa" w:w="100"/>
            </w:tcMar>
          </w:tcPr>
          <w:p>
            <w:r>
              <w:rPr>
                <w:sz w:val="19"/>
                <w:szCs w:val="19"/>
              </w:rPr>
              <w:t xml:space="preserve">129</w:t>
            </w:r>
          </w:p>
        </w:tc>
        <w:tc>
          <w:tcPr>
            <w:tcW w:type="dxa" w:w="2520"/>
            <w:shd w:fill="FFFFFF" w:val="clear"/>
            <w:tcMar>
              <w:top w:type="dxa" w:w="50"/>
              <w:left w:type="dxa" w:w="100"/>
              <w:bottom w:type="dxa" w:w="50"/>
              <w:right w:type="dxa" w:w="100"/>
            </w:tcMar>
          </w:tcPr>
          <w:p>
            <w:r>
              <w:rPr>
                <w:sz w:val="19"/>
                <w:szCs w:val="19"/>
              </w:rPr>
              <w:t xml:space="preserve">95</w:t>
            </w:r>
          </w:p>
        </w:tc>
        <w:tc>
          <w:tcPr>
            <w:tcW w:type="dxa" w:w="2520"/>
            <w:shd w:fill="FFFFFF" w:val="clear"/>
            <w:tcMar>
              <w:top w:type="dxa" w:w="50"/>
              <w:left w:type="dxa" w:w="100"/>
              <w:bottom w:type="dxa" w:w="50"/>
              <w:right w:type="dxa" w:w="100"/>
            </w:tcMar>
          </w:tcPr>
          <w:p>
            <w:r>
              <w:rPr>
                <w:sz w:val="19"/>
                <w:szCs w:val="19"/>
              </w:rPr>
              <w:t xml:space="preserve">-49.9%</w:t>
            </w:r>
          </w:p>
        </w:tc>
      </w:tr>
    </w:tbl>
    <w:p>
      <w:pPr>
        <w:spacing w:after="160"/>
      </w:pPr>
    </w:p>
    <w:p>
      <w:pPr>
        <w:spacing w:after="80" w:before="180"/>
      </w:pPr>
      <w:r>
        <w:rPr>
          <w:b/>
          <w:bCs/>
          <w:color w:val="1F3864"/>
          <w:sz w:val="22"/>
          <w:szCs w:val="22"/>
        </w:rPr>
        <w:t xml:space="preserve">5.4.1 Interpretation</w:t>
      </w:r>
    </w:p>
    <w:p>
      <w:pPr>
        <w:spacing w:after="100"/>
      </w:pPr>
      <w:r>
        <w:rPr>
          <w:b/>
          <w:bCs/>
          <w:color w:val="1F3864"/>
          <w:sz w:val="21"/>
          <w:szCs w:val="21"/>
        </w:rPr>
        <w:t xml:space="preserve">Most important finding of this KPI area: </w:t>
      </w:r>
      <w:r>
        <w:rPr>
          <w:sz w:val="21"/>
          <w:szCs w:val="21"/>
        </w:rPr>
        <w:t xml:space="preserve">electronics and telephony — already identified as high-volume, disproportionately low-AOV categories — are among the fastest-growing categories in the dataset (+244.2% and +203.0% respectively). This indicates the low-AOV pattern is scaling, not self-correcting, and will continue pulling blended AOV downward without a targeted intervention (bundling, upsell, premium tiers).</w:t>
      </w:r>
    </w:p>
    <w:p>
      <w:pPr>
        <w:spacing w:after="100"/>
      </w:pPr>
      <w:r>
        <w:rPr>
          <w:b/>
          <w:bCs/>
          <w:color w:val="1F3864"/>
          <w:sz w:val="21"/>
          <w:szCs w:val="21"/>
        </w:rPr>
        <w:t xml:space="preserve">Volume leader is also the slowest top-5 grower: </w:t>
      </w:r>
      <w:r>
        <w:rPr>
          <w:sz w:val="21"/>
          <w:szCs w:val="21"/>
        </w:rPr>
        <w:t xml:space="preserve">bed_bath_table, the highest order-volume category overall, shows the slowest growth (+109.2%) among the current top-5 revenue categories — consistent with the platform-wide growth deceleration noted in Objective 2, read here as maturing rather than underperforming.</w:t>
      </w:r>
    </w:p>
    <w:p>
      <w:pPr>
        <w:spacing w:after="100"/>
      </w:pPr>
      <w:r>
        <w:rPr>
          <w:b/>
          <w:bCs/>
          <w:color w:val="1F3864"/>
          <w:sz w:val="21"/>
          <w:szCs w:val="21"/>
        </w:rPr>
        <w:t xml:space="preserve">Genuine decline: </w:t>
      </w:r>
      <w:r>
        <w:rPr>
          <w:sz w:val="21"/>
          <w:szCs w:val="21"/>
        </w:rPr>
        <w:t xml:space="preserve">market_place is the one category showing a real, meaningful decline (129 → 95 orders, -49.9% revenue) rather than small-sample noise. This is flagged for business follow-up (e.g., deprioritization or an operational change) that cannot be resolved from transactional data alone.</w:t>
      </w:r>
    </w:p>
    <w:p>
      <w:pPr>
        <w:pBdr>
          <w:bottom w:val="single" w:color="AAAAAA" w:sz="6" w:space="1"/>
        </w:pBdr>
        <w:spacing w:after="200"/>
      </w:pPr>
    </w:p>
    <w:p>
      <w:pPr>
        <w:pStyle w:val="Heading1"/>
        <w:spacing w:after="140" w:before="320"/>
      </w:pPr>
      <w:r>
        <w:t xml:space="preserve">6. Objective 4 — Geographic Performance</w:t>
      </w:r>
    </w:p>
    <w:p>
      <w:pPr>
        <w:spacing w:after="120"/>
        <w:jc w:val="left"/>
      </w:pPr>
      <w:r>
        <w:rPr>
          <w:b w:val="false"/>
          <w:bCs w:val="false"/>
          <w:i w:val="false"/>
          <w:iCs w:val="false"/>
          <w:sz w:val="21"/>
          <w:szCs w:val="21"/>
        </w:rPr>
        <w:t xml:space="preserve">Business Question: Which regions (customer states) generate the highest sales and demand?</w:t>
      </w:r>
    </w:p>
    <w:p>
      <w:pPr>
        <w:spacing w:after="120"/>
        <w:jc w:val="left"/>
      </w:pPr>
      <w:r>
        <w:rPr>
          <w:b w:val="false"/>
          <w:bCs w:val="false"/>
          <w:i w:val="false"/>
          <w:iCs w:val="false"/>
          <w:sz w:val="21"/>
          <w:szCs w:val="21"/>
        </w:rPr>
        <w:t xml:space="preserve">Consistent with the Business Understanding assumption (§7), geographic analysis uses customer_state / customer_city (demand-side location) rather than seller/fulfillment location. Because fact_orders is order-grain and each order maps to exactly one customer state, payment_value reconciles exactly to the Total Revenue KPI at this grain — unlike the category-level analysis in Objective 3.</w:t>
      </w:r>
    </w:p>
    <w:p>
      <w:pPr>
        <w:pStyle w:val="Heading2"/>
        <w:spacing w:after="100" w:before="240"/>
      </w:pPr>
      <w:r>
        <w:t xml:space="preserve">6.1 Revenue and Orders by State (Top 10 of 27)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1F3864" w:val="clear"/>
            <w:tcMar>
              <w:top w:type="dxa" w:w="60"/>
              <w:left w:type="dxa" w:w="100"/>
              <w:bottom w:type="dxa" w:w="60"/>
              <w:right w:type="dxa" w:w="100"/>
            </w:tcMar>
          </w:tcPr>
          <w:p>
            <w:r>
              <w:rPr>
                <w:b/>
                <w:bCs/>
                <w:color w:val="FFFFFF"/>
                <w:sz w:val="19"/>
                <w:szCs w:val="19"/>
              </w:rPr>
              <w:t xml:space="preserve">State</w:t>
            </w:r>
          </w:p>
        </w:tc>
        <w:tc>
          <w:tcPr>
            <w:tcW w:type="dxa" w:w="1680"/>
            <w:shd w:fill="1F3864" w:val="clear"/>
            <w:tcMar>
              <w:top w:type="dxa" w:w="60"/>
              <w:left w:type="dxa" w:w="100"/>
              <w:bottom w:type="dxa" w:w="60"/>
              <w:right w:type="dxa" w:w="100"/>
            </w:tcMar>
          </w:tcPr>
          <w:p>
            <w:r>
              <w:rPr>
                <w:b/>
                <w:bCs/>
                <w:color w:val="FFFFFF"/>
                <w:sz w:val="19"/>
                <w:szCs w:val="19"/>
              </w:rPr>
              <w:t xml:space="preserve">Orders</w:t>
            </w:r>
          </w:p>
        </w:tc>
        <w:tc>
          <w:tcPr>
            <w:tcW w:type="dxa" w:w="1680"/>
            <w:shd w:fill="1F3864" w:val="clear"/>
            <w:tcMar>
              <w:top w:type="dxa" w:w="60"/>
              <w:left w:type="dxa" w:w="100"/>
              <w:bottom w:type="dxa" w:w="60"/>
              <w:right w:type="dxa" w:w="100"/>
            </w:tcMar>
          </w:tcPr>
          <w:p>
            <w:r>
              <w:rPr>
                <w:b/>
                <w:bCs/>
                <w:color w:val="FFFFFF"/>
                <w:sz w:val="19"/>
                <w:szCs w:val="19"/>
              </w:rPr>
              <w:t xml:space="preserve">Revenue (BRL)</w:t>
            </w:r>
          </w:p>
        </w:tc>
        <w:tc>
          <w:tcPr>
            <w:tcW w:type="dxa" w:w="1680"/>
            <w:shd w:fill="1F3864" w:val="clear"/>
            <w:tcMar>
              <w:top w:type="dxa" w:w="60"/>
              <w:left w:type="dxa" w:w="100"/>
              <w:bottom w:type="dxa" w:w="60"/>
              <w:right w:type="dxa" w:w="100"/>
            </w:tcMar>
          </w:tcPr>
          <w:p>
            <w:r>
              <w:rPr>
                <w:b/>
                <w:bCs/>
                <w:color w:val="FFFFFF"/>
                <w:sz w:val="19"/>
                <w:szCs w:val="19"/>
              </w:rPr>
              <w:t xml:space="preserve">AOV</w:t>
            </w:r>
          </w:p>
        </w:tc>
        <w:tc>
          <w:tcPr>
            <w:tcW w:type="dxa" w:w="1680"/>
            <w:shd w:fill="1F3864" w:val="clear"/>
            <w:tcMar>
              <w:top w:type="dxa" w:w="60"/>
              <w:left w:type="dxa" w:w="100"/>
              <w:bottom w:type="dxa" w:w="60"/>
              <w:right w:type="dxa" w:w="100"/>
            </w:tcMar>
          </w:tcPr>
          <w:p>
            <w:r>
              <w:rPr>
                <w:b/>
                <w:bCs/>
                <w:color w:val="FFFFFF"/>
                <w:sz w:val="19"/>
                <w:szCs w:val="19"/>
              </w:rPr>
              <w:t xml:space="preserve">% of Revenue</w:t>
            </w:r>
          </w:p>
        </w:tc>
        <w:tc>
          <w:tcPr>
            <w:tcW w:type="dxa" w:w="1680"/>
            <w:shd w:fill="1F3864" w:val="clear"/>
            <w:tcMar>
              <w:top w:type="dxa" w:w="60"/>
              <w:left w:type="dxa" w:w="100"/>
              <w:bottom w:type="dxa" w:w="60"/>
              <w:right w:type="dxa" w:w="100"/>
            </w:tcMar>
          </w:tcPr>
          <w:p>
            <w:r>
              <w:rPr>
                <w:b/>
                <w:bCs/>
                <w:color w:val="FFFFFF"/>
                <w:sz w:val="19"/>
                <w:szCs w:val="19"/>
              </w:rPr>
              <w:t xml:space="preserve">% of Orders</w:t>
            </w:r>
          </w:p>
        </w:tc>
      </w:tr>
      <w:tr>
        <w:tc>
          <w:tcPr>
            <w:tcW w:type="dxa" w:w="1680"/>
            <w:shd w:fill="FFFFFF" w:val="clear"/>
            <w:tcMar>
              <w:top w:type="dxa" w:w="50"/>
              <w:left w:type="dxa" w:w="100"/>
              <w:bottom w:type="dxa" w:w="50"/>
              <w:right w:type="dxa" w:w="100"/>
            </w:tcMar>
          </w:tcPr>
          <w:p>
            <w:r>
              <w:rPr>
                <w:sz w:val="19"/>
                <w:szCs w:val="19"/>
              </w:rPr>
              <w:t xml:space="preserve">SP</w:t>
            </w:r>
          </w:p>
        </w:tc>
        <w:tc>
          <w:tcPr>
            <w:tcW w:type="dxa" w:w="1680"/>
            <w:shd w:fill="FFFFFF" w:val="clear"/>
            <w:tcMar>
              <w:top w:type="dxa" w:w="50"/>
              <w:left w:type="dxa" w:w="100"/>
              <w:bottom w:type="dxa" w:w="50"/>
              <w:right w:type="dxa" w:w="100"/>
            </w:tcMar>
          </w:tcPr>
          <w:p>
            <w:r>
              <w:rPr>
                <w:sz w:val="19"/>
                <w:szCs w:val="19"/>
              </w:rPr>
              <w:t xml:space="preserve">40,501</w:t>
            </w:r>
          </w:p>
        </w:tc>
        <w:tc>
          <w:tcPr>
            <w:tcW w:type="dxa" w:w="1680"/>
            <w:shd w:fill="FFFFFF" w:val="clear"/>
            <w:tcMar>
              <w:top w:type="dxa" w:w="50"/>
              <w:left w:type="dxa" w:w="100"/>
              <w:bottom w:type="dxa" w:w="50"/>
              <w:right w:type="dxa" w:w="100"/>
            </w:tcMar>
          </w:tcPr>
          <w:p>
            <w:r>
              <w:rPr>
                <w:sz w:val="19"/>
                <w:szCs w:val="19"/>
              </w:rPr>
              <w:t xml:space="preserve">5,770,266.19</w:t>
            </w:r>
          </w:p>
        </w:tc>
        <w:tc>
          <w:tcPr>
            <w:tcW w:type="dxa" w:w="1680"/>
            <w:shd w:fill="FFFFFF" w:val="clear"/>
            <w:tcMar>
              <w:top w:type="dxa" w:w="50"/>
              <w:left w:type="dxa" w:w="100"/>
              <w:bottom w:type="dxa" w:w="50"/>
              <w:right w:type="dxa" w:w="100"/>
            </w:tcMar>
          </w:tcPr>
          <w:p>
            <w:r>
              <w:rPr>
                <w:sz w:val="19"/>
                <w:szCs w:val="19"/>
              </w:rPr>
              <w:t xml:space="preserve">142.47</w:t>
            </w:r>
          </w:p>
        </w:tc>
        <w:tc>
          <w:tcPr>
            <w:tcW w:type="dxa" w:w="1680"/>
            <w:shd w:fill="FFFFFF" w:val="clear"/>
            <w:tcMar>
              <w:top w:type="dxa" w:w="50"/>
              <w:left w:type="dxa" w:w="100"/>
              <w:bottom w:type="dxa" w:w="50"/>
              <w:right w:type="dxa" w:w="100"/>
            </w:tcMar>
          </w:tcPr>
          <w:p>
            <w:r>
              <w:rPr>
                <w:sz w:val="19"/>
                <w:szCs w:val="19"/>
              </w:rPr>
              <w:t xml:space="preserve">37.41%</w:t>
            </w:r>
          </w:p>
        </w:tc>
        <w:tc>
          <w:tcPr>
            <w:tcW w:type="dxa" w:w="1680"/>
            <w:shd w:fill="FFFFFF" w:val="clear"/>
            <w:tcMar>
              <w:top w:type="dxa" w:w="50"/>
              <w:left w:type="dxa" w:w="100"/>
              <w:bottom w:type="dxa" w:w="50"/>
              <w:right w:type="dxa" w:w="100"/>
            </w:tcMar>
          </w:tcPr>
          <w:p>
            <w:r>
              <w:rPr>
                <w:sz w:val="19"/>
                <w:szCs w:val="19"/>
              </w:rPr>
              <w:t xml:space="preserve">41.98%</w:t>
            </w:r>
          </w:p>
        </w:tc>
      </w:tr>
      <w:tr>
        <w:tc>
          <w:tcPr>
            <w:tcW w:type="dxa" w:w="1680"/>
            <w:shd w:fill="F2F2F2" w:val="clear"/>
            <w:tcMar>
              <w:top w:type="dxa" w:w="50"/>
              <w:left w:type="dxa" w:w="100"/>
              <w:bottom w:type="dxa" w:w="50"/>
              <w:right w:type="dxa" w:w="100"/>
            </w:tcMar>
          </w:tcPr>
          <w:p>
            <w:r>
              <w:rPr>
                <w:sz w:val="19"/>
                <w:szCs w:val="19"/>
              </w:rPr>
              <w:t xml:space="preserve">RJ</w:t>
            </w:r>
          </w:p>
        </w:tc>
        <w:tc>
          <w:tcPr>
            <w:tcW w:type="dxa" w:w="1680"/>
            <w:shd w:fill="F2F2F2" w:val="clear"/>
            <w:tcMar>
              <w:top w:type="dxa" w:w="50"/>
              <w:left w:type="dxa" w:w="100"/>
              <w:bottom w:type="dxa" w:w="50"/>
              <w:right w:type="dxa" w:w="100"/>
            </w:tcMar>
          </w:tcPr>
          <w:p>
            <w:r>
              <w:rPr>
                <w:sz w:val="19"/>
                <w:szCs w:val="19"/>
              </w:rPr>
              <w:t xml:space="preserve">12,350</w:t>
            </w:r>
          </w:p>
        </w:tc>
        <w:tc>
          <w:tcPr>
            <w:tcW w:type="dxa" w:w="1680"/>
            <w:shd w:fill="F2F2F2" w:val="clear"/>
            <w:tcMar>
              <w:top w:type="dxa" w:w="50"/>
              <w:left w:type="dxa" w:w="100"/>
              <w:bottom w:type="dxa" w:w="50"/>
              <w:right w:type="dxa" w:w="100"/>
            </w:tcMar>
          </w:tcPr>
          <w:p>
            <w:r>
              <w:rPr>
                <w:sz w:val="19"/>
                <w:szCs w:val="19"/>
              </w:rPr>
              <w:t xml:space="preserve">2,055,690.45</w:t>
            </w:r>
          </w:p>
        </w:tc>
        <w:tc>
          <w:tcPr>
            <w:tcW w:type="dxa" w:w="1680"/>
            <w:shd w:fill="F2F2F2" w:val="clear"/>
            <w:tcMar>
              <w:top w:type="dxa" w:w="50"/>
              <w:left w:type="dxa" w:w="100"/>
              <w:bottom w:type="dxa" w:w="50"/>
              <w:right w:type="dxa" w:w="100"/>
            </w:tcMar>
          </w:tcPr>
          <w:p>
            <w:r>
              <w:rPr>
                <w:sz w:val="19"/>
                <w:szCs w:val="19"/>
              </w:rPr>
              <w:t xml:space="preserve">166.45</w:t>
            </w:r>
          </w:p>
        </w:tc>
        <w:tc>
          <w:tcPr>
            <w:tcW w:type="dxa" w:w="1680"/>
            <w:shd w:fill="F2F2F2" w:val="clear"/>
            <w:tcMar>
              <w:top w:type="dxa" w:w="50"/>
              <w:left w:type="dxa" w:w="100"/>
              <w:bottom w:type="dxa" w:w="50"/>
              <w:right w:type="dxa" w:w="100"/>
            </w:tcMar>
          </w:tcPr>
          <w:p>
            <w:r>
              <w:rPr>
                <w:sz w:val="19"/>
                <w:szCs w:val="19"/>
              </w:rPr>
              <w:t xml:space="preserve">13.33%</w:t>
            </w:r>
          </w:p>
        </w:tc>
        <w:tc>
          <w:tcPr>
            <w:tcW w:type="dxa" w:w="1680"/>
            <w:shd w:fill="F2F2F2" w:val="clear"/>
            <w:tcMar>
              <w:top w:type="dxa" w:w="50"/>
              <w:left w:type="dxa" w:w="100"/>
              <w:bottom w:type="dxa" w:w="50"/>
              <w:right w:type="dxa" w:w="100"/>
            </w:tcMar>
          </w:tcPr>
          <w:p>
            <w:r>
              <w:rPr>
                <w:sz w:val="19"/>
                <w:szCs w:val="19"/>
              </w:rPr>
              <w:t xml:space="preserve">12.80%</w:t>
            </w:r>
          </w:p>
        </w:tc>
      </w:tr>
      <w:tr>
        <w:tc>
          <w:tcPr>
            <w:tcW w:type="dxa" w:w="1680"/>
            <w:shd w:fill="FFFFFF" w:val="clear"/>
            <w:tcMar>
              <w:top w:type="dxa" w:w="50"/>
              <w:left w:type="dxa" w:w="100"/>
              <w:bottom w:type="dxa" w:w="50"/>
              <w:right w:type="dxa" w:w="100"/>
            </w:tcMar>
          </w:tcPr>
          <w:p>
            <w:r>
              <w:rPr>
                <w:sz w:val="19"/>
                <w:szCs w:val="19"/>
              </w:rPr>
              <w:t xml:space="preserve">MG</w:t>
            </w:r>
          </w:p>
        </w:tc>
        <w:tc>
          <w:tcPr>
            <w:tcW w:type="dxa" w:w="1680"/>
            <w:shd w:fill="FFFFFF" w:val="clear"/>
            <w:tcMar>
              <w:top w:type="dxa" w:w="50"/>
              <w:left w:type="dxa" w:w="100"/>
              <w:bottom w:type="dxa" w:w="50"/>
              <w:right w:type="dxa" w:w="100"/>
            </w:tcMar>
          </w:tcPr>
          <w:p>
            <w:r>
              <w:rPr>
                <w:sz w:val="19"/>
                <w:szCs w:val="19"/>
              </w:rPr>
              <w:t xml:space="preserve">11,354</w:t>
            </w:r>
          </w:p>
        </w:tc>
        <w:tc>
          <w:tcPr>
            <w:tcW w:type="dxa" w:w="1680"/>
            <w:shd w:fill="FFFFFF" w:val="clear"/>
            <w:tcMar>
              <w:top w:type="dxa" w:w="50"/>
              <w:left w:type="dxa" w:w="100"/>
              <w:bottom w:type="dxa" w:w="50"/>
              <w:right w:type="dxa" w:w="100"/>
            </w:tcMar>
          </w:tcPr>
          <w:p>
            <w:r>
              <w:rPr>
                <w:sz w:val="19"/>
                <w:szCs w:val="19"/>
              </w:rPr>
              <w:t xml:space="preserve">1,819,277.61</w:t>
            </w:r>
          </w:p>
        </w:tc>
        <w:tc>
          <w:tcPr>
            <w:tcW w:type="dxa" w:w="1680"/>
            <w:shd w:fill="FFFFFF" w:val="clear"/>
            <w:tcMar>
              <w:top w:type="dxa" w:w="50"/>
              <w:left w:type="dxa" w:w="100"/>
              <w:bottom w:type="dxa" w:w="50"/>
              <w:right w:type="dxa" w:w="100"/>
            </w:tcMar>
          </w:tcPr>
          <w:p>
            <w:r>
              <w:rPr>
                <w:sz w:val="19"/>
                <w:szCs w:val="19"/>
              </w:rPr>
              <w:t xml:space="preserve">160.23</w:t>
            </w:r>
          </w:p>
        </w:tc>
        <w:tc>
          <w:tcPr>
            <w:tcW w:type="dxa" w:w="1680"/>
            <w:shd w:fill="FFFFFF" w:val="clear"/>
            <w:tcMar>
              <w:top w:type="dxa" w:w="50"/>
              <w:left w:type="dxa" w:w="100"/>
              <w:bottom w:type="dxa" w:w="50"/>
              <w:right w:type="dxa" w:w="100"/>
            </w:tcMar>
          </w:tcPr>
          <w:p>
            <w:r>
              <w:rPr>
                <w:sz w:val="19"/>
                <w:szCs w:val="19"/>
              </w:rPr>
              <w:t xml:space="preserve">11.80%</w:t>
            </w:r>
          </w:p>
        </w:tc>
        <w:tc>
          <w:tcPr>
            <w:tcW w:type="dxa" w:w="1680"/>
            <w:shd w:fill="FFFFFF" w:val="clear"/>
            <w:tcMar>
              <w:top w:type="dxa" w:w="50"/>
              <w:left w:type="dxa" w:w="100"/>
              <w:bottom w:type="dxa" w:w="50"/>
              <w:right w:type="dxa" w:w="100"/>
            </w:tcMar>
          </w:tcPr>
          <w:p>
            <w:r>
              <w:rPr>
                <w:sz w:val="19"/>
                <w:szCs w:val="19"/>
              </w:rPr>
              <w:t xml:space="preserve">11.77%</w:t>
            </w:r>
          </w:p>
        </w:tc>
      </w:tr>
      <w:tr>
        <w:tc>
          <w:tcPr>
            <w:tcW w:type="dxa" w:w="1680"/>
            <w:shd w:fill="F2F2F2" w:val="clear"/>
            <w:tcMar>
              <w:top w:type="dxa" w:w="50"/>
              <w:left w:type="dxa" w:w="100"/>
              <w:bottom w:type="dxa" w:w="50"/>
              <w:right w:type="dxa" w:w="100"/>
            </w:tcMar>
          </w:tcPr>
          <w:p>
            <w:r>
              <w:rPr>
                <w:sz w:val="19"/>
                <w:szCs w:val="19"/>
              </w:rPr>
              <w:t xml:space="preserve">RS</w:t>
            </w:r>
          </w:p>
        </w:tc>
        <w:tc>
          <w:tcPr>
            <w:tcW w:type="dxa" w:w="1680"/>
            <w:shd w:fill="F2F2F2" w:val="clear"/>
            <w:tcMar>
              <w:top w:type="dxa" w:w="50"/>
              <w:left w:type="dxa" w:w="100"/>
              <w:bottom w:type="dxa" w:w="50"/>
              <w:right w:type="dxa" w:w="100"/>
            </w:tcMar>
          </w:tcPr>
          <w:p>
            <w:r>
              <w:rPr>
                <w:sz w:val="19"/>
                <w:szCs w:val="19"/>
              </w:rPr>
              <w:t xml:space="preserve">5,345</w:t>
            </w:r>
          </w:p>
        </w:tc>
        <w:tc>
          <w:tcPr>
            <w:tcW w:type="dxa" w:w="1680"/>
            <w:shd w:fill="F2F2F2" w:val="clear"/>
            <w:tcMar>
              <w:top w:type="dxa" w:w="50"/>
              <w:left w:type="dxa" w:w="100"/>
              <w:bottom w:type="dxa" w:w="50"/>
              <w:right w:type="dxa" w:w="100"/>
            </w:tcMar>
          </w:tcPr>
          <w:p>
            <w:r>
              <w:rPr>
                <w:sz w:val="19"/>
                <w:szCs w:val="19"/>
              </w:rPr>
              <w:t xml:space="preserve">861,802.40</w:t>
            </w:r>
          </w:p>
        </w:tc>
        <w:tc>
          <w:tcPr>
            <w:tcW w:type="dxa" w:w="1680"/>
            <w:shd w:fill="F2F2F2" w:val="clear"/>
            <w:tcMar>
              <w:top w:type="dxa" w:w="50"/>
              <w:left w:type="dxa" w:w="100"/>
              <w:bottom w:type="dxa" w:w="50"/>
              <w:right w:type="dxa" w:w="100"/>
            </w:tcMar>
          </w:tcPr>
          <w:p>
            <w:r>
              <w:rPr>
                <w:sz w:val="19"/>
                <w:szCs w:val="19"/>
              </w:rPr>
              <w:t xml:space="preserve">161.24</w:t>
            </w:r>
          </w:p>
        </w:tc>
        <w:tc>
          <w:tcPr>
            <w:tcW w:type="dxa" w:w="1680"/>
            <w:shd w:fill="F2F2F2" w:val="clear"/>
            <w:tcMar>
              <w:top w:type="dxa" w:w="50"/>
              <w:left w:type="dxa" w:w="100"/>
              <w:bottom w:type="dxa" w:w="50"/>
              <w:right w:type="dxa" w:w="100"/>
            </w:tcMar>
          </w:tcPr>
          <w:p>
            <w:r>
              <w:rPr>
                <w:sz w:val="19"/>
                <w:szCs w:val="19"/>
              </w:rPr>
              <w:t xml:space="preserve">5.59%</w:t>
            </w:r>
          </w:p>
        </w:tc>
        <w:tc>
          <w:tcPr>
            <w:tcW w:type="dxa" w:w="1680"/>
            <w:shd w:fill="F2F2F2" w:val="clear"/>
            <w:tcMar>
              <w:top w:type="dxa" w:w="50"/>
              <w:left w:type="dxa" w:w="100"/>
              <w:bottom w:type="dxa" w:w="50"/>
              <w:right w:type="dxa" w:w="100"/>
            </w:tcMar>
          </w:tcPr>
          <w:p>
            <w:r>
              <w:rPr>
                <w:sz w:val="19"/>
                <w:szCs w:val="19"/>
              </w:rPr>
              <w:t xml:space="preserve">5.54%</w:t>
            </w:r>
          </w:p>
        </w:tc>
      </w:tr>
      <w:tr>
        <w:tc>
          <w:tcPr>
            <w:tcW w:type="dxa" w:w="1680"/>
            <w:shd w:fill="FFFFFF" w:val="clear"/>
            <w:tcMar>
              <w:top w:type="dxa" w:w="50"/>
              <w:left w:type="dxa" w:w="100"/>
              <w:bottom w:type="dxa" w:w="50"/>
              <w:right w:type="dxa" w:w="100"/>
            </w:tcMar>
          </w:tcPr>
          <w:p>
            <w:r>
              <w:rPr>
                <w:sz w:val="19"/>
                <w:szCs w:val="19"/>
              </w:rPr>
              <w:t xml:space="preserve">PR</w:t>
            </w:r>
          </w:p>
        </w:tc>
        <w:tc>
          <w:tcPr>
            <w:tcW w:type="dxa" w:w="1680"/>
            <w:shd w:fill="FFFFFF" w:val="clear"/>
            <w:tcMar>
              <w:top w:type="dxa" w:w="50"/>
              <w:left w:type="dxa" w:w="100"/>
              <w:bottom w:type="dxa" w:w="50"/>
              <w:right w:type="dxa" w:w="100"/>
            </w:tcMar>
          </w:tcPr>
          <w:p>
            <w:r>
              <w:rPr>
                <w:sz w:val="19"/>
                <w:szCs w:val="19"/>
              </w:rPr>
              <w:t xml:space="preserve">4,923</w:t>
            </w:r>
          </w:p>
        </w:tc>
        <w:tc>
          <w:tcPr>
            <w:tcW w:type="dxa" w:w="1680"/>
            <w:shd w:fill="FFFFFF" w:val="clear"/>
            <w:tcMar>
              <w:top w:type="dxa" w:w="50"/>
              <w:left w:type="dxa" w:w="100"/>
              <w:bottom w:type="dxa" w:w="50"/>
              <w:right w:type="dxa" w:w="100"/>
            </w:tcMar>
          </w:tcPr>
          <w:p>
            <w:r>
              <w:rPr>
                <w:sz w:val="19"/>
                <w:szCs w:val="19"/>
              </w:rPr>
              <w:t xml:space="preserve">781,919.55</w:t>
            </w:r>
          </w:p>
        </w:tc>
        <w:tc>
          <w:tcPr>
            <w:tcW w:type="dxa" w:w="1680"/>
            <w:shd w:fill="FFFFFF" w:val="clear"/>
            <w:tcMar>
              <w:top w:type="dxa" w:w="50"/>
              <w:left w:type="dxa" w:w="100"/>
              <w:bottom w:type="dxa" w:w="50"/>
              <w:right w:type="dxa" w:w="100"/>
            </w:tcMar>
          </w:tcPr>
          <w:p>
            <w:r>
              <w:rPr>
                <w:sz w:val="19"/>
                <w:szCs w:val="19"/>
              </w:rPr>
              <w:t xml:space="preserve">158.83</w:t>
            </w:r>
          </w:p>
        </w:tc>
        <w:tc>
          <w:tcPr>
            <w:tcW w:type="dxa" w:w="1680"/>
            <w:shd w:fill="FFFFFF" w:val="clear"/>
            <w:tcMar>
              <w:top w:type="dxa" w:w="50"/>
              <w:left w:type="dxa" w:w="100"/>
              <w:bottom w:type="dxa" w:w="50"/>
              <w:right w:type="dxa" w:w="100"/>
            </w:tcMar>
          </w:tcPr>
          <w:p>
            <w:r>
              <w:rPr>
                <w:sz w:val="19"/>
                <w:szCs w:val="19"/>
              </w:rPr>
              <w:t xml:space="preserve">5.07%</w:t>
            </w:r>
          </w:p>
        </w:tc>
        <w:tc>
          <w:tcPr>
            <w:tcW w:type="dxa" w:w="1680"/>
            <w:shd w:fill="FFFFFF" w:val="clear"/>
            <w:tcMar>
              <w:top w:type="dxa" w:w="50"/>
              <w:left w:type="dxa" w:w="100"/>
              <w:bottom w:type="dxa" w:w="50"/>
              <w:right w:type="dxa" w:w="100"/>
            </w:tcMar>
          </w:tcPr>
          <w:p>
            <w:r>
              <w:rPr>
                <w:sz w:val="19"/>
                <w:szCs w:val="19"/>
              </w:rPr>
              <w:t xml:space="preserve">5.10%</w:t>
            </w:r>
          </w:p>
        </w:tc>
      </w:tr>
      <w:tr>
        <w:tc>
          <w:tcPr>
            <w:tcW w:type="dxa" w:w="1680"/>
            <w:shd w:fill="F2F2F2" w:val="clear"/>
            <w:tcMar>
              <w:top w:type="dxa" w:w="50"/>
              <w:left w:type="dxa" w:w="100"/>
              <w:bottom w:type="dxa" w:w="50"/>
              <w:right w:type="dxa" w:w="100"/>
            </w:tcMar>
          </w:tcPr>
          <w:p>
            <w:r>
              <w:rPr>
                <w:sz w:val="19"/>
                <w:szCs w:val="19"/>
              </w:rPr>
              <w:t xml:space="preserve">SC</w:t>
            </w:r>
          </w:p>
        </w:tc>
        <w:tc>
          <w:tcPr>
            <w:tcW w:type="dxa" w:w="1680"/>
            <w:shd w:fill="F2F2F2" w:val="clear"/>
            <w:tcMar>
              <w:top w:type="dxa" w:w="50"/>
              <w:left w:type="dxa" w:w="100"/>
              <w:bottom w:type="dxa" w:w="50"/>
              <w:right w:type="dxa" w:w="100"/>
            </w:tcMar>
          </w:tcPr>
          <w:p>
            <w:r>
              <w:rPr>
                <w:sz w:val="19"/>
                <w:szCs w:val="19"/>
              </w:rPr>
              <w:t xml:space="preserve">3,546</w:t>
            </w:r>
          </w:p>
        </w:tc>
        <w:tc>
          <w:tcPr>
            <w:tcW w:type="dxa" w:w="1680"/>
            <w:shd w:fill="F2F2F2" w:val="clear"/>
            <w:tcMar>
              <w:top w:type="dxa" w:w="50"/>
              <w:left w:type="dxa" w:w="100"/>
              <w:bottom w:type="dxa" w:w="50"/>
              <w:right w:type="dxa" w:w="100"/>
            </w:tcMar>
          </w:tcPr>
          <w:p>
            <w:r>
              <w:rPr>
                <w:sz w:val="19"/>
                <w:szCs w:val="19"/>
              </w:rPr>
              <w:t xml:space="preserve">595,208.40</w:t>
            </w:r>
          </w:p>
        </w:tc>
        <w:tc>
          <w:tcPr>
            <w:tcW w:type="dxa" w:w="1680"/>
            <w:shd w:fill="F2F2F2" w:val="clear"/>
            <w:tcMar>
              <w:top w:type="dxa" w:w="50"/>
              <w:left w:type="dxa" w:w="100"/>
              <w:bottom w:type="dxa" w:w="50"/>
              <w:right w:type="dxa" w:w="100"/>
            </w:tcMar>
          </w:tcPr>
          <w:p>
            <w:r>
              <w:rPr>
                <w:sz w:val="19"/>
                <w:szCs w:val="19"/>
              </w:rPr>
              <w:t xml:space="preserve">167.85</w:t>
            </w:r>
          </w:p>
        </w:tc>
        <w:tc>
          <w:tcPr>
            <w:tcW w:type="dxa" w:w="1680"/>
            <w:shd w:fill="F2F2F2" w:val="clear"/>
            <w:tcMar>
              <w:top w:type="dxa" w:w="50"/>
              <w:left w:type="dxa" w:w="100"/>
              <w:bottom w:type="dxa" w:w="50"/>
              <w:right w:type="dxa" w:w="100"/>
            </w:tcMar>
          </w:tcPr>
          <w:p>
            <w:r>
              <w:rPr>
                <w:sz w:val="19"/>
                <w:szCs w:val="19"/>
              </w:rPr>
              <w:t xml:space="preserve">3.86%</w:t>
            </w:r>
          </w:p>
        </w:tc>
        <w:tc>
          <w:tcPr>
            <w:tcW w:type="dxa" w:w="1680"/>
            <w:shd w:fill="F2F2F2" w:val="clear"/>
            <w:tcMar>
              <w:top w:type="dxa" w:w="50"/>
              <w:left w:type="dxa" w:w="100"/>
              <w:bottom w:type="dxa" w:w="50"/>
              <w:right w:type="dxa" w:w="100"/>
            </w:tcMar>
          </w:tcPr>
          <w:p>
            <w:r>
              <w:rPr>
                <w:sz w:val="19"/>
                <w:szCs w:val="19"/>
              </w:rPr>
              <w:t xml:space="preserve">3.68%</w:t>
            </w:r>
          </w:p>
        </w:tc>
      </w:tr>
      <w:tr>
        <w:tc>
          <w:tcPr>
            <w:tcW w:type="dxa" w:w="1680"/>
            <w:shd w:fill="FFFFFF" w:val="clear"/>
            <w:tcMar>
              <w:top w:type="dxa" w:w="50"/>
              <w:left w:type="dxa" w:w="100"/>
              <w:bottom w:type="dxa" w:w="50"/>
              <w:right w:type="dxa" w:w="100"/>
            </w:tcMar>
          </w:tcPr>
          <w:p>
            <w:r>
              <w:rPr>
                <w:sz w:val="19"/>
                <w:szCs w:val="19"/>
              </w:rPr>
              <w:t xml:space="preserve">BA</w:t>
            </w:r>
          </w:p>
        </w:tc>
        <w:tc>
          <w:tcPr>
            <w:tcW w:type="dxa" w:w="1680"/>
            <w:shd w:fill="FFFFFF" w:val="clear"/>
            <w:tcMar>
              <w:top w:type="dxa" w:w="50"/>
              <w:left w:type="dxa" w:w="100"/>
              <w:bottom w:type="dxa" w:w="50"/>
              <w:right w:type="dxa" w:w="100"/>
            </w:tcMar>
          </w:tcPr>
          <w:p>
            <w:r>
              <w:rPr>
                <w:sz w:val="19"/>
                <w:szCs w:val="19"/>
              </w:rPr>
              <w:t xml:space="preserve">3,256</w:t>
            </w:r>
          </w:p>
        </w:tc>
        <w:tc>
          <w:tcPr>
            <w:tcW w:type="dxa" w:w="1680"/>
            <w:shd w:fill="FFFFFF" w:val="clear"/>
            <w:tcMar>
              <w:top w:type="dxa" w:w="50"/>
              <w:left w:type="dxa" w:w="100"/>
              <w:bottom w:type="dxa" w:w="50"/>
              <w:right w:type="dxa" w:w="100"/>
            </w:tcMar>
          </w:tcPr>
          <w:p>
            <w:r>
              <w:rPr>
                <w:sz w:val="19"/>
                <w:szCs w:val="19"/>
              </w:rPr>
              <w:t xml:space="preserve">591,270.60</w:t>
            </w:r>
          </w:p>
        </w:tc>
        <w:tc>
          <w:tcPr>
            <w:tcW w:type="dxa" w:w="1680"/>
            <w:shd w:fill="FFFFFF" w:val="clear"/>
            <w:tcMar>
              <w:top w:type="dxa" w:w="50"/>
              <w:left w:type="dxa" w:w="100"/>
              <w:bottom w:type="dxa" w:w="50"/>
              <w:right w:type="dxa" w:w="100"/>
            </w:tcMar>
          </w:tcPr>
          <w:p>
            <w:r>
              <w:rPr>
                <w:sz w:val="19"/>
                <w:szCs w:val="19"/>
              </w:rPr>
              <w:t xml:space="preserve">181.59</w:t>
            </w:r>
          </w:p>
        </w:tc>
        <w:tc>
          <w:tcPr>
            <w:tcW w:type="dxa" w:w="1680"/>
            <w:shd w:fill="FFFFFF" w:val="clear"/>
            <w:tcMar>
              <w:top w:type="dxa" w:w="50"/>
              <w:left w:type="dxa" w:w="100"/>
              <w:bottom w:type="dxa" w:w="50"/>
              <w:right w:type="dxa" w:w="100"/>
            </w:tcMar>
          </w:tcPr>
          <w:p>
            <w:r>
              <w:rPr>
                <w:sz w:val="19"/>
                <w:szCs w:val="19"/>
              </w:rPr>
              <w:t xml:space="preserve">3.83%</w:t>
            </w:r>
          </w:p>
        </w:tc>
        <w:tc>
          <w:tcPr>
            <w:tcW w:type="dxa" w:w="1680"/>
            <w:shd w:fill="FFFFFF" w:val="clear"/>
            <w:tcMar>
              <w:top w:type="dxa" w:w="50"/>
              <w:left w:type="dxa" w:w="100"/>
              <w:bottom w:type="dxa" w:w="50"/>
              <w:right w:type="dxa" w:w="100"/>
            </w:tcMar>
          </w:tcPr>
          <w:p>
            <w:r>
              <w:rPr>
                <w:sz w:val="19"/>
                <w:szCs w:val="19"/>
              </w:rPr>
              <w:t xml:space="preserve">3.37%</w:t>
            </w:r>
          </w:p>
        </w:tc>
      </w:tr>
      <w:tr>
        <w:tc>
          <w:tcPr>
            <w:tcW w:type="dxa" w:w="1680"/>
            <w:shd w:fill="F2F2F2" w:val="clear"/>
            <w:tcMar>
              <w:top w:type="dxa" w:w="50"/>
              <w:left w:type="dxa" w:w="100"/>
              <w:bottom w:type="dxa" w:w="50"/>
              <w:right w:type="dxa" w:w="100"/>
            </w:tcMar>
          </w:tcPr>
          <w:p>
            <w:r>
              <w:rPr>
                <w:sz w:val="19"/>
                <w:szCs w:val="19"/>
              </w:rPr>
              <w:t xml:space="preserve">DF</w:t>
            </w:r>
          </w:p>
        </w:tc>
        <w:tc>
          <w:tcPr>
            <w:tcW w:type="dxa" w:w="1680"/>
            <w:shd w:fill="F2F2F2" w:val="clear"/>
            <w:tcMar>
              <w:top w:type="dxa" w:w="50"/>
              <w:left w:type="dxa" w:w="100"/>
              <w:bottom w:type="dxa" w:w="50"/>
              <w:right w:type="dxa" w:w="100"/>
            </w:tcMar>
          </w:tcPr>
          <w:p>
            <w:r>
              <w:rPr>
                <w:sz w:val="19"/>
                <w:szCs w:val="19"/>
              </w:rPr>
              <w:t xml:space="preserve">2,080</w:t>
            </w:r>
          </w:p>
        </w:tc>
        <w:tc>
          <w:tcPr>
            <w:tcW w:type="dxa" w:w="1680"/>
            <w:shd w:fill="F2F2F2" w:val="clear"/>
            <w:tcMar>
              <w:top w:type="dxa" w:w="50"/>
              <w:left w:type="dxa" w:w="100"/>
              <w:bottom w:type="dxa" w:w="50"/>
              <w:right w:type="dxa" w:w="100"/>
            </w:tcMar>
          </w:tcPr>
          <w:p>
            <w:r>
              <w:rPr>
                <w:sz w:val="19"/>
                <w:szCs w:val="19"/>
              </w:rPr>
              <w:t xml:space="preserve">346,146.17</w:t>
            </w:r>
          </w:p>
        </w:tc>
        <w:tc>
          <w:tcPr>
            <w:tcW w:type="dxa" w:w="1680"/>
            <w:shd w:fill="F2F2F2" w:val="clear"/>
            <w:tcMar>
              <w:top w:type="dxa" w:w="50"/>
              <w:left w:type="dxa" w:w="100"/>
              <w:bottom w:type="dxa" w:w="50"/>
              <w:right w:type="dxa" w:w="100"/>
            </w:tcMar>
          </w:tcPr>
          <w:p>
            <w:r>
              <w:rPr>
                <w:sz w:val="19"/>
                <w:szCs w:val="19"/>
              </w:rPr>
              <w:t xml:space="preserve">166.42</w:t>
            </w:r>
          </w:p>
        </w:tc>
        <w:tc>
          <w:tcPr>
            <w:tcW w:type="dxa" w:w="1680"/>
            <w:shd w:fill="F2F2F2" w:val="clear"/>
            <w:tcMar>
              <w:top w:type="dxa" w:w="50"/>
              <w:left w:type="dxa" w:w="100"/>
              <w:bottom w:type="dxa" w:w="50"/>
              <w:right w:type="dxa" w:w="100"/>
            </w:tcMar>
          </w:tcPr>
          <w:p>
            <w:r>
              <w:rPr>
                <w:sz w:val="19"/>
                <w:szCs w:val="19"/>
              </w:rPr>
              <w:t xml:space="preserve">2.24%</w:t>
            </w:r>
          </w:p>
        </w:tc>
        <w:tc>
          <w:tcPr>
            <w:tcW w:type="dxa" w:w="1680"/>
            <w:shd w:fill="F2F2F2" w:val="clear"/>
            <w:tcMar>
              <w:top w:type="dxa" w:w="50"/>
              <w:left w:type="dxa" w:w="100"/>
              <w:bottom w:type="dxa" w:w="50"/>
              <w:right w:type="dxa" w:w="100"/>
            </w:tcMar>
          </w:tcPr>
          <w:p>
            <w:r>
              <w:rPr>
                <w:sz w:val="19"/>
                <w:szCs w:val="19"/>
              </w:rPr>
              <w:t xml:space="preserve">2.16%</w:t>
            </w:r>
          </w:p>
        </w:tc>
      </w:tr>
      <w:tr>
        <w:tc>
          <w:tcPr>
            <w:tcW w:type="dxa" w:w="1680"/>
            <w:shd w:fill="FFFFFF" w:val="clear"/>
            <w:tcMar>
              <w:top w:type="dxa" w:w="50"/>
              <w:left w:type="dxa" w:w="100"/>
              <w:bottom w:type="dxa" w:w="50"/>
              <w:right w:type="dxa" w:w="100"/>
            </w:tcMar>
          </w:tcPr>
          <w:p>
            <w:r>
              <w:rPr>
                <w:sz w:val="19"/>
                <w:szCs w:val="19"/>
              </w:rPr>
              <w:t xml:space="preserve">GO</w:t>
            </w:r>
          </w:p>
        </w:tc>
        <w:tc>
          <w:tcPr>
            <w:tcW w:type="dxa" w:w="1680"/>
            <w:shd w:fill="FFFFFF" w:val="clear"/>
            <w:tcMar>
              <w:top w:type="dxa" w:w="50"/>
              <w:left w:type="dxa" w:w="100"/>
              <w:bottom w:type="dxa" w:w="50"/>
              <w:right w:type="dxa" w:w="100"/>
            </w:tcMar>
          </w:tcPr>
          <w:p>
            <w:r>
              <w:rPr>
                <w:sz w:val="19"/>
                <w:szCs w:val="19"/>
              </w:rPr>
              <w:t xml:space="preserve">1,957</w:t>
            </w:r>
          </w:p>
        </w:tc>
        <w:tc>
          <w:tcPr>
            <w:tcW w:type="dxa" w:w="1680"/>
            <w:shd w:fill="FFFFFF" w:val="clear"/>
            <w:tcMar>
              <w:top w:type="dxa" w:w="50"/>
              <w:left w:type="dxa" w:w="100"/>
              <w:bottom w:type="dxa" w:w="50"/>
              <w:right w:type="dxa" w:w="100"/>
            </w:tcMar>
          </w:tcPr>
          <w:p>
            <w:r>
              <w:rPr>
                <w:sz w:val="19"/>
                <w:szCs w:val="19"/>
              </w:rPr>
              <w:t xml:space="preserve">334,294.22</w:t>
            </w:r>
          </w:p>
        </w:tc>
        <w:tc>
          <w:tcPr>
            <w:tcW w:type="dxa" w:w="1680"/>
            <w:shd w:fill="FFFFFF" w:val="clear"/>
            <w:tcMar>
              <w:top w:type="dxa" w:w="50"/>
              <w:left w:type="dxa" w:w="100"/>
              <w:bottom w:type="dxa" w:w="50"/>
              <w:right w:type="dxa" w:w="100"/>
            </w:tcMar>
          </w:tcPr>
          <w:p>
            <w:r>
              <w:rPr>
                <w:sz w:val="19"/>
                <w:szCs w:val="19"/>
              </w:rPr>
              <w:t xml:space="preserve">170.82</w:t>
            </w:r>
          </w:p>
        </w:tc>
        <w:tc>
          <w:tcPr>
            <w:tcW w:type="dxa" w:w="1680"/>
            <w:shd w:fill="FFFFFF" w:val="clear"/>
            <w:tcMar>
              <w:top w:type="dxa" w:w="50"/>
              <w:left w:type="dxa" w:w="100"/>
              <w:bottom w:type="dxa" w:w="50"/>
              <w:right w:type="dxa" w:w="100"/>
            </w:tcMar>
          </w:tcPr>
          <w:p>
            <w:r>
              <w:rPr>
                <w:sz w:val="19"/>
                <w:szCs w:val="19"/>
              </w:rPr>
              <w:t xml:space="preserve">2.17%</w:t>
            </w:r>
          </w:p>
        </w:tc>
        <w:tc>
          <w:tcPr>
            <w:tcW w:type="dxa" w:w="1680"/>
            <w:shd w:fill="FFFFFF" w:val="clear"/>
            <w:tcMar>
              <w:top w:type="dxa" w:w="50"/>
              <w:left w:type="dxa" w:w="100"/>
              <w:bottom w:type="dxa" w:w="50"/>
              <w:right w:type="dxa" w:w="100"/>
            </w:tcMar>
          </w:tcPr>
          <w:p>
            <w:r>
              <w:rPr>
                <w:sz w:val="19"/>
                <w:szCs w:val="19"/>
              </w:rPr>
              <w:t xml:space="preserve">2.03%</w:t>
            </w:r>
          </w:p>
        </w:tc>
      </w:tr>
      <w:tr>
        <w:tc>
          <w:tcPr>
            <w:tcW w:type="dxa" w:w="1680"/>
            <w:shd w:fill="F2F2F2" w:val="clear"/>
            <w:tcMar>
              <w:top w:type="dxa" w:w="50"/>
              <w:left w:type="dxa" w:w="100"/>
              <w:bottom w:type="dxa" w:w="50"/>
              <w:right w:type="dxa" w:w="100"/>
            </w:tcMar>
          </w:tcPr>
          <w:p>
            <w:r>
              <w:rPr>
                <w:sz w:val="19"/>
                <w:szCs w:val="19"/>
              </w:rPr>
              <w:t xml:space="preserve">ES</w:t>
            </w:r>
          </w:p>
        </w:tc>
        <w:tc>
          <w:tcPr>
            <w:tcW w:type="dxa" w:w="1680"/>
            <w:shd w:fill="F2F2F2" w:val="clear"/>
            <w:tcMar>
              <w:top w:type="dxa" w:w="50"/>
              <w:left w:type="dxa" w:w="100"/>
              <w:bottom w:type="dxa" w:w="50"/>
              <w:right w:type="dxa" w:w="100"/>
            </w:tcMar>
          </w:tcPr>
          <w:p>
            <w:r>
              <w:rPr>
                <w:sz w:val="19"/>
                <w:szCs w:val="19"/>
              </w:rPr>
              <w:t xml:space="preserve">1,995</w:t>
            </w:r>
          </w:p>
        </w:tc>
        <w:tc>
          <w:tcPr>
            <w:tcW w:type="dxa" w:w="1680"/>
            <w:shd w:fill="F2F2F2" w:val="clear"/>
            <w:tcMar>
              <w:top w:type="dxa" w:w="50"/>
              <w:left w:type="dxa" w:w="100"/>
              <w:bottom w:type="dxa" w:w="50"/>
              <w:right w:type="dxa" w:w="100"/>
            </w:tcMar>
          </w:tcPr>
          <w:p>
            <w:r>
              <w:rPr>
                <w:sz w:val="19"/>
                <w:szCs w:val="19"/>
              </w:rPr>
              <w:t xml:space="preserve">317,682.65</w:t>
            </w:r>
          </w:p>
        </w:tc>
        <w:tc>
          <w:tcPr>
            <w:tcW w:type="dxa" w:w="1680"/>
            <w:shd w:fill="F2F2F2" w:val="clear"/>
            <w:tcMar>
              <w:top w:type="dxa" w:w="50"/>
              <w:left w:type="dxa" w:w="100"/>
              <w:bottom w:type="dxa" w:w="50"/>
              <w:right w:type="dxa" w:w="100"/>
            </w:tcMar>
          </w:tcPr>
          <w:p>
            <w:r>
              <w:rPr>
                <w:sz w:val="19"/>
                <w:szCs w:val="19"/>
              </w:rPr>
              <w:t xml:space="preserve">159.24</w:t>
            </w:r>
          </w:p>
        </w:tc>
        <w:tc>
          <w:tcPr>
            <w:tcW w:type="dxa" w:w="1680"/>
            <w:shd w:fill="F2F2F2" w:val="clear"/>
            <w:tcMar>
              <w:top w:type="dxa" w:w="50"/>
              <w:left w:type="dxa" w:w="100"/>
              <w:bottom w:type="dxa" w:w="50"/>
              <w:right w:type="dxa" w:w="100"/>
            </w:tcMar>
          </w:tcPr>
          <w:p>
            <w:r>
              <w:rPr>
                <w:sz w:val="19"/>
                <w:szCs w:val="19"/>
              </w:rPr>
              <w:t xml:space="preserve">2.06%</w:t>
            </w:r>
          </w:p>
        </w:tc>
        <w:tc>
          <w:tcPr>
            <w:tcW w:type="dxa" w:w="1680"/>
            <w:shd w:fill="F2F2F2" w:val="clear"/>
            <w:tcMar>
              <w:top w:type="dxa" w:w="50"/>
              <w:left w:type="dxa" w:w="100"/>
              <w:bottom w:type="dxa" w:w="50"/>
              <w:right w:type="dxa" w:w="100"/>
            </w:tcMar>
          </w:tcPr>
          <w:p>
            <w:r>
              <w:rPr>
                <w:sz w:val="19"/>
                <w:szCs w:val="19"/>
              </w:rPr>
              <w:t xml:space="preserve">2.07%</w:t>
            </w:r>
          </w:p>
        </w:tc>
      </w:tr>
    </w:tbl>
    <w:p>
      <w:pPr>
        <w:spacing w:after="160"/>
      </w:pPr>
    </w:p>
    <w:p>
      <w:pPr>
        <w:spacing w:after="80" w:before="180"/>
      </w:pPr>
      <w:r>
        <w:rPr>
          <w:b/>
          <w:bCs/>
          <w:color w:val="1F3864"/>
          <w:sz w:val="22"/>
          <w:szCs w:val="22"/>
        </w:rPr>
        <w:t xml:space="preserve">6.1.1 Interpretation</w:t>
      </w:r>
    </w:p>
    <w:p>
      <w:pPr>
        <w:spacing w:after="100"/>
      </w:pPr>
      <w:r>
        <w:rPr>
          <w:b/>
          <w:bCs/>
          <w:color w:val="1F3864"/>
          <w:sz w:val="21"/>
          <w:szCs w:val="21"/>
        </w:rPr>
        <w:t xml:space="preserve">Southeast concentration: </w:t>
      </w:r>
      <w:r>
        <w:rPr>
          <w:sz w:val="21"/>
          <w:szCs w:val="21"/>
        </w:rPr>
        <w:t xml:space="preserve">SP, RJ, and MG together account for 62.54% of revenue and 66.55% of orders from just 3 of 27 states. SP alone represents 37.41% of revenue and 41.98% of orders.</w:t>
      </w:r>
    </w:p>
    <w:p>
      <w:pPr>
        <w:spacing w:after="100"/>
      </w:pPr>
      <w:r>
        <w:rPr>
          <w:b/>
          <w:bCs/>
          <w:color w:val="1F3864"/>
          <w:sz w:val="21"/>
          <w:szCs w:val="21"/>
        </w:rPr>
        <w:t xml:space="preserve">SP is high-volume but lower-value per order: </w:t>
      </w:r>
      <w:r>
        <w:rPr>
          <w:sz w:val="21"/>
          <w:szCs w:val="21"/>
        </w:rPr>
        <w:t xml:space="preserve">SP holds a larger share of orders (41.98%) than of revenue (37.41%), and its AOV (142.47) is the lowest among the top-10 states — likely reflecting a more saturated, price-competitive market rather than a data or performance issue.</w:t>
      </w:r>
    </w:p>
    <w:p>
      <w:pPr>
        <w:spacing w:after="100"/>
      </w:pPr>
      <w:r>
        <w:rPr>
          <w:b/>
          <w:bCs/>
          <w:color w:val="1F3864"/>
          <w:sz w:val="21"/>
          <w:szCs w:val="21"/>
        </w:rPr>
        <w:t xml:space="preserve">Inverse AOV pattern in low-volume states: </w:t>
      </w:r>
      <w:r>
        <w:rPr>
          <w:sz w:val="21"/>
          <w:szCs w:val="21"/>
        </w:rPr>
        <w:t xml:space="preserve">Smaller, more remote states (e.g., PB at 266.60 AOV, AC at 244.83, AP at 240.92) show some of the highest AOVs in the dataset — the same high-volume/low-value vs. low-volume/high-value tension identified in Product Performance, appearing here at the geographic dimension.</w:t>
      </w:r>
    </w:p>
    <w:p>
      <w:pPr>
        <w:pStyle w:val="Heading2"/>
        <w:spacing w:after="100" w:before="240"/>
      </w:pPr>
      <w:r>
        <w:t xml:space="preserve">6.2 Top Cities by Revenue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3864" w:val="clear"/>
            <w:tcMar>
              <w:top w:type="dxa" w:w="60"/>
              <w:left w:type="dxa" w:w="100"/>
              <w:bottom w:type="dxa" w:w="60"/>
              <w:right w:type="dxa" w:w="100"/>
            </w:tcMar>
          </w:tcPr>
          <w:p>
            <w:r>
              <w:rPr>
                <w:b/>
                <w:bCs/>
                <w:color w:val="FFFFFF"/>
                <w:sz w:val="19"/>
                <w:szCs w:val="19"/>
              </w:rPr>
              <w:t xml:space="preserve">City</w:t>
            </w:r>
          </w:p>
        </w:tc>
        <w:tc>
          <w:tcPr>
            <w:tcW w:type="dxa" w:w="2520"/>
            <w:shd w:fill="1F3864" w:val="clear"/>
            <w:tcMar>
              <w:top w:type="dxa" w:w="60"/>
              <w:left w:type="dxa" w:w="100"/>
              <w:bottom w:type="dxa" w:w="60"/>
              <w:right w:type="dxa" w:w="100"/>
            </w:tcMar>
          </w:tcPr>
          <w:p>
            <w:r>
              <w:rPr>
                <w:b/>
                <w:bCs/>
                <w:color w:val="FFFFFF"/>
                <w:sz w:val="19"/>
                <w:szCs w:val="19"/>
              </w:rPr>
              <w:t xml:space="preserve">State</w:t>
            </w:r>
          </w:p>
        </w:tc>
        <w:tc>
          <w:tcPr>
            <w:tcW w:type="dxa" w:w="2520"/>
            <w:shd w:fill="1F3864" w:val="clear"/>
            <w:tcMar>
              <w:top w:type="dxa" w:w="60"/>
              <w:left w:type="dxa" w:w="100"/>
              <w:bottom w:type="dxa" w:w="60"/>
              <w:right w:type="dxa" w:w="100"/>
            </w:tcMar>
          </w:tcPr>
          <w:p>
            <w:r>
              <w:rPr>
                <w:b/>
                <w:bCs/>
                <w:color w:val="FFFFFF"/>
                <w:sz w:val="19"/>
                <w:szCs w:val="19"/>
              </w:rPr>
              <w:t xml:space="preserve">Orders</w:t>
            </w:r>
          </w:p>
        </w:tc>
        <w:tc>
          <w:tcPr>
            <w:tcW w:type="dxa" w:w="2520"/>
            <w:shd w:fill="1F3864" w:val="clear"/>
            <w:tcMar>
              <w:top w:type="dxa" w:w="60"/>
              <w:left w:type="dxa" w:w="100"/>
              <w:bottom w:type="dxa" w:w="60"/>
              <w:right w:type="dxa" w:w="100"/>
            </w:tcMar>
          </w:tcPr>
          <w:p>
            <w:r>
              <w:rPr>
                <w:b/>
                <w:bCs/>
                <w:color w:val="FFFFFF"/>
                <w:sz w:val="19"/>
                <w:szCs w:val="19"/>
              </w:rPr>
              <w:t xml:space="preserve">Revenue (BRL)</w:t>
            </w:r>
          </w:p>
        </w:tc>
      </w:tr>
      <w:tr>
        <w:tc>
          <w:tcPr>
            <w:tcW w:type="dxa" w:w="2520"/>
            <w:shd w:fill="FFFFFF" w:val="clear"/>
            <w:tcMar>
              <w:top w:type="dxa" w:w="50"/>
              <w:left w:type="dxa" w:w="100"/>
              <w:bottom w:type="dxa" w:w="50"/>
              <w:right w:type="dxa" w:w="100"/>
            </w:tcMar>
          </w:tcPr>
          <w:p>
            <w:r>
              <w:rPr>
                <w:sz w:val="19"/>
                <w:szCs w:val="19"/>
              </w:rPr>
              <w:t xml:space="preserve">São Paulo</w:t>
            </w:r>
          </w:p>
        </w:tc>
        <w:tc>
          <w:tcPr>
            <w:tcW w:type="dxa" w:w="2520"/>
            <w:shd w:fill="FFFFFF" w:val="clear"/>
            <w:tcMar>
              <w:top w:type="dxa" w:w="50"/>
              <w:left w:type="dxa" w:w="100"/>
              <w:bottom w:type="dxa" w:w="50"/>
              <w:right w:type="dxa" w:w="100"/>
            </w:tcMar>
          </w:tcPr>
          <w:p>
            <w:r>
              <w:rPr>
                <w:sz w:val="19"/>
                <w:szCs w:val="19"/>
              </w:rPr>
              <w:t xml:space="preserve">SP</w:t>
            </w:r>
          </w:p>
        </w:tc>
        <w:tc>
          <w:tcPr>
            <w:tcW w:type="dxa" w:w="2520"/>
            <w:shd w:fill="FFFFFF" w:val="clear"/>
            <w:tcMar>
              <w:top w:type="dxa" w:w="50"/>
              <w:left w:type="dxa" w:w="100"/>
              <w:bottom w:type="dxa" w:w="50"/>
              <w:right w:type="dxa" w:w="100"/>
            </w:tcMar>
          </w:tcPr>
          <w:p>
            <w:r>
              <w:rPr>
                <w:sz w:val="19"/>
                <w:szCs w:val="19"/>
              </w:rPr>
              <w:t xml:space="preserve">15,045</w:t>
            </w:r>
          </w:p>
        </w:tc>
        <w:tc>
          <w:tcPr>
            <w:tcW w:type="dxa" w:w="2520"/>
            <w:shd w:fill="FFFFFF" w:val="clear"/>
            <w:tcMar>
              <w:top w:type="dxa" w:w="50"/>
              <w:left w:type="dxa" w:w="100"/>
              <w:bottom w:type="dxa" w:w="50"/>
              <w:right w:type="dxa" w:w="100"/>
            </w:tcMar>
          </w:tcPr>
          <w:p>
            <w:r>
              <w:rPr>
                <w:sz w:val="19"/>
                <w:szCs w:val="19"/>
              </w:rPr>
              <w:t xml:space="preserve">2,108,162.22</w:t>
            </w:r>
          </w:p>
        </w:tc>
      </w:tr>
      <w:tr>
        <w:tc>
          <w:tcPr>
            <w:tcW w:type="dxa" w:w="2520"/>
            <w:shd w:fill="F2F2F2" w:val="clear"/>
            <w:tcMar>
              <w:top w:type="dxa" w:w="50"/>
              <w:left w:type="dxa" w:w="100"/>
              <w:bottom w:type="dxa" w:w="50"/>
              <w:right w:type="dxa" w:w="100"/>
            </w:tcMar>
          </w:tcPr>
          <w:p>
            <w:r>
              <w:rPr>
                <w:sz w:val="19"/>
                <w:szCs w:val="19"/>
              </w:rPr>
              <w:t xml:space="preserve">Rio de Janeiro</w:t>
            </w:r>
          </w:p>
        </w:tc>
        <w:tc>
          <w:tcPr>
            <w:tcW w:type="dxa" w:w="2520"/>
            <w:shd w:fill="F2F2F2" w:val="clear"/>
            <w:tcMar>
              <w:top w:type="dxa" w:w="50"/>
              <w:left w:type="dxa" w:w="100"/>
              <w:bottom w:type="dxa" w:w="50"/>
              <w:right w:type="dxa" w:w="100"/>
            </w:tcMar>
          </w:tcPr>
          <w:p>
            <w:r>
              <w:rPr>
                <w:sz w:val="19"/>
                <w:szCs w:val="19"/>
              </w:rPr>
              <w:t xml:space="preserve">RJ</w:t>
            </w:r>
          </w:p>
        </w:tc>
        <w:tc>
          <w:tcPr>
            <w:tcW w:type="dxa" w:w="2520"/>
            <w:shd w:fill="F2F2F2" w:val="clear"/>
            <w:tcMar>
              <w:top w:type="dxa" w:w="50"/>
              <w:left w:type="dxa" w:w="100"/>
              <w:bottom w:type="dxa" w:w="50"/>
              <w:right w:type="dxa" w:w="100"/>
            </w:tcMar>
          </w:tcPr>
          <w:p>
            <w:r>
              <w:rPr>
                <w:sz w:val="19"/>
                <w:szCs w:val="19"/>
              </w:rPr>
              <w:t xml:space="preserve">6,601</w:t>
            </w:r>
          </w:p>
        </w:tc>
        <w:tc>
          <w:tcPr>
            <w:tcW w:type="dxa" w:w="2520"/>
            <w:shd w:fill="F2F2F2" w:val="clear"/>
            <w:tcMar>
              <w:top w:type="dxa" w:w="50"/>
              <w:left w:type="dxa" w:w="100"/>
              <w:bottom w:type="dxa" w:w="50"/>
              <w:right w:type="dxa" w:w="100"/>
            </w:tcMar>
          </w:tcPr>
          <w:p>
            <w:r>
              <w:rPr>
                <w:sz w:val="19"/>
                <w:szCs w:val="19"/>
              </w:rPr>
              <w:t xml:space="preserve">1,111,872.32</w:t>
            </w:r>
          </w:p>
        </w:tc>
      </w:tr>
      <w:tr>
        <w:tc>
          <w:tcPr>
            <w:tcW w:type="dxa" w:w="2520"/>
            <w:shd w:fill="FFFFFF" w:val="clear"/>
            <w:tcMar>
              <w:top w:type="dxa" w:w="50"/>
              <w:left w:type="dxa" w:w="100"/>
              <w:bottom w:type="dxa" w:w="50"/>
              <w:right w:type="dxa" w:w="100"/>
            </w:tcMar>
          </w:tcPr>
          <w:p>
            <w:r>
              <w:rPr>
                <w:sz w:val="19"/>
                <w:szCs w:val="19"/>
              </w:rPr>
              <w:t xml:space="preserve">Belo Horizonte</w:t>
            </w:r>
          </w:p>
        </w:tc>
        <w:tc>
          <w:tcPr>
            <w:tcW w:type="dxa" w:w="2520"/>
            <w:shd w:fill="FFFFFF" w:val="clear"/>
            <w:tcMar>
              <w:top w:type="dxa" w:w="50"/>
              <w:left w:type="dxa" w:w="100"/>
              <w:bottom w:type="dxa" w:w="50"/>
              <w:right w:type="dxa" w:w="100"/>
            </w:tcMar>
          </w:tcPr>
          <w:p>
            <w:r>
              <w:rPr>
                <w:sz w:val="19"/>
                <w:szCs w:val="19"/>
              </w:rPr>
              <w:t xml:space="preserve">MG</w:t>
            </w:r>
          </w:p>
        </w:tc>
        <w:tc>
          <w:tcPr>
            <w:tcW w:type="dxa" w:w="2520"/>
            <w:shd w:fill="FFFFFF" w:val="clear"/>
            <w:tcMar>
              <w:top w:type="dxa" w:w="50"/>
              <w:left w:type="dxa" w:w="100"/>
              <w:bottom w:type="dxa" w:w="50"/>
              <w:right w:type="dxa" w:w="100"/>
            </w:tcMar>
          </w:tcPr>
          <w:p>
            <w:r>
              <w:rPr>
                <w:sz w:val="19"/>
                <w:szCs w:val="19"/>
              </w:rPr>
              <w:t xml:space="preserve">2,697</w:t>
            </w:r>
          </w:p>
        </w:tc>
        <w:tc>
          <w:tcPr>
            <w:tcW w:type="dxa" w:w="2520"/>
            <w:shd w:fill="FFFFFF" w:val="clear"/>
            <w:tcMar>
              <w:top w:type="dxa" w:w="50"/>
              <w:left w:type="dxa" w:w="100"/>
              <w:bottom w:type="dxa" w:w="50"/>
              <w:right w:type="dxa" w:w="100"/>
            </w:tcMar>
          </w:tcPr>
          <w:p>
            <w:r>
              <w:rPr>
                <w:sz w:val="19"/>
                <w:szCs w:val="19"/>
              </w:rPr>
              <w:t xml:space="preserve">406,050.87</w:t>
            </w:r>
          </w:p>
        </w:tc>
      </w:tr>
      <w:tr>
        <w:tc>
          <w:tcPr>
            <w:tcW w:type="dxa" w:w="2520"/>
            <w:shd w:fill="F2F2F2" w:val="clear"/>
            <w:tcMar>
              <w:top w:type="dxa" w:w="50"/>
              <w:left w:type="dxa" w:w="100"/>
              <w:bottom w:type="dxa" w:w="50"/>
              <w:right w:type="dxa" w:w="100"/>
            </w:tcMar>
          </w:tcPr>
          <w:p>
            <w:r>
              <w:rPr>
                <w:sz w:val="19"/>
                <w:szCs w:val="19"/>
              </w:rPr>
              <w:t xml:space="preserve">Brasília</w:t>
            </w:r>
          </w:p>
        </w:tc>
        <w:tc>
          <w:tcPr>
            <w:tcW w:type="dxa" w:w="2520"/>
            <w:shd w:fill="F2F2F2" w:val="clear"/>
            <w:tcMar>
              <w:top w:type="dxa" w:w="50"/>
              <w:left w:type="dxa" w:w="100"/>
              <w:bottom w:type="dxa" w:w="50"/>
              <w:right w:type="dxa" w:w="100"/>
            </w:tcMar>
          </w:tcPr>
          <w:p>
            <w:r>
              <w:rPr>
                <w:sz w:val="19"/>
                <w:szCs w:val="19"/>
              </w:rPr>
              <w:t xml:space="preserve">DF</w:t>
            </w:r>
          </w:p>
        </w:tc>
        <w:tc>
          <w:tcPr>
            <w:tcW w:type="dxa" w:w="2520"/>
            <w:shd w:fill="F2F2F2" w:val="clear"/>
            <w:tcMar>
              <w:top w:type="dxa" w:w="50"/>
              <w:left w:type="dxa" w:w="100"/>
              <w:bottom w:type="dxa" w:w="50"/>
              <w:right w:type="dxa" w:w="100"/>
            </w:tcMar>
          </w:tcPr>
          <w:p>
            <w:r>
              <w:rPr>
                <w:sz w:val="19"/>
                <w:szCs w:val="19"/>
              </w:rPr>
              <w:t xml:space="preserve">2,071</w:t>
            </w:r>
          </w:p>
        </w:tc>
        <w:tc>
          <w:tcPr>
            <w:tcW w:type="dxa" w:w="2520"/>
            <w:shd w:fill="F2F2F2" w:val="clear"/>
            <w:tcMar>
              <w:top w:type="dxa" w:w="50"/>
              <w:left w:type="dxa" w:w="100"/>
              <w:bottom w:type="dxa" w:w="50"/>
              <w:right w:type="dxa" w:w="100"/>
            </w:tcMar>
          </w:tcPr>
          <w:p>
            <w:r>
              <w:rPr>
                <w:sz w:val="19"/>
                <w:szCs w:val="19"/>
              </w:rPr>
              <w:t xml:space="preserve">345,221.87</w:t>
            </w:r>
          </w:p>
        </w:tc>
      </w:tr>
      <w:tr>
        <w:tc>
          <w:tcPr>
            <w:tcW w:type="dxa" w:w="2520"/>
            <w:shd w:fill="FFFFFF" w:val="clear"/>
            <w:tcMar>
              <w:top w:type="dxa" w:w="50"/>
              <w:left w:type="dxa" w:w="100"/>
              <w:bottom w:type="dxa" w:w="50"/>
              <w:right w:type="dxa" w:w="100"/>
            </w:tcMar>
          </w:tcPr>
          <w:p>
            <w:r>
              <w:rPr>
                <w:sz w:val="19"/>
                <w:szCs w:val="19"/>
              </w:rPr>
              <w:t xml:space="preserve">Curitiba</w:t>
            </w:r>
          </w:p>
        </w:tc>
        <w:tc>
          <w:tcPr>
            <w:tcW w:type="dxa" w:w="2520"/>
            <w:shd w:fill="FFFFFF" w:val="clear"/>
            <w:tcMar>
              <w:top w:type="dxa" w:w="50"/>
              <w:left w:type="dxa" w:w="100"/>
              <w:bottom w:type="dxa" w:w="50"/>
              <w:right w:type="dxa" w:w="100"/>
            </w:tcMar>
          </w:tcPr>
          <w:p>
            <w:r>
              <w:rPr>
                <w:sz w:val="19"/>
                <w:szCs w:val="19"/>
              </w:rPr>
              <w:t xml:space="preserve">PR</w:t>
            </w:r>
          </w:p>
        </w:tc>
        <w:tc>
          <w:tcPr>
            <w:tcW w:type="dxa" w:w="2520"/>
            <w:shd w:fill="FFFFFF" w:val="clear"/>
            <w:tcMar>
              <w:top w:type="dxa" w:w="50"/>
              <w:left w:type="dxa" w:w="100"/>
              <w:bottom w:type="dxa" w:w="50"/>
              <w:right w:type="dxa" w:w="100"/>
            </w:tcMar>
          </w:tcPr>
          <w:p>
            <w:r>
              <w:rPr>
                <w:sz w:val="19"/>
                <w:szCs w:val="19"/>
              </w:rPr>
              <w:t xml:space="preserve">1,489</w:t>
            </w:r>
          </w:p>
        </w:tc>
        <w:tc>
          <w:tcPr>
            <w:tcW w:type="dxa" w:w="2520"/>
            <w:shd w:fill="FFFFFF" w:val="clear"/>
            <w:tcMar>
              <w:top w:type="dxa" w:w="50"/>
              <w:left w:type="dxa" w:w="100"/>
              <w:bottom w:type="dxa" w:w="50"/>
              <w:right w:type="dxa" w:w="100"/>
            </w:tcMar>
          </w:tcPr>
          <w:p>
            <w:r>
              <w:rPr>
                <w:sz w:val="19"/>
                <w:szCs w:val="19"/>
              </w:rPr>
              <w:t xml:space="preserve">238,582.26</w:t>
            </w:r>
          </w:p>
        </w:tc>
      </w:tr>
    </w:tbl>
    <w:p>
      <w:pPr>
        <w:spacing w:after="160"/>
      </w:pPr>
    </w:p>
    <w:p>
      <w:pPr>
        <w:spacing w:after="80" w:before="180"/>
      </w:pPr>
      <w:r>
        <w:rPr>
          <w:b/>
          <w:bCs/>
          <w:color w:val="1F3864"/>
          <w:sz w:val="22"/>
          <w:szCs w:val="22"/>
        </w:rPr>
        <w:t xml:space="preserve">6.2.1 Interpretation</w:t>
      </w:r>
    </w:p>
    <w:p>
      <w:pPr>
        <w:spacing w:after="100"/>
      </w:pPr>
      <w:r>
        <w:rPr>
          <w:b/>
          <w:bCs/>
          <w:color w:val="1F3864"/>
          <w:sz w:val="21"/>
          <w:szCs w:val="21"/>
        </w:rPr>
        <w:t xml:space="preserve">Metro-level concentration exceeds state-level concentration: </w:t>
      </w:r>
      <w:r>
        <w:rPr>
          <w:sz w:val="21"/>
          <w:szCs w:val="21"/>
        </w:rPr>
        <w:t xml:space="preserve">São Paulo city alone accounts for 37.1% of SP state's total order volume; Rio de Janeiro city accounts for 53.5% of RJ state's volume. Five of the top 15 cities nationally are within SP state, indicating demand concentration is metro-driven, not merely state-driven.</w:t>
      </w:r>
    </w:p>
    <w:p>
      <w:pPr>
        <w:pStyle w:val="Heading2"/>
        <w:spacing w:after="100" w:before="240"/>
      </w:pPr>
      <w:r>
        <w:t xml:space="preserve">6.3 Business Significance</w:t>
      </w:r>
    </w:p>
    <w:p>
      <w:pPr>
        <w:spacing w:after="120"/>
        <w:jc w:val="left"/>
      </w:pPr>
      <w:r>
        <w:rPr>
          <w:b w:val="false"/>
          <w:bCs w:val="false"/>
          <w:i w:val="false"/>
          <w:iCs w:val="false"/>
          <w:sz w:val="21"/>
          <w:szCs w:val="21"/>
        </w:rPr>
        <w:t xml:space="preserve">A regional strategy framed only around "Southeast Brazil" would be too coarse; the demand base is more precisely described as concentrated in Greater São Paulo and Rio de Janeiro city specifically. High-volume states (SP, RJ) represent markets to defend via retention and logistics efficiency, while lower-volume, higher-AOV northern states represent a different strategic profile — potentially higher-margin-per-order opportunities, contingent on delivery performance in those regions (examined in Objective 5).</w:t>
      </w:r>
    </w:p>
    <w:p>
      <w:pPr>
        <w:pBdr>
          <w:bottom w:val="single" w:color="AAAAAA" w:sz="6" w:space="1"/>
        </w:pBdr>
        <w:spacing w:after="200"/>
      </w:pPr>
    </w:p>
    <w:p>
      <w:pPr>
        <w:pStyle w:val="Heading1"/>
        <w:spacing w:after="140" w:before="320"/>
      </w:pPr>
      <w:r>
        <w:t xml:space="preserve">7. Objective 5 — Delivery Performance</w:t>
      </w:r>
    </w:p>
    <w:p>
      <w:pPr>
        <w:spacing w:after="120"/>
        <w:jc w:val="left"/>
      </w:pPr>
      <w:r>
        <w:rPr>
          <w:b w:val="false"/>
          <w:bCs w:val="false"/>
          <w:i w:val="false"/>
          <w:iCs w:val="false"/>
          <w:sz w:val="21"/>
          <w:szCs w:val="21"/>
        </w:rPr>
        <w:t xml:space="preserve">Business Question: Are deliveries meeting expectations, based on estimated vs. actual delivery dates?</w:t>
      </w:r>
    </w:p>
    <w:p>
      <w:pPr>
        <w:spacing w:after="120"/>
        <w:jc w:val="left"/>
      </w:pPr>
      <w:r>
        <w:rPr>
          <w:b w:val="false"/>
          <w:bCs w:val="false"/>
          <w:i w:val="false"/>
          <w:iCs w:val="false"/>
          <w:sz w:val="21"/>
          <w:szCs w:val="21"/>
        </w:rPr>
        <w:t xml:space="preserve">All KPIs in this section are computed against the 95,082-order eligible population established in Section 2. A clear distinction is maintained throughout between Average Delivery Time (purchase-to-customer duration) and Average Delivery Delay (actual vs. estimated delivery date) — these measure different things, and conflating them would misstate operational performance.</w:t>
      </w:r>
    </w:p>
    <w:p>
      <w:pPr>
        <w:pStyle w:val="Heading2"/>
        <w:spacing w:after="100" w:before="240"/>
      </w:pPr>
      <w:r>
        <w:t xml:space="preserve">7.1 Headline KPIs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60"/>
              <w:left w:type="dxa" w:w="100"/>
              <w:bottom w:type="dxa" w:w="60"/>
              <w:right w:type="dxa" w:w="100"/>
            </w:tcMar>
          </w:tcPr>
          <w:p>
            <w:r>
              <w:rPr>
                <w:b/>
                <w:bCs/>
                <w:color w:val="FFFFFF"/>
                <w:sz w:val="19"/>
                <w:szCs w:val="19"/>
              </w:rPr>
              <w:t xml:space="preserve">KPI</w:t>
            </w:r>
          </w:p>
        </w:tc>
        <w:tc>
          <w:tcPr>
            <w:tcW w:type="dxa" w:w="5040"/>
            <w:shd w:fill="1F3864" w:val="clear"/>
            <w:tcMar>
              <w:top w:type="dxa" w:w="60"/>
              <w:left w:type="dxa" w:w="100"/>
              <w:bottom w:type="dxa" w:w="60"/>
              <w:right w:type="dxa" w:w="100"/>
            </w:tcMar>
          </w:tcPr>
          <w:p>
            <w:r>
              <w:rPr>
                <w:b/>
                <w:bCs/>
                <w:color w:val="FFFFFF"/>
                <w:sz w:val="19"/>
                <w:szCs w:val="19"/>
              </w:rPr>
              <w:t xml:space="preserve">Value</w:t>
            </w:r>
          </w:p>
        </w:tc>
      </w:tr>
      <w:tr>
        <w:tc>
          <w:tcPr>
            <w:tcW w:type="dxa" w:w="5040"/>
            <w:shd w:fill="FFFFFF" w:val="clear"/>
            <w:tcMar>
              <w:top w:type="dxa" w:w="50"/>
              <w:left w:type="dxa" w:w="100"/>
              <w:bottom w:type="dxa" w:w="50"/>
              <w:right w:type="dxa" w:w="100"/>
            </w:tcMar>
          </w:tcPr>
          <w:p>
            <w:r>
              <w:rPr>
                <w:sz w:val="19"/>
                <w:szCs w:val="19"/>
              </w:rPr>
              <w:t xml:space="preserve">Eligible Orders</w:t>
            </w:r>
          </w:p>
        </w:tc>
        <w:tc>
          <w:tcPr>
            <w:tcW w:type="dxa" w:w="5040"/>
            <w:shd w:fill="FFFFFF" w:val="clear"/>
            <w:tcMar>
              <w:top w:type="dxa" w:w="50"/>
              <w:left w:type="dxa" w:w="100"/>
              <w:bottom w:type="dxa" w:w="50"/>
              <w:right w:type="dxa" w:w="100"/>
            </w:tcMar>
          </w:tcPr>
          <w:p>
            <w:r>
              <w:rPr>
                <w:sz w:val="19"/>
                <w:szCs w:val="19"/>
              </w:rPr>
              <w:t xml:space="preserve">95,082</w:t>
            </w:r>
          </w:p>
        </w:tc>
      </w:tr>
      <w:tr>
        <w:tc>
          <w:tcPr>
            <w:tcW w:type="dxa" w:w="5040"/>
            <w:shd w:fill="F2F2F2" w:val="clear"/>
            <w:tcMar>
              <w:top w:type="dxa" w:w="50"/>
              <w:left w:type="dxa" w:w="100"/>
              <w:bottom w:type="dxa" w:w="50"/>
              <w:right w:type="dxa" w:w="100"/>
            </w:tcMar>
          </w:tcPr>
          <w:p>
            <w:r>
              <w:rPr>
                <w:sz w:val="19"/>
                <w:szCs w:val="19"/>
              </w:rPr>
              <w:t xml:space="preserve">On-Time Delivery Rate</w:t>
            </w:r>
          </w:p>
        </w:tc>
        <w:tc>
          <w:tcPr>
            <w:tcW w:type="dxa" w:w="5040"/>
            <w:shd w:fill="F2F2F2" w:val="clear"/>
            <w:tcMar>
              <w:top w:type="dxa" w:w="50"/>
              <w:left w:type="dxa" w:w="100"/>
              <w:bottom w:type="dxa" w:w="50"/>
              <w:right w:type="dxa" w:w="100"/>
            </w:tcMar>
          </w:tcPr>
          <w:p>
            <w:r>
              <w:rPr>
                <w:sz w:val="19"/>
                <w:szCs w:val="19"/>
              </w:rPr>
              <w:t xml:space="preserve">91.80%</w:t>
            </w:r>
          </w:p>
        </w:tc>
      </w:tr>
      <w:tr>
        <w:tc>
          <w:tcPr>
            <w:tcW w:type="dxa" w:w="5040"/>
            <w:shd w:fill="FFFFFF" w:val="clear"/>
            <w:tcMar>
              <w:top w:type="dxa" w:w="50"/>
              <w:left w:type="dxa" w:w="100"/>
              <w:bottom w:type="dxa" w:w="50"/>
              <w:right w:type="dxa" w:w="100"/>
            </w:tcMar>
          </w:tcPr>
          <w:p>
            <w:r>
              <w:rPr>
                <w:sz w:val="19"/>
                <w:szCs w:val="19"/>
              </w:rPr>
              <w:t xml:space="preserve">Late Delivery Rate</w:t>
            </w:r>
          </w:p>
        </w:tc>
        <w:tc>
          <w:tcPr>
            <w:tcW w:type="dxa" w:w="5040"/>
            <w:shd w:fill="FFFFFF" w:val="clear"/>
            <w:tcMar>
              <w:top w:type="dxa" w:w="50"/>
              <w:left w:type="dxa" w:w="100"/>
              <w:bottom w:type="dxa" w:w="50"/>
              <w:right w:type="dxa" w:w="100"/>
            </w:tcMar>
          </w:tcPr>
          <w:p>
            <w:r>
              <w:rPr>
                <w:sz w:val="19"/>
                <w:szCs w:val="19"/>
              </w:rPr>
              <w:t xml:space="preserve">8.20%</w:t>
            </w:r>
          </w:p>
        </w:tc>
      </w:tr>
      <w:tr>
        <w:tc>
          <w:tcPr>
            <w:tcW w:type="dxa" w:w="5040"/>
            <w:shd w:fill="F2F2F2" w:val="clear"/>
            <w:tcMar>
              <w:top w:type="dxa" w:w="50"/>
              <w:left w:type="dxa" w:w="100"/>
              <w:bottom w:type="dxa" w:w="50"/>
              <w:right w:type="dxa" w:w="100"/>
            </w:tcMar>
          </w:tcPr>
          <w:p>
            <w:r>
              <w:rPr>
                <w:sz w:val="19"/>
                <w:szCs w:val="19"/>
              </w:rPr>
              <w:t xml:space="preserve">Average Delivery Time</w:t>
            </w:r>
          </w:p>
        </w:tc>
        <w:tc>
          <w:tcPr>
            <w:tcW w:type="dxa" w:w="5040"/>
            <w:shd w:fill="F2F2F2" w:val="clear"/>
            <w:tcMar>
              <w:top w:type="dxa" w:w="50"/>
              <w:left w:type="dxa" w:w="100"/>
              <w:bottom w:type="dxa" w:w="50"/>
              <w:right w:type="dxa" w:w="100"/>
            </w:tcMar>
          </w:tcPr>
          <w:p>
            <w:r>
              <w:rPr>
                <w:sz w:val="19"/>
                <w:szCs w:val="19"/>
              </w:rPr>
              <w:t xml:space="preserve">12.56 days</w:t>
            </w:r>
          </w:p>
        </w:tc>
      </w:tr>
      <w:tr>
        <w:tc>
          <w:tcPr>
            <w:tcW w:type="dxa" w:w="5040"/>
            <w:shd w:fill="FFFFFF" w:val="clear"/>
            <w:tcMar>
              <w:top w:type="dxa" w:w="50"/>
              <w:left w:type="dxa" w:w="100"/>
              <w:bottom w:type="dxa" w:w="50"/>
              <w:right w:type="dxa" w:w="100"/>
            </w:tcMar>
          </w:tcPr>
          <w:p>
            <w:r>
              <w:rPr>
                <w:sz w:val="19"/>
                <w:szCs w:val="19"/>
              </w:rPr>
              <w:t xml:space="preserve">Average Delivery Delay</w:t>
            </w:r>
          </w:p>
        </w:tc>
        <w:tc>
          <w:tcPr>
            <w:tcW w:type="dxa" w:w="5040"/>
            <w:shd w:fill="FFFFFF" w:val="clear"/>
            <w:tcMar>
              <w:top w:type="dxa" w:w="50"/>
              <w:left w:type="dxa" w:w="100"/>
              <w:bottom w:type="dxa" w:w="50"/>
              <w:right w:type="dxa" w:w="100"/>
            </w:tcMar>
          </w:tcPr>
          <w:p>
            <w:r>
              <w:rPr>
                <w:sz w:val="19"/>
                <w:szCs w:val="19"/>
              </w:rPr>
              <w:t xml:space="preserve">-11.13 days</w:t>
            </w:r>
          </w:p>
        </w:tc>
      </w:tr>
    </w:tbl>
    <w:p>
      <w:pPr>
        <w:spacing w:after="160"/>
      </w:pPr>
    </w:p>
    <w:p>
      <w:pPr>
        <w:spacing w:after="80" w:before="180"/>
      </w:pPr>
      <w:r>
        <w:rPr>
          <w:b/>
          <w:bCs/>
          <w:color w:val="1F3864"/>
          <w:sz w:val="22"/>
          <w:szCs w:val="22"/>
        </w:rPr>
        <w:t xml:space="preserve">7.1.1 Interpretation</w:t>
      </w:r>
    </w:p>
    <w:p>
      <w:pPr>
        <w:spacing w:after="100"/>
      </w:pPr>
      <w:r>
        <w:rPr>
          <w:b/>
          <w:bCs/>
          <w:color w:val="1F3864"/>
          <w:sz w:val="21"/>
          <w:szCs w:val="21"/>
        </w:rPr>
        <w:t xml:space="preserve">Estimated delivery dates carry a large built-in buffer: </w:t>
      </w:r>
      <w:r>
        <w:rPr>
          <w:sz w:val="21"/>
          <w:szCs w:val="21"/>
        </w:rPr>
        <w:t xml:space="preserve">The average order arrives approximately 11.13 days before its estimated delivery date — nearly as long as the actual average transit time itself (12.56 days). This is the key mechanism explaining how a strong 91.80% On-Time Rate coexists with a non-trivial 8.20% Late Rate: the estimate is a conservatively padded promise, not a tight SLA.</w:t>
      </w:r>
    </w:p>
    <w:p>
      <w:pPr>
        <w:spacing w:after="100"/>
      </w:pPr>
      <w:r>
        <w:rPr>
          <w:b/>
          <w:bCs/>
          <w:color w:val="1F3864"/>
          <w:sz w:val="21"/>
          <w:szCs w:val="21"/>
        </w:rPr>
        <w:t xml:space="preserve">Dual business implication: </w:t>
      </w:r>
      <w:r>
        <w:rPr>
          <w:sz w:val="21"/>
          <w:szCs w:val="21"/>
        </w:rPr>
        <w:t xml:space="preserve">Operationally, this buffer supports customer trust by reliably beating promised dates. Commercially, an 11-day average buffer may understate Olist's actual delivery capability at the point of purchase — a potential conversion-rate lever if the estimate can be tightened safely in specific markets (see 7.2).</w:t>
      </w:r>
    </w:p>
    <w:p>
      <w:pPr>
        <w:pStyle w:val="Heading2"/>
        <w:spacing w:after="100" w:before="240"/>
      </w:pPr>
      <w:r>
        <w:t xml:space="preserve">7.2 Delivery Performance by State</w:t>
      </w:r>
    </w:p>
    <w:p>
      <w:pPr>
        <w:spacing w:after="120"/>
        <w:jc w:val="left"/>
      </w:pPr>
      <w:r>
        <w:rPr>
          <w:b w:val="false"/>
          <w:bCs w:val="false"/>
          <w:i w:val="false"/>
          <w:iCs w:val="false"/>
          <w:sz w:val="21"/>
          <w:szCs w:val="21"/>
        </w:rPr>
        <w:t xml:space="preserve">On-time rate does not track uniformly with delivery time or remoteness. The buffer size (average delay) is the primary mechanism explaining on-time rate variation across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shd w:fill="1F3864" w:val="clear"/>
            <w:tcMar>
              <w:top w:type="dxa" w:w="60"/>
              <w:left w:type="dxa" w:w="100"/>
              <w:bottom w:type="dxa" w:w="60"/>
              <w:right w:type="dxa" w:w="100"/>
            </w:tcMar>
          </w:tcPr>
          <w:p>
            <w:r>
              <w:rPr>
                <w:b/>
                <w:bCs/>
                <w:color w:val="FFFFFF"/>
                <w:sz w:val="19"/>
                <w:szCs w:val="19"/>
              </w:rPr>
              <w:t xml:space="preserve">State</w:t>
            </w:r>
          </w:p>
        </w:tc>
        <w:tc>
          <w:tcPr>
            <w:tcW w:type="dxa" w:w="2016"/>
            <w:shd w:fill="1F3864" w:val="clear"/>
            <w:tcMar>
              <w:top w:type="dxa" w:w="60"/>
              <w:left w:type="dxa" w:w="100"/>
              <w:bottom w:type="dxa" w:w="60"/>
              <w:right w:type="dxa" w:w="100"/>
            </w:tcMar>
          </w:tcPr>
          <w:p>
            <w:r>
              <w:rPr>
                <w:b/>
                <w:bCs/>
                <w:color w:val="FFFFFF"/>
                <w:sz w:val="19"/>
                <w:szCs w:val="19"/>
              </w:rPr>
              <w:t xml:space="preserve">Eligible Orders</w:t>
            </w:r>
          </w:p>
        </w:tc>
        <w:tc>
          <w:tcPr>
            <w:tcW w:type="dxa" w:w="2016"/>
            <w:shd w:fill="1F3864" w:val="clear"/>
            <w:tcMar>
              <w:top w:type="dxa" w:w="60"/>
              <w:left w:type="dxa" w:w="100"/>
              <w:bottom w:type="dxa" w:w="60"/>
              <w:right w:type="dxa" w:w="100"/>
            </w:tcMar>
          </w:tcPr>
          <w:p>
            <w:r>
              <w:rPr>
                <w:b/>
                <w:bCs/>
                <w:color w:val="FFFFFF"/>
                <w:sz w:val="19"/>
                <w:szCs w:val="19"/>
              </w:rPr>
              <w:t xml:space="preserve">On-Time Rate</w:t>
            </w:r>
          </w:p>
        </w:tc>
        <w:tc>
          <w:tcPr>
            <w:tcW w:type="dxa" w:w="2016"/>
            <w:shd w:fill="1F3864" w:val="clear"/>
            <w:tcMar>
              <w:top w:type="dxa" w:w="60"/>
              <w:left w:type="dxa" w:w="100"/>
              <w:bottom w:type="dxa" w:w="60"/>
              <w:right w:type="dxa" w:w="100"/>
            </w:tcMar>
          </w:tcPr>
          <w:p>
            <w:r>
              <w:rPr>
                <w:b/>
                <w:bCs/>
                <w:color w:val="FFFFFF"/>
                <w:sz w:val="19"/>
                <w:szCs w:val="19"/>
              </w:rPr>
              <w:t xml:space="preserve">Avg. Delivery Time (days)</w:t>
            </w:r>
          </w:p>
        </w:tc>
        <w:tc>
          <w:tcPr>
            <w:tcW w:type="dxa" w:w="2016"/>
            <w:shd w:fill="1F3864" w:val="clear"/>
            <w:tcMar>
              <w:top w:type="dxa" w:w="60"/>
              <w:left w:type="dxa" w:w="100"/>
              <w:bottom w:type="dxa" w:w="60"/>
              <w:right w:type="dxa" w:w="100"/>
            </w:tcMar>
          </w:tcPr>
          <w:p>
            <w:r>
              <w:rPr>
                <w:b/>
                <w:bCs/>
                <w:color w:val="FFFFFF"/>
                <w:sz w:val="19"/>
                <w:szCs w:val="19"/>
              </w:rPr>
              <w:t xml:space="preserve">Avg. Delay (days)</w:t>
            </w:r>
          </w:p>
        </w:tc>
      </w:tr>
      <w:tr>
        <w:tc>
          <w:tcPr>
            <w:tcW w:type="dxa" w:w="2016"/>
            <w:shd w:fill="FFFFFF" w:val="clear"/>
            <w:tcMar>
              <w:top w:type="dxa" w:w="50"/>
              <w:left w:type="dxa" w:w="100"/>
              <w:bottom w:type="dxa" w:w="50"/>
              <w:right w:type="dxa" w:w="100"/>
            </w:tcMar>
          </w:tcPr>
          <w:p>
            <w:r>
              <w:rPr>
                <w:sz w:val="19"/>
                <w:szCs w:val="19"/>
              </w:rPr>
              <w:t xml:space="preserve">AL</w:t>
            </w:r>
          </w:p>
        </w:tc>
        <w:tc>
          <w:tcPr>
            <w:tcW w:type="dxa" w:w="2016"/>
            <w:shd w:fill="FFFFFF" w:val="clear"/>
            <w:tcMar>
              <w:top w:type="dxa" w:w="50"/>
              <w:left w:type="dxa" w:w="100"/>
              <w:bottom w:type="dxa" w:w="50"/>
              <w:right w:type="dxa" w:w="100"/>
            </w:tcMar>
          </w:tcPr>
          <w:p>
            <w:r>
              <w:rPr>
                <w:sz w:val="19"/>
                <w:szCs w:val="19"/>
              </w:rPr>
              <w:t xml:space="preserve">393</w:t>
            </w:r>
          </w:p>
        </w:tc>
        <w:tc>
          <w:tcPr>
            <w:tcW w:type="dxa" w:w="2016"/>
            <w:shd w:fill="FFFFFF" w:val="clear"/>
            <w:tcMar>
              <w:top w:type="dxa" w:w="50"/>
              <w:left w:type="dxa" w:w="100"/>
              <w:bottom w:type="dxa" w:w="50"/>
              <w:right w:type="dxa" w:w="100"/>
            </w:tcMar>
          </w:tcPr>
          <w:p>
            <w:r>
              <w:rPr>
                <w:sz w:val="19"/>
                <w:szCs w:val="19"/>
              </w:rPr>
              <w:t xml:space="preserve">76.34%</w:t>
            </w:r>
          </w:p>
        </w:tc>
        <w:tc>
          <w:tcPr>
            <w:tcW w:type="dxa" w:w="2016"/>
            <w:shd w:fill="FFFFFF" w:val="clear"/>
            <w:tcMar>
              <w:top w:type="dxa" w:w="50"/>
              <w:left w:type="dxa" w:w="100"/>
              <w:bottom w:type="dxa" w:w="50"/>
              <w:right w:type="dxa" w:w="100"/>
            </w:tcMar>
          </w:tcPr>
          <w:p>
            <w:r>
              <w:rPr>
                <w:sz w:val="19"/>
                <w:szCs w:val="19"/>
              </w:rPr>
              <w:t xml:space="preserve">24.34</w:t>
            </w:r>
          </w:p>
        </w:tc>
        <w:tc>
          <w:tcPr>
            <w:tcW w:type="dxa" w:w="2016"/>
            <w:shd w:fill="FFFFFF" w:val="clear"/>
            <w:tcMar>
              <w:top w:type="dxa" w:w="50"/>
              <w:left w:type="dxa" w:w="100"/>
              <w:bottom w:type="dxa" w:w="50"/>
              <w:right w:type="dxa" w:w="100"/>
            </w:tcMar>
          </w:tcPr>
          <w:p>
            <w:r>
              <w:rPr>
                <w:sz w:val="19"/>
                <w:szCs w:val="19"/>
              </w:rPr>
              <w:t xml:space="preserve">-8.24</w:t>
            </w:r>
          </w:p>
        </w:tc>
      </w:tr>
      <w:tr>
        <w:tc>
          <w:tcPr>
            <w:tcW w:type="dxa" w:w="2016"/>
            <w:shd w:fill="F2F2F2" w:val="clear"/>
            <w:tcMar>
              <w:top w:type="dxa" w:w="50"/>
              <w:left w:type="dxa" w:w="100"/>
              <w:bottom w:type="dxa" w:w="50"/>
              <w:right w:type="dxa" w:w="100"/>
            </w:tcMar>
          </w:tcPr>
          <w:p>
            <w:r>
              <w:rPr>
                <w:sz w:val="19"/>
                <w:szCs w:val="19"/>
              </w:rPr>
              <w:t xml:space="preserve">MA</w:t>
            </w:r>
          </w:p>
        </w:tc>
        <w:tc>
          <w:tcPr>
            <w:tcW w:type="dxa" w:w="2016"/>
            <w:shd w:fill="F2F2F2" w:val="clear"/>
            <w:tcMar>
              <w:top w:type="dxa" w:w="50"/>
              <w:left w:type="dxa" w:w="100"/>
              <w:bottom w:type="dxa" w:w="50"/>
              <w:right w:type="dxa" w:w="100"/>
            </w:tcMar>
          </w:tcPr>
          <w:p>
            <w:r>
              <w:rPr>
                <w:sz w:val="19"/>
                <w:szCs w:val="19"/>
              </w:rPr>
              <w:t xml:space="preserve">704</w:t>
            </w:r>
          </w:p>
        </w:tc>
        <w:tc>
          <w:tcPr>
            <w:tcW w:type="dxa" w:w="2016"/>
            <w:shd w:fill="F2F2F2" w:val="clear"/>
            <w:tcMar>
              <w:top w:type="dxa" w:w="50"/>
              <w:left w:type="dxa" w:w="100"/>
              <w:bottom w:type="dxa" w:w="50"/>
              <w:right w:type="dxa" w:w="100"/>
            </w:tcMar>
          </w:tcPr>
          <w:p>
            <w:r>
              <w:rPr>
                <w:sz w:val="19"/>
                <w:szCs w:val="19"/>
              </w:rPr>
              <w:t xml:space="preserve">79.97%</w:t>
            </w:r>
          </w:p>
        </w:tc>
        <w:tc>
          <w:tcPr>
            <w:tcW w:type="dxa" w:w="2016"/>
            <w:shd w:fill="F2F2F2" w:val="clear"/>
            <w:tcMar>
              <w:top w:type="dxa" w:w="50"/>
              <w:left w:type="dxa" w:w="100"/>
              <w:bottom w:type="dxa" w:w="50"/>
              <w:right w:type="dxa" w:w="100"/>
            </w:tcMar>
          </w:tcPr>
          <w:p>
            <w:r>
              <w:rPr>
                <w:sz w:val="19"/>
                <w:szCs w:val="19"/>
              </w:rPr>
              <w:t xml:space="preserve">21.62</w:t>
            </w:r>
          </w:p>
        </w:tc>
        <w:tc>
          <w:tcPr>
            <w:tcW w:type="dxa" w:w="2016"/>
            <w:shd w:fill="F2F2F2" w:val="clear"/>
            <w:tcMar>
              <w:top w:type="dxa" w:w="50"/>
              <w:left w:type="dxa" w:w="100"/>
              <w:bottom w:type="dxa" w:w="50"/>
              <w:right w:type="dxa" w:w="100"/>
            </w:tcMar>
          </w:tcPr>
          <w:p>
            <w:r>
              <w:rPr>
                <w:sz w:val="19"/>
                <w:szCs w:val="19"/>
              </w:rPr>
              <w:t xml:space="preserve">-8.84</w:t>
            </w:r>
          </w:p>
        </w:tc>
      </w:tr>
      <w:tr>
        <w:tc>
          <w:tcPr>
            <w:tcW w:type="dxa" w:w="2016"/>
            <w:shd w:fill="FFFFFF" w:val="clear"/>
            <w:tcMar>
              <w:top w:type="dxa" w:w="50"/>
              <w:left w:type="dxa" w:w="100"/>
              <w:bottom w:type="dxa" w:w="50"/>
              <w:right w:type="dxa" w:w="100"/>
            </w:tcMar>
          </w:tcPr>
          <w:p>
            <w:r>
              <w:rPr>
                <w:sz w:val="19"/>
                <w:szCs w:val="19"/>
              </w:rPr>
              <w:t xml:space="preserve">RR</w:t>
            </w:r>
          </w:p>
        </w:tc>
        <w:tc>
          <w:tcPr>
            <w:tcW w:type="dxa" w:w="2016"/>
            <w:shd w:fill="FFFFFF" w:val="clear"/>
            <w:tcMar>
              <w:top w:type="dxa" w:w="50"/>
              <w:left w:type="dxa" w:w="100"/>
              <w:bottom w:type="dxa" w:w="50"/>
              <w:right w:type="dxa" w:w="100"/>
            </w:tcMar>
          </w:tcPr>
          <w:p>
            <w:r>
              <w:rPr>
                <w:sz w:val="19"/>
                <w:szCs w:val="19"/>
              </w:rPr>
              <w:t xml:space="preserve">40</w:t>
            </w:r>
          </w:p>
        </w:tc>
        <w:tc>
          <w:tcPr>
            <w:tcW w:type="dxa" w:w="2016"/>
            <w:shd w:fill="FFFFFF" w:val="clear"/>
            <w:tcMar>
              <w:top w:type="dxa" w:w="50"/>
              <w:left w:type="dxa" w:w="100"/>
              <w:bottom w:type="dxa" w:w="50"/>
              <w:right w:type="dxa" w:w="100"/>
            </w:tcMar>
          </w:tcPr>
          <w:p>
            <w:r>
              <w:rPr>
                <w:sz w:val="19"/>
                <w:szCs w:val="19"/>
              </w:rPr>
              <w:t xml:space="preserve">87.50%</w:t>
            </w:r>
          </w:p>
        </w:tc>
        <w:tc>
          <w:tcPr>
            <w:tcW w:type="dxa" w:w="2016"/>
            <w:shd w:fill="FFFFFF" w:val="clear"/>
            <w:tcMar>
              <w:top w:type="dxa" w:w="50"/>
              <w:left w:type="dxa" w:w="100"/>
              <w:bottom w:type="dxa" w:w="50"/>
              <w:right w:type="dxa" w:w="100"/>
            </w:tcMar>
          </w:tcPr>
          <w:p>
            <w:r>
              <w:rPr>
                <w:sz w:val="19"/>
                <w:szCs w:val="19"/>
              </w:rPr>
              <w:t xml:space="preserve">29.80</w:t>
            </w:r>
          </w:p>
        </w:tc>
        <w:tc>
          <w:tcPr>
            <w:tcW w:type="dxa" w:w="2016"/>
            <w:shd w:fill="FFFFFF" w:val="clear"/>
            <w:tcMar>
              <w:top w:type="dxa" w:w="50"/>
              <w:left w:type="dxa" w:w="100"/>
              <w:bottom w:type="dxa" w:w="50"/>
              <w:right w:type="dxa" w:w="100"/>
            </w:tcMar>
          </w:tcPr>
          <w:p>
            <w:r>
              <w:rPr>
                <w:sz w:val="19"/>
                <w:szCs w:val="19"/>
              </w:rPr>
              <w:t xml:space="preserve">-16.50</w:t>
            </w:r>
          </w:p>
        </w:tc>
      </w:tr>
      <w:tr>
        <w:tc>
          <w:tcPr>
            <w:tcW w:type="dxa" w:w="2016"/>
            <w:shd w:fill="F2F2F2" w:val="clear"/>
            <w:tcMar>
              <w:top w:type="dxa" w:w="50"/>
              <w:left w:type="dxa" w:w="100"/>
              <w:bottom w:type="dxa" w:w="50"/>
              <w:right w:type="dxa" w:w="100"/>
            </w:tcMar>
          </w:tcPr>
          <w:p>
            <w:r>
              <w:rPr>
                <w:sz w:val="19"/>
                <w:szCs w:val="19"/>
              </w:rPr>
              <w:t xml:space="preserve">SE</w:t>
            </w:r>
          </w:p>
        </w:tc>
        <w:tc>
          <w:tcPr>
            <w:tcW w:type="dxa" w:w="2016"/>
            <w:shd w:fill="F2F2F2" w:val="clear"/>
            <w:tcMar>
              <w:top w:type="dxa" w:w="50"/>
              <w:left w:type="dxa" w:w="100"/>
              <w:bottom w:type="dxa" w:w="50"/>
              <w:right w:type="dxa" w:w="100"/>
            </w:tcMar>
          </w:tcPr>
          <w:p>
            <w:r>
              <w:rPr>
                <w:sz w:val="19"/>
                <w:szCs w:val="19"/>
              </w:rPr>
              <w:t xml:space="preserve">333</w:t>
            </w:r>
          </w:p>
        </w:tc>
        <w:tc>
          <w:tcPr>
            <w:tcW w:type="dxa" w:w="2016"/>
            <w:shd w:fill="F2F2F2" w:val="clear"/>
            <w:tcMar>
              <w:top w:type="dxa" w:w="50"/>
              <w:left w:type="dxa" w:w="100"/>
              <w:bottom w:type="dxa" w:w="50"/>
              <w:right w:type="dxa" w:w="100"/>
            </w:tcMar>
          </w:tcPr>
          <w:p>
            <w:r>
              <w:rPr>
                <w:sz w:val="19"/>
                <w:szCs w:val="19"/>
              </w:rPr>
              <w:t xml:space="preserve">84.68%</w:t>
            </w:r>
          </w:p>
        </w:tc>
        <w:tc>
          <w:tcPr>
            <w:tcW w:type="dxa" w:w="2016"/>
            <w:shd w:fill="F2F2F2" w:val="clear"/>
            <w:tcMar>
              <w:top w:type="dxa" w:w="50"/>
              <w:left w:type="dxa" w:w="100"/>
              <w:bottom w:type="dxa" w:w="50"/>
              <w:right w:type="dxa" w:w="100"/>
            </w:tcMar>
          </w:tcPr>
          <w:p>
            <w:r>
              <w:rPr>
                <w:sz w:val="19"/>
                <w:szCs w:val="19"/>
              </w:rPr>
              <w:t xml:space="preserve">21.53</w:t>
            </w:r>
          </w:p>
        </w:tc>
        <w:tc>
          <w:tcPr>
            <w:tcW w:type="dxa" w:w="2016"/>
            <w:shd w:fill="F2F2F2" w:val="clear"/>
            <w:tcMar>
              <w:top w:type="dxa" w:w="50"/>
              <w:left w:type="dxa" w:w="100"/>
              <w:bottom w:type="dxa" w:w="50"/>
              <w:right w:type="dxa" w:w="100"/>
            </w:tcMar>
          </w:tcPr>
          <w:p>
            <w:r>
              <w:rPr>
                <w:sz w:val="19"/>
                <w:szCs w:val="19"/>
              </w:rPr>
              <w:t xml:space="preserve">-9.28</w:t>
            </w:r>
          </w:p>
        </w:tc>
      </w:tr>
      <w:tr>
        <w:tc>
          <w:tcPr>
            <w:tcW w:type="dxa" w:w="2016"/>
            <w:shd w:fill="FFFFFF" w:val="clear"/>
            <w:tcMar>
              <w:top w:type="dxa" w:w="50"/>
              <w:left w:type="dxa" w:w="100"/>
              <w:bottom w:type="dxa" w:w="50"/>
              <w:right w:type="dxa" w:w="100"/>
            </w:tcMar>
          </w:tcPr>
          <w:p>
            <w:r>
              <w:rPr>
                <w:sz w:val="19"/>
                <w:szCs w:val="19"/>
              </w:rPr>
              <w:t xml:space="preserve">AC</w:t>
            </w:r>
          </w:p>
        </w:tc>
        <w:tc>
          <w:tcPr>
            <w:tcW w:type="dxa" w:w="2016"/>
            <w:shd w:fill="FFFFFF" w:val="clear"/>
            <w:tcMar>
              <w:top w:type="dxa" w:w="50"/>
              <w:left w:type="dxa" w:w="100"/>
              <w:bottom w:type="dxa" w:w="50"/>
              <w:right w:type="dxa" w:w="100"/>
            </w:tcMar>
          </w:tcPr>
          <w:p>
            <w:r>
              <w:rPr>
                <w:sz w:val="19"/>
                <w:szCs w:val="19"/>
              </w:rPr>
              <w:t xml:space="preserve">77</w:t>
            </w:r>
          </w:p>
        </w:tc>
        <w:tc>
          <w:tcPr>
            <w:tcW w:type="dxa" w:w="2016"/>
            <w:shd w:fill="FFFFFF" w:val="clear"/>
            <w:tcMar>
              <w:top w:type="dxa" w:w="50"/>
              <w:left w:type="dxa" w:w="100"/>
              <w:bottom w:type="dxa" w:w="50"/>
              <w:right w:type="dxa" w:w="100"/>
            </w:tcMar>
          </w:tcPr>
          <w:p>
            <w:r>
              <w:rPr>
                <w:sz w:val="19"/>
                <w:szCs w:val="19"/>
              </w:rPr>
              <w:t xml:space="preserve">96.10%</w:t>
            </w:r>
          </w:p>
        </w:tc>
        <w:tc>
          <w:tcPr>
            <w:tcW w:type="dxa" w:w="2016"/>
            <w:shd w:fill="FFFFFF" w:val="clear"/>
            <w:tcMar>
              <w:top w:type="dxa" w:w="50"/>
              <w:left w:type="dxa" w:w="100"/>
              <w:bottom w:type="dxa" w:w="50"/>
              <w:right w:type="dxa" w:w="100"/>
            </w:tcMar>
          </w:tcPr>
          <w:p>
            <w:r>
              <w:rPr>
                <w:sz w:val="19"/>
                <w:szCs w:val="19"/>
              </w:rPr>
              <w:t xml:space="preserve">21.13</w:t>
            </w:r>
          </w:p>
        </w:tc>
        <w:tc>
          <w:tcPr>
            <w:tcW w:type="dxa" w:w="2016"/>
            <w:shd w:fill="FFFFFF" w:val="clear"/>
            <w:tcMar>
              <w:top w:type="dxa" w:w="50"/>
              <w:left w:type="dxa" w:w="100"/>
              <w:bottom w:type="dxa" w:w="50"/>
              <w:right w:type="dxa" w:w="100"/>
            </w:tcMar>
          </w:tcPr>
          <w:p>
            <w:r>
              <w:rPr>
                <w:sz w:val="19"/>
                <w:szCs w:val="19"/>
              </w:rPr>
              <w:t xml:space="preserve">-19.77</w:t>
            </w:r>
          </w:p>
        </w:tc>
      </w:tr>
      <w:tr>
        <w:tc>
          <w:tcPr>
            <w:tcW w:type="dxa" w:w="2016"/>
            <w:shd w:fill="F2F2F2" w:val="clear"/>
            <w:tcMar>
              <w:top w:type="dxa" w:w="50"/>
              <w:left w:type="dxa" w:w="100"/>
              <w:bottom w:type="dxa" w:w="50"/>
              <w:right w:type="dxa" w:w="100"/>
            </w:tcMar>
          </w:tcPr>
          <w:p>
            <w:r>
              <w:rPr>
                <w:sz w:val="19"/>
                <w:szCs w:val="19"/>
              </w:rPr>
              <w:t xml:space="preserve">RO</w:t>
            </w:r>
          </w:p>
        </w:tc>
        <w:tc>
          <w:tcPr>
            <w:tcW w:type="dxa" w:w="2016"/>
            <w:shd w:fill="F2F2F2" w:val="clear"/>
            <w:tcMar>
              <w:top w:type="dxa" w:w="50"/>
              <w:left w:type="dxa" w:w="100"/>
              <w:bottom w:type="dxa" w:w="50"/>
              <w:right w:type="dxa" w:w="100"/>
            </w:tcMar>
          </w:tcPr>
          <w:p>
            <w:r>
              <w:rPr>
                <w:sz w:val="19"/>
                <w:szCs w:val="19"/>
              </w:rPr>
              <w:t xml:space="preserve">242</w:t>
            </w:r>
          </w:p>
        </w:tc>
        <w:tc>
          <w:tcPr>
            <w:tcW w:type="dxa" w:w="2016"/>
            <w:shd w:fill="F2F2F2" w:val="clear"/>
            <w:tcMar>
              <w:top w:type="dxa" w:w="50"/>
              <w:left w:type="dxa" w:w="100"/>
              <w:bottom w:type="dxa" w:w="50"/>
              <w:right w:type="dxa" w:w="100"/>
            </w:tcMar>
          </w:tcPr>
          <w:p>
            <w:r>
              <w:rPr>
                <w:sz w:val="19"/>
                <w:szCs w:val="19"/>
              </w:rPr>
              <w:t xml:space="preserve">97.11%</w:t>
            </w:r>
          </w:p>
        </w:tc>
        <w:tc>
          <w:tcPr>
            <w:tcW w:type="dxa" w:w="2016"/>
            <w:shd w:fill="F2F2F2" w:val="clear"/>
            <w:tcMar>
              <w:top w:type="dxa" w:w="50"/>
              <w:left w:type="dxa" w:w="100"/>
              <w:bottom w:type="dxa" w:w="50"/>
              <w:right w:type="dxa" w:w="100"/>
            </w:tcMar>
          </w:tcPr>
          <w:p>
            <w:r>
              <w:rPr>
                <w:sz w:val="19"/>
                <w:szCs w:val="19"/>
              </w:rPr>
              <w:t xml:space="preserve">19.33</w:t>
            </w:r>
          </w:p>
        </w:tc>
        <w:tc>
          <w:tcPr>
            <w:tcW w:type="dxa" w:w="2016"/>
            <w:shd w:fill="F2F2F2" w:val="clear"/>
            <w:tcMar>
              <w:top w:type="dxa" w:w="50"/>
              <w:left w:type="dxa" w:w="100"/>
              <w:bottom w:type="dxa" w:w="50"/>
              <w:right w:type="dxa" w:w="100"/>
            </w:tcMar>
          </w:tcPr>
          <w:p>
            <w:r>
              <w:rPr>
                <w:sz w:val="19"/>
                <w:szCs w:val="19"/>
              </w:rPr>
              <w:t xml:space="preserve">-19.38</w:t>
            </w:r>
          </w:p>
        </w:tc>
      </w:tr>
      <w:tr>
        <w:tc>
          <w:tcPr>
            <w:tcW w:type="dxa" w:w="2016"/>
            <w:shd w:fill="FFFFFF" w:val="clear"/>
            <w:tcMar>
              <w:top w:type="dxa" w:w="50"/>
              <w:left w:type="dxa" w:w="100"/>
              <w:bottom w:type="dxa" w:w="50"/>
              <w:right w:type="dxa" w:w="100"/>
            </w:tcMar>
          </w:tcPr>
          <w:p>
            <w:r>
              <w:rPr>
                <w:sz w:val="19"/>
                <w:szCs w:val="19"/>
              </w:rPr>
              <w:t xml:space="preserve">SP</w:t>
            </w:r>
          </w:p>
        </w:tc>
        <w:tc>
          <w:tcPr>
            <w:tcW w:type="dxa" w:w="2016"/>
            <w:shd w:fill="FFFFFF" w:val="clear"/>
            <w:tcMar>
              <w:top w:type="dxa" w:w="50"/>
              <w:left w:type="dxa" w:w="100"/>
              <w:bottom w:type="dxa" w:w="50"/>
              <w:right w:type="dxa" w:w="100"/>
            </w:tcMar>
          </w:tcPr>
          <w:p>
            <w:r>
              <w:rPr>
                <w:sz w:val="19"/>
                <w:szCs w:val="19"/>
              </w:rPr>
              <w:t xml:space="preserve">39,902</w:t>
            </w:r>
          </w:p>
        </w:tc>
        <w:tc>
          <w:tcPr>
            <w:tcW w:type="dxa" w:w="2016"/>
            <w:shd w:fill="FFFFFF" w:val="clear"/>
            <w:tcMar>
              <w:top w:type="dxa" w:w="50"/>
              <w:left w:type="dxa" w:w="100"/>
              <w:bottom w:type="dxa" w:w="50"/>
              <w:right w:type="dxa" w:w="100"/>
            </w:tcMar>
          </w:tcPr>
          <w:p>
            <w:r>
              <w:rPr>
                <w:sz w:val="19"/>
                <w:szCs w:val="19"/>
              </w:rPr>
              <w:t xml:space="preserve">94.05%</w:t>
            </w:r>
          </w:p>
        </w:tc>
        <w:tc>
          <w:tcPr>
            <w:tcW w:type="dxa" w:w="2016"/>
            <w:shd w:fill="FFFFFF" w:val="clear"/>
            <w:tcMar>
              <w:top w:type="dxa" w:w="50"/>
              <w:left w:type="dxa" w:w="100"/>
              <w:bottom w:type="dxa" w:w="50"/>
              <w:right w:type="dxa" w:w="100"/>
            </w:tcMar>
          </w:tcPr>
          <w:p>
            <w:r>
              <w:rPr>
                <w:sz w:val="19"/>
                <w:szCs w:val="19"/>
              </w:rPr>
              <w:t xml:space="preserve">8.74</w:t>
            </w:r>
          </w:p>
        </w:tc>
        <w:tc>
          <w:tcPr>
            <w:tcW w:type="dxa" w:w="2016"/>
            <w:shd w:fill="FFFFFF" w:val="clear"/>
            <w:tcMar>
              <w:top w:type="dxa" w:w="50"/>
              <w:left w:type="dxa" w:w="100"/>
              <w:bottom w:type="dxa" w:w="50"/>
              <w:right w:type="dxa" w:w="100"/>
            </w:tcMar>
          </w:tcPr>
          <w:p>
            <w:r>
              <w:rPr>
                <w:sz w:val="19"/>
                <w:szCs w:val="19"/>
              </w:rPr>
              <w:t xml:space="preserve">-10.34</w:t>
            </w:r>
          </w:p>
        </w:tc>
      </w:tr>
      <w:tr>
        <w:tc>
          <w:tcPr>
            <w:tcW w:type="dxa" w:w="2016"/>
            <w:shd w:fill="F2F2F2" w:val="clear"/>
            <w:tcMar>
              <w:top w:type="dxa" w:w="50"/>
              <w:left w:type="dxa" w:w="100"/>
              <w:bottom w:type="dxa" w:w="50"/>
              <w:right w:type="dxa" w:w="100"/>
            </w:tcMar>
          </w:tcPr>
          <w:p>
            <w:r>
              <w:rPr>
                <w:sz w:val="19"/>
                <w:szCs w:val="19"/>
              </w:rPr>
              <w:t xml:space="preserve">RJ</w:t>
            </w:r>
          </w:p>
        </w:tc>
        <w:tc>
          <w:tcPr>
            <w:tcW w:type="dxa" w:w="2016"/>
            <w:shd w:fill="F2F2F2" w:val="clear"/>
            <w:tcMar>
              <w:top w:type="dxa" w:w="50"/>
              <w:left w:type="dxa" w:w="100"/>
              <w:bottom w:type="dxa" w:w="50"/>
              <w:right w:type="dxa" w:w="100"/>
            </w:tcMar>
          </w:tcPr>
          <w:p>
            <w:r>
              <w:rPr>
                <w:sz w:val="19"/>
                <w:szCs w:val="19"/>
              </w:rPr>
              <w:t xml:space="preserve">12,210</w:t>
            </w:r>
          </w:p>
        </w:tc>
        <w:tc>
          <w:tcPr>
            <w:tcW w:type="dxa" w:w="2016"/>
            <w:shd w:fill="F2F2F2" w:val="clear"/>
            <w:tcMar>
              <w:top w:type="dxa" w:w="50"/>
              <w:left w:type="dxa" w:w="100"/>
              <w:bottom w:type="dxa" w:w="50"/>
              <w:right w:type="dxa" w:w="100"/>
            </w:tcMar>
          </w:tcPr>
          <w:p>
            <w:r>
              <w:rPr>
                <w:sz w:val="19"/>
                <w:szCs w:val="19"/>
              </w:rPr>
              <w:t xml:space="preserve">86.40%</w:t>
            </w:r>
          </w:p>
        </w:tc>
        <w:tc>
          <w:tcPr>
            <w:tcW w:type="dxa" w:w="2016"/>
            <w:shd w:fill="F2F2F2" w:val="clear"/>
            <w:tcMar>
              <w:top w:type="dxa" w:w="50"/>
              <w:left w:type="dxa" w:w="100"/>
              <w:bottom w:type="dxa" w:w="50"/>
              <w:right w:type="dxa" w:w="100"/>
            </w:tcMar>
          </w:tcPr>
          <w:p>
            <w:r>
              <w:rPr>
                <w:sz w:val="19"/>
                <w:szCs w:val="19"/>
              </w:rPr>
              <w:t xml:space="preserve">15.31</w:t>
            </w:r>
          </w:p>
        </w:tc>
        <w:tc>
          <w:tcPr>
            <w:tcW w:type="dxa" w:w="2016"/>
            <w:shd w:fill="F2F2F2" w:val="clear"/>
            <w:tcMar>
              <w:top w:type="dxa" w:w="50"/>
              <w:left w:type="dxa" w:w="100"/>
              <w:bottom w:type="dxa" w:w="50"/>
              <w:right w:type="dxa" w:w="100"/>
            </w:tcMar>
          </w:tcPr>
          <w:p>
            <w:r>
              <w:rPr>
                <w:sz w:val="19"/>
                <w:szCs w:val="19"/>
              </w:rPr>
              <w:t xml:space="preserve">-10.96</w:t>
            </w:r>
          </w:p>
        </w:tc>
      </w:tr>
      <w:tr>
        <w:tc>
          <w:tcPr>
            <w:tcW w:type="dxa" w:w="2016"/>
            <w:shd w:fill="FFFFFF" w:val="clear"/>
            <w:tcMar>
              <w:top w:type="dxa" w:w="50"/>
              <w:left w:type="dxa" w:w="100"/>
              <w:bottom w:type="dxa" w:w="50"/>
              <w:right w:type="dxa" w:w="100"/>
            </w:tcMar>
          </w:tcPr>
          <w:p>
            <w:r>
              <w:rPr>
                <w:sz w:val="19"/>
                <w:szCs w:val="19"/>
              </w:rPr>
              <w:t xml:space="preserve">MG</w:t>
            </w:r>
          </w:p>
        </w:tc>
        <w:tc>
          <w:tcPr>
            <w:tcW w:type="dxa" w:w="2016"/>
            <w:shd w:fill="FFFFFF" w:val="clear"/>
            <w:tcMar>
              <w:top w:type="dxa" w:w="50"/>
              <w:left w:type="dxa" w:w="100"/>
              <w:bottom w:type="dxa" w:w="50"/>
              <w:right w:type="dxa" w:w="100"/>
            </w:tcMar>
          </w:tcPr>
          <w:p>
            <w:r>
              <w:rPr>
                <w:sz w:val="19"/>
                <w:szCs w:val="19"/>
              </w:rPr>
              <w:t xml:space="preserve">11,186</w:t>
            </w:r>
          </w:p>
        </w:tc>
        <w:tc>
          <w:tcPr>
            <w:tcW w:type="dxa" w:w="2016"/>
            <w:shd w:fill="FFFFFF" w:val="clear"/>
            <w:tcMar>
              <w:top w:type="dxa" w:w="50"/>
              <w:left w:type="dxa" w:w="100"/>
              <w:bottom w:type="dxa" w:w="50"/>
              <w:right w:type="dxa" w:w="100"/>
            </w:tcMar>
          </w:tcPr>
          <w:p>
            <w:r>
              <w:rPr>
                <w:sz w:val="19"/>
                <w:szCs w:val="19"/>
              </w:rPr>
              <w:t xml:space="preserve">94.33%</w:t>
            </w:r>
          </w:p>
        </w:tc>
        <w:tc>
          <w:tcPr>
            <w:tcW w:type="dxa" w:w="2016"/>
            <w:shd w:fill="FFFFFF" w:val="clear"/>
            <w:tcMar>
              <w:top w:type="dxa" w:w="50"/>
              <w:left w:type="dxa" w:w="100"/>
              <w:bottom w:type="dxa" w:w="50"/>
              <w:right w:type="dxa" w:w="100"/>
            </w:tcMar>
          </w:tcPr>
          <w:p>
            <w:r>
              <w:rPr>
                <w:sz w:val="19"/>
                <w:szCs w:val="19"/>
              </w:rPr>
              <w:t xml:space="preserve">12.01</w:t>
            </w:r>
          </w:p>
        </w:tc>
        <w:tc>
          <w:tcPr>
            <w:tcW w:type="dxa" w:w="2016"/>
            <w:shd w:fill="FFFFFF" w:val="clear"/>
            <w:tcMar>
              <w:top w:type="dxa" w:w="50"/>
              <w:left w:type="dxa" w:w="100"/>
              <w:bottom w:type="dxa" w:w="50"/>
              <w:right w:type="dxa" w:w="100"/>
            </w:tcMar>
          </w:tcPr>
          <w:p>
            <w:r>
              <w:rPr>
                <w:sz w:val="19"/>
                <w:szCs w:val="19"/>
              </w:rPr>
              <w:t xml:space="preserve">-12.49</w:t>
            </w:r>
          </w:p>
        </w:tc>
      </w:tr>
    </w:tbl>
    <w:p>
      <w:pPr>
        <w:spacing w:after="160"/>
      </w:pPr>
    </w:p>
    <w:p>
      <w:pPr>
        <w:spacing w:after="80" w:before="180"/>
      </w:pPr>
      <w:r>
        <w:rPr>
          <w:b/>
          <w:bCs/>
          <w:color w:val="1F3864"/>
          <w:sz w:val="22"/>
          <w:szCs w:val="22"/>
        </w:rPr>
        <w:t xml:space="preserve">7.2.1 Interpretation</w:t>
      </w:r>
    </w:p>
    <w:p>
      <w:pPr>
        <w:spacing w:after="100"/>
      </w:pPr>
      <w:r>
        <w:rPr>
          <w:b/>
          <w:bCs/>
          <w:color w:val="1F3864"/>
          <w:sz w:val="21"/>
          <w:szCs w:val="21"/>
        </w:rPr>
        <w:t xml:space="preserve">Buffer size, not distance alone, explains reliability: </w:t>
      </w:r>
      <w:r>
        <w:rPr>
          <w:sz w:val="21"/>
          <w:szCs w:val="21"/>
        </w:rPr>
        <w:t xml:space="preserve">States with the largest average delay buffers (RO, AC, AP, AM, RR — roughly -16 to -20 days) generally show strong on-time performance despite being the most remote and slowest in absolute delivery time. States with the thinnest buffers (AL at -8.24, MA at -8.84, SE at -9.28) show the weakest on-time rates in the dataset (76.34%, 79.97%, 84.68% respectively), despite not being the most geographically remote.</w:t>
      </w:r>
    </w:p>
    <w:p>
      <w:pPr>
        <w:spacing w:after="100"/>
      </w:pPr>
      <w:r>
        <w:rPr>
          <w:b/>
          <w:bCs/>
          <w:color w:val="1F3864"/>
          <w:sz w:val="21"/>
          <w:szCs w:val="21"/>
        </w:rPr>
        <w:t xml:space="preserve">AL is the weakest-performing state overall: </w:t>
      </w:r>
      <w:r>
        <w:rPr>
          <w:sz w:val="21"/>
          <w:szCs w:val="21"/>
        </w:rPr>
        <w:t xml:space="preserve">Alagoas records the lowest On-Time Rate in the dataset (76.34%) with only a moderate delivery time (24.34 days) and the smallest delay buffer of any state — indicating its estimated delivery dates are not padded generously enough relative to its actual variability, unlike comparable states.</w:t>
      </w:r>
    </w:p>
    <w:p>
      <w:pPr>
        <w:spacing w:after="100"/>
      </w:pPr>
      <w:r>
        <w:rPr>
          <w:b/>
          <w:bCs/>
          <w:color w:val="1F3864"/>
          <w:sz w:val="21"/>
          <w:szCs w:val="21"/>
        </w:rPr>
        <w:t xml:space="preserve">RR is an outlier even among remote states: </w:t>
      </w:r>
      <w:r>
        <w:rPr>
          <w:sz w:val="21"/>
          <w:szCs w:val="21"/>
        </w:rPr>
        <w:t xml:space="preserve">Roraima has both the longest average delivery time (29.80 days) and a below-peer on-time rate (87.50%) relative to other remote states such as AC (96.10%) and RO (97.11%), which achieve strong reliability despite similarly long transit times.</w:t>
      </w:r>
    </w:p>
    <w:p>
      <w:pPr>
        <w:spacing w:after="100"/>
      </w:pPr>
      <w:r>
        <w:rPr>
          <w:b/>
          <w:bCs/>
          <w:color w:val="1F3864"/>
          <w:sz w:val="21"/>
          <w:szCs w:val="21"/>
        </w:rPr>
        <w:t xml:space="preserve">Recommendation implication: </w:t>
      </w:r>
      <w:r>
        <w:rPr>
          <w:sz w:val="21"/>
          <w:szCs w:val="21"/>
        </w:rPr>
        <w:t xml:space="preserve">A blanket reduction of the national delivery-date buffer is not supported by this data. States with large buffers and strong reliability (RO, AC, AP, AM) may have room to tighten estimates without harming on-time performance; states with thin buffers and weak reliability (AL, MA, SE) require the opposite — buffer expansion or an operational review, not tightening.</w:t>
      </w:r>
    </w:p>
    <w:p>
      <w:pPr>
        <w:pStyle w:val="Heading2"/>
        <w:spacing w:after="100" w:before="240"/>
      </w:pPr>
      <w:r>
        <w:t xml:space="preserve">7.3 Delivery Performance by Month</w:t>
      </w:r>
    </w:p>
    <w:p>
      <w:pPr>
        <w:spacing w:after="120"/>
        <w:jc w:val="left"/>
      </w:pPr>
      <w:r>
        <w:rPr>
          <w:b w:val="false"/>
          <w:bCs w:val="false"/>
          <w:i w:val="false"/>
          <w:iCs w:val="false"/>
          <w:sz w:val="21"/>
          <w:szCs w:val="21"/>
        </w:rPr>
        <w:t xml:space="preserve">Monthly on-time rate, delivery time, and delay were examined across the full order history (not restricted to the 2017–2018 trend window used for Sales Trends, since this analysis is not a growth-rate calculation and the full range is relevant to detecting reliability issues).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shd w:fill="1F3864" w:val="clear"/>
            <w:tcMar>
              <w:top w:type="dxa" w:w="60"/>
              <w:left w:type="dxa" w:w="100"/>
              <w:bottom w:type="dxa" w:w="60"/>
              <w:right w:type="dxa" w:w="100"/>
            </w:tcMar>
          </w:tcPr>
          <w:p>
            <w:r>
              <w:rPr>
                <w:b/>
                <w:bCs/>
                <w:color w:val="FFFFFF"/>
                <w:sz w:val="19"/>
                <w:szCs w:val="19"/>
              </w:rPr>
              <w:t xml:space="preserve">Month</w:t>
            </w:r>
          </w:p>
        </w:tc>
        <w:tc>
          <w:tcPr>
            <w:tcW w:type="dxa" w:w="2016"/>
            <w:shd w:fill="1F3864" w:val="clear"/>
            <w:tcMar>
              <w:top w:type="dxa" w:w="60"/>
              <w:left w:type="dxa" w:w="100"/>
              <w:bottom w:type="dxa" w:w="60"/>
              <w:right w:type="dxa" w:w="100"/>
            </w:tcMar>
          </w:tcPr>
          <w:p>
            <w:r>
              <w:rPr>
                <w:b/>
                <w:bCs/>
                <w:color w:val="FFFFFF"/>
                <w:sz w:val="19"/>
                <w:szCs w:val="19"/>
              </w:rPr>
              <w:t xml:space="preserve">Eligible Orders</w:t>
            </w:r>
          </w:p>
        </w:tc>
        <w:tc>
          <w:tcPr>
            <w:tcW w:type="dxa" w:w="2016"/>
            <w:shd w:fill="1F3864" w:val="clear"/>
            <w:tcMar>
              <w:top w:type="dxa" w:w="60"/>
              <w:left w:type="dxa" w:w="100"/>
              <w:bottom w:type="dxa" w:w="60"/>
              <w:right w:type="dxa" w:w="100"/>
            </w:tcMar>
          </w:tcPr>
          <w:p>
            <w:r>
              <w:rPr>
                <w:b/>
                <w:bCs/>
                <w:color w:val="FFFFFF"/>
                <w:sz w:val="19"/>
                <w:szCs w:val="19"/>
              </w:rPr>
              <w:t xml:space="preserve">On-Time Rate</w:t>
            </w:r>
          </w:p>
        </w:tc>
        <w:tc>
          <w:tcPr>
            <w:tcW w:type="dxa" w:w="2016"/>
            <w:shd w:fill="1F3864" w:val="clear"/>
            <w:tcMar>
              <w:top w:type="dxa" w:w="60"/>
              <w:left w:type="dxa" w:w="100"/>
              <w:bottom w:type="dxa" w:w="60"/>
              <w:right w:type="dxa" w:w="100"/>
            </w:tcMar>
          </w:tcPr>
          <w:p>
            <w:r>
              <w:rPr>
                <w:b/>
                <w:bCs/>
                <w:color w:val="FFFFFF"/>
                <w:sz w:val="19"/>
                <w:szCs w:val="19"/>
              </w:rPr>
              <w:t xml:space="preserve">Avg. Delivery Time</w:t>
            </w:r>
          </w:p>
        </w:tc>
        <w:tc>
          <w:tcPr>
            <w:tcW w:type="dxa" w:w="2016"/>
            <w:shd w:fill="1F3864" w:val="clear"/>
            <w:tcMar>
              <w:top w:type="dxa" w:w="60"/>
              <w:left w:type="dxa" w:w="100"/>
              <w:bottom w:type="dxa" w:w="60"/>
              <w:right w:type="dxa" w:w="100"/>
            </w:tcMar>
          </w:tcPr>
          <w:p>
            <w:r>
              <w:rPr>
                <w:b/>
                <w:bCs/>
                <w:color w:val="FFFFFF"/>
                <w:sz w:val="19"/>
                <w:szCs w:val="19"/>
              </w:rPr>
              <w:t xml:space="preserve">Avg. Delay</w:t>
            </w:r>
          </w:p>
        </w:tc>
      </w:tr>
      <w:tr>
        <w:tc>
          <w:tcPr>
            <w:tcW w:type="dxa" w:w="2016"/>
            <w:shd w:fill="FFFFFF" w:val="clear"/>
            <w:tcMar>
              <w:top w:type="dxa" w:w="50"/>
              <w:left w:type="dxa" w:w="100"/>
              <w:bottom w:type="dxa" w:w="50"/>
              <w:right w:type="dxa" w:w="100"/>
            </w:tcMar>
          </w:tcPr>
          <w:p>
            <w:r>
              <w:rPr>
                <w:sz w:val="19"/>
                <w:szCs w:val="19"/>
              </w:rPr>
              <w:t xml:space="preserve">2017-10</w:t>
            </w:r>
          </w:p>
        </w:tc>
        <w:tc>
          <w:tcPr>
            <w:tcW w:type="dxa" w:w="2016"/>
            <w:shd w:fill="FFFFFF" w:val="clear"/>
            <w:tcMar>
              <w:top w:type="dxa" w:w="50"/>
              <w:left w:type="dxa" w:w="100"/>
              <w:bottom w:type="dxa" w:w="50"/>
              <w:right w:type="dxa" w:w="100"/>
            </w:tcMar>
          </w:tcPr>
          <w:p>
            <w:r>
              <w:rPr>
                <w:sz w:val="19"/>
                <w:szCs w:val="19"/>
              </w:rPr>
              <w:t xml:space="preserve">4,478</w:t>
            </w:r>
          </w:p>
        </w:tc>
        <w:tc>
          <w:tcPr>
            <w:tcW w:type="dxa" w:w="2016"/>
            <w:shd w:fill="FFFFFF" w:val="clear"/>
            <w:tcMar>
              <w:top w:type="dxa" w:w="50"/>
              <w:left w:type="dxa" w:w="100"/>
              <w:bottom w:type="dxa" w:w="50"/>
              <w:right w:type="dxa" w:w="100"/>
            </w:tcMar>
          </w:tcPr>
          <w:p>
            <w:r>
              <w:rPr>
                <w:sz w:val="19"/>
                <w:szCs w:val="19"/>
              </w:rPr>
              <w:t xml:space="preserve">94.71%</w:t>
            </w:r>
          </w:p>
        </w:tc>
        <w:tc>
          <w:tcPr>
            <w:tcW w:type="dxa" w:w="2016"/>
            <w:shd w:fill="FFFFFF" w:val="clear"/>
            <w:tcMar>
              <w:top w:type="dxa" w:w="50"/>
              <w:left w:type="dxa" w:w="100"/>
              <w:bottom w:type="dxa" w:w="50"/>
              <w:right w:type="dxa" w:w="100"/>
            </w:tcMar>
          </w:tcPr>
          <w:p>
            <w:r>
              <w:rPr>
                <w:sz w:val="19"/>
                <w:szCs w:val="19"/>
              </w:rPr>
              <w:t xml:space="preserve">11.73</w:t>
            </w:r>
          </w:p>
        </w:tc>
        <w:tc>
          <w:tcPr>
            <w:tcW w:type="dxa" w:w="2016"/>
            <w:shd w:fill="FFFFFF" w:val="clear"/>
            <w:tcMar>
              <w:top w:type="dxa" w:w="50"/>
              <w:left w:type="dxa" w:w="100"/>
              <w:bottom w:type="dxa" w:w="50"/>
              <w:right w:type="dxa" w:w="100"/>
            </w:tcMar>
          </w:tcPr>
          <w:p>
            <w:r>
              <w:rPr>
                <w:sz w:val="19"/>
                <w:szCs w:val="19"/>
              </w:rPr>
              <w:t xml:space="preserve">-11.16</w:t>
            </w:r>
          </w:p>
        </w:tc>
      </w:tr>
      <w:tr>
        <w:tc>
          <w:tcPr>
            <w:tcW w:type="dxa" w:w="2016"/>
            <w:shd w:fill="F2F2F2" w:val="clear"/>
            <w:tcMar>
              <w:top w:type="dxa" w:w="50"/>
              <w:left w:type="dxa" w:w="100"/>
              <w:bottom w:type="dxa" w:w="50"/>
              <w:right w:type="dxa" w:w="100"/>
            </w:tcMar>
          </w:tcPr>
          <w:p>
            <w:r>
              <w:rPr>
                <w:sz w:val="19"/>
                <w:szCs w:val="19"/>
              </w:rPr>
              <w:t xml:space="preserve">2017-11</w:t>
            </w:r>
          </w:p>
        </w:tc>
        <w:tc>
          <w:tcPr>
            <w:tcW w:type="dxa" w:w="2016"/>
            <w:shd w:fill="F2F2F2" w:val="clear"/>
            <w:tcMar>
              <w:top w:type="dxa" w:w="50"/>
              <w:left w:type="dxa" w:w="100"/>
              <w:bottom w:type="dxa" w:w="50"/>
              <w:right w:type="dxa" w:w="100"/>
            </w:tcMar>
          </w:tcPr>
          <w:p>
            <w:r>
              <w:rPr>
                <w:sz w:val="19"/>
                <w:szCs w:val="19"/>
              </w:rPr>
              <w:t xml:space="preserve">7,287</w:t>
            </w:r>
          </w:p>
        </w:tc>
        <w:tc>
          <w:tcPr>
            <w:tcW w:type="dxa" w:w="2016"/>
            <w:shd w:fill="F2F2F2" w:val="clear"/>
            <w:tcMar>
              <w:top w:type="dxa" w:w="50"/>
              <w:left w:type="dxa" w:w="100"/>
              <w:bottom w:type="dxa" w:w="50"/>
              <w:right w:type="dxa" w:w="100"/>
            </w:tcMar>
          </w:tcPr>
          <w:p>
            <w:r>
              <w:rPr>
                <w:sz w:val="19"/>
                <w:szCs w:val="19"/>
              </w:rPr>
              <w:t xml:space="preserve">85.69%</w:t>
            </w:r>
          </w:p>
        </w:tc>
        <w:tc>
          <w:tcPr>
            <w:tcW w:type="dxa" w:w="2016"/>
            <w:shd w:fill="F2F2F2" w:val="clear"/>
            <w:tcMar>
              <w:top w:type="dxa" w:w="50"/>
              <w:left w:type="dxa" w:w="100"/>
              <w:bottom w:type="dxa" w:w="50"/>
              <w:right w:type="dxa" w:w="100"/>
            </w:tcMar>
          </w:tcPr>
          <w:p>
            <w:r>
              <w:rPr>
                <w:sz w:val="19"/>
                <w:szCs w:val="19"/>
              </w:rPr>
              <w:t xml:space="preserve">15.07</w:t>
            </w:r>
          </w:p>
        </w:tc>
        <w:tc>
          <w:tcPr>
            <w:tcW w:type="dxa" w:w="2016"/>
            <w:shd w:fill="F2F2F2" w:val="clear"/>
            <w:tcMar>
              <w:top w:type="dxa" w:w="50"/>
              <w:left w:type="dxa" w:w="100"/>
              <w:bottom w:type="dxa" w:w="50"/>
              <w:right w:type="dxa" w:w="100"/>
            </w:tcMar>
          </w:tcPr>
          <w:p>
            <w:r>
              <w:rPr>
                <w:sz w:val="19"/>
                <w:szCs w:val="19"/>
              </w:rPr>
              <w:t xml:space="preserve">-7.40</w:t>
            </w:r>
          </w:p>
        </w:tc>
      </w:tr>
      <w:tr>
        <w:tc>
          <w:tcPr>
            <w:tcW w:type="dxa" w:w="2016"/>
            <w:shd w:fill="FFFFFF" w:val="clear"/>
            <w:tcMar>
              <w:top w:type="dxa" w:w="50"/>
              <w:left w:type="dxa" w:w="100"/>
              <w:bottom w:type="dxa" w:w="50"/>
              <w:right w:type="dxa" w:w="100"/>
            </w:tcMar>
          </w:tcPr>
          <w:p>
            <w:r>
              <w:rPr>
                <w:sz w:val="19"/>
                <w:szCs w:val="19"/>
              </w:rPr>
              <w:t xml:space="preserve">2017-12</w:t>
            </w:r>
          </w:p>
        </w:tc>
        <w:tc>
          <w:tcPr>
            <w:tcW w:type="dxa" w:w="2016"/>
            <w:shd w:fill="FFFFFF" w:val="clear"/>
            <w:tcMar>
              <w:top w:type="dxa" w:w="50"/>
              <w:left w:type="dxa" w:w="100"/>
              <w:bottom w:type="dxa" w:w="50"/>
              <w:right w:type="dxa" w:w="100"/>
            </w:tcMar>
          </w:tcPr>
          <w:p>
            <w:r>
              <w:rPr>
                <w:sz w:val="19"/>
                <w:szCs w:val="19"/>
              </w:rPr>
              <w:t xml:space="preserve">5,508</w:t>
            </w:r>
          </w:p>
        </w:tc>
        <w:tc>
          <w:tcPr>
            <w:tcW w:type="dxa" w:w="2016"/>
            <w:shd w:fill="FFFFFF" w:val="clear"/>
            <w:tcMar>
              <w:top w:type="dxa" w:w="50"/>
              <w:left w:type="dxa" w:w="100"/>
              <w:bottom w:type="dxa" w:w="50"/>
              <w:right w:type="dxa" w:w="100"/>
            </w:tcMar>
          </w:tcPr>
          <w:p>
            <w:r>
              <w:rPr>
                <w:sz w:val="19"/>
                <w:szCs w:val="19"/>
              </w:rPr>
              <w:t xml:space="preserve">91.65%</w:t>
            </w:r>
          </w:p>
        </w:tc>
        <w:tc>
          <w:tcPr>
            <w:tcW w:type="dxa" w:w="2016"/>
            <w:shd w:fill="FFFFFF" w:val="clear"/>
            <w:tcMar>
              <w:top w:type="dxa" w:w="50"/>
              <w:left w:type="dxa" w:w="100"/>
              <w:bottom w:type="dxa" w:w="50"/>
              <w:right w:type="dxa" w:w="100"/>
            </w:tcMar>
          </w:tcPr>
          <w:p>
            <w:r>
              <w:rPr>
                <w:sz w:val="19"/>
                <w:szCs w:val="19"/>
              </w:rPr>
              <w:t xml:space="preserve">15.30</w:t>
            </w:r>
          </w:p>
        </w:tc>
        <w:tc>
          <w:tcPr>
            <w:tcW w:type="dxa" w:w="2016"/>
            <w:shd w:fill="FFFFFF" w:val="clear"/>
            <w:tcMar>
              <w:top w:type="dxa" w:w="50"/>
              <w:left w:type="dxa" w:w="100"/>
              <w:bottom w:type="dxa" w:w="50"/>
              <w:right w:type="dxa" w:w="100"/>
            </w:tcMar>
          </w:tcPr>
          <w:p>
            <w:r>
              <w:rPr>
                <w:sz w:val="19"/>
                <w:szCs w:val="19"/>
              </w:rPr>
              <w:t xml:space="preserve">-12.30</w:t>
            </w:r>
          </w:p>
        </w:tc>
      </w:tr>
      <w:tr>
        <w:tc>
          <w:tcPr>
            <w:tcW w:type="dxa" w:w="2016"/>
            <w:shd w:fill="F2F2F2" w:val="clear"/>
            <w:tcMar>
              <w:top w:type="dxa" w:w="50"/>
              <w:left w:type="dxa" w:w="100"/>
              <w:bottom w:type="dxa" w:w="50"/>
              <w:right w:type="dxa" w:w="100"/>
            </w:tcMar>
          </w:tcPr>
          <w:p>
            <w:r>
              <w:rPr>
                <w:sz w:val="19"/>
                <w:szCs w:val="19"/>
              </w:rPr>
              <w:t xml:space="preserve">2018-01</w:t>
            </w:r>
          </w:p>
        </w:tc>
        <w:tc>
          <w:tcPr>
            <w:tcW w:type="dxa" w:w="2016"/>
            <w:shd w:fill="F2F2F2" w:val="clear"/>
            <w:tcMar>
              <w:top w:type="dxa" w:w="50"/>
              <w:left w:type="dxa" w:w="100"/>
              <w:bottom w:type="dxa" w:w="50"/>
              <w:right w:type="dxa" w:w="100"/>
            </w:tcMar>
          </w:tcPr>
          <w:p>
            <w:r>
              <w:rPr>
                <w:sz w:val="19"/>
                <w:szCs w:val="19"/>
              </w:rPr>
              <w:t xml:space="preserve">7,045</w:t>
            </w:r>
          </w:p>
        </w:tc>
        <w:tc>
          <w:tcPr>
            <w:tcW w:type="dxa" w:w="2016"/>
            <w:shd w:fill="F2F2F2" w:val="clear"/>
            <w:tcMar>
              <w:top w:type="dxa" w:w="50"/>
              <w:left w:type="dxa" w:w="100"/>
              <w:bottom w:type="dxa" w:w="50"/>
              <w:right w:type="dxa" w:w="100"/>
            </w:tcMar>
          </w:tcPr>
          <w:p>
            <w:r>
              <w:rPr>
                <w:sz w:val="19"/>
                <w:szCs w:val="19"/>
              </w:rPr>
              <w:t xml:space="preserve">93.43%</w:t>
            </w:r>
          </w:p>
        </w:tc>
        <w:tc>
          <w:tcPr>
            <w:tcW w:type="dxa" w:w="2016"/>
            <w:shd w:fill="F2F2F2" w:val="clear"/>
            <w:tcMar>
              <w:top w:type="dxa" w:w="50"/>
              <w:left w:type="dxa" w:w="100"/>
              <w:bottom w:type="dxa" w:w="50"/>
              <w:right w:type="dxa" w:w="100"/>
            </w:tcMar>
          </w:tcPr>
          <w:p>
            <w:r>
              <w:rPr>
                <w:sz w:val="19"/>
                <w:szCs w:val="19"/>
              </w:rPr>
              <w:t xml:space="preserve">14.01</w:t>
            </w:r>
          </w:p>
        </w:tc>
        <w:tc>
          <w:tcPr>
            <w:tcW w:type="dxa" w:w="2016"/>
            <w:shd w:fill="F2F2F2" w:val="clear"/>
            <w:tcMar>
              <w:top w:type="dxa" w:w="50"/>
              <w:left w:type="dxa" w:w="100"/>
              <w:bottom w:type="dxa" w:w="50"/>
              <w:right w:type="dxa" w:w="100"/>
            </w:tcMar>
          </w:tcPr>
          <w:p>
            <w:r>
              <w:rPr>
                <w:sz w:val="19"/>
                <w:szCs w:val="19"/>
              </w:rPr>
              <w:t xml:space="preserve">-12.22</w:t>
            </w:r>
          </w:p>
        </w:tc>
      </w:tr>
      <w:tr>
        <w:tc>
          <w:tcPr>
            <w:tcW w:type="dxa" w:w="2016"/>
            <w:shd w:fill="FFFFFF" w:val="clear"/>
            <w:tcMar>
              <w:top w:type="dxa" w:w="50"/>
              <w:left w:type="dxa" w:w="100"/>
              <w:bottom w:type="dxa" w:w="50"/>
              <w:right w:type="dxa" w:w="100"/>
            </w:tcMar>
          </w:tcPr>
          <w:p>
            <w:r>
              <w:rPr>
                <w:sz w:val="19"/>
                <w:szCs w:val="19"/>
              </w:rPr>
              <w:t xml:space="preserve">2018-02</w:t>
            </w:r>
          </w:p>
        </w:tc>
        <w:tc>
          <w:tcPr>
            <w:tcW w:type="dxa" w:w="2016"/>
            <w:shd w:fill="FFFFFF" w:val="clear"/>
            <w:tcMar>
              <w:top w:type="dxa" w:w="50"/>
              <w:left w:type="dxa" w:w="100"/>
              <w:bottom w:type="dxa" w:w="50"/>
              <w:right w:type="dxa" w:w="100"/>
            </w:tcMar>
          </w:tcPr>
          <w:p>
            <w:r>
              <w:rPr>
                <w:sz w:val="19"/>
                <w:szCs w:val="19"/>
              </w:rPr>
              <w:t xml:space="preserve">6,543</w:t>
            </w:r>
          </w:p>
        </w:tc>
        <w:tc>
          <w:tcPr>
            <w:tcW w:type="dxa" w:w="2016"/>
            <w:shd w:fill="FFFFFF" w:val="clear"/>
            <w:tcMar>
              <w:top w:type="dxa" w:w="50"/>
              <w:left w:type="dxa" w:w="100"/>
              <w:bottom w:type="dxa" w:w="50"/>
              <w:right w:type="dxa" w:w="100"/>
            </w:tcMar>
          </w:tcPr>
          <w:p>
            <w:r>
              <w:rPr>
                <w:sz w:val="19"/>
                <w:szCs w:val="19"/>
              </w:rPr>
              <w:t xml:space="preserve">83.98%</w:t>
            </w:r>
          </w:p>
        </w:tc>
        <w:tc>
          <w:tcPr>
            <w:tcW w:type="dxa" w:w="2016"/>
            <w:shd w:fill="FFFFFF" w:val="clear"/>
            <w:tcMar>
              <w:top w:type="dxa" w:w="50"/>
              <w:left w:type="dxa" w:w="100"/>
              <w:bottom w:type="dxa" w:w="50"/>
              <w:right w:type="dxa" w:w="100"/>
            </w:tcMar>
          </w:tcPr>
          <w:p>
            <w:r>
              <w:rPr>
                <w:sz w:val="19"/>
                <w:szCs w:val="19"/>
              </w:rPr>
              <w:t xml:space="preserve">16.88</w:t>
            </w:r>
          </w:p>
        </w:tc>
        <w:tc>
          <w:tcPr>
            <w:tcW w:type="dxa" w:w="2016"/>
            <w:shd w:fill="FFFFFF" w:val="clear"/>
            <w:tcMar>
              <w:top w:type="dxa" w:w="50"/>
              <w:left w:type="dxa" w:w="100"/>
              <w:bottom w:type="dxa" w:w="50"/>
              <w:right w:type="dxa" w:w="100"/>
            </w:tcMar>
          </w:tcPr>
          <w:p>
            <w:r>
              <w:rPr>
                <w:sz w:val="19"/>
                <w:szCs w:val="19"/>
              </w:rPr>
              <w:t xml:space="preserve">-7.57</w:t>
            </w:r>
          </w:p>
        </w:tc>
      </w:tr>
      <w:tr>
        <w:tc>
          <w:tcPr>
            <w:tcW w:type="dxa" w:w="2016"/>
            <w:shd w:fill="F2F2F2" w:val="clear"/>
            <w:tcMar>
              <w:top w:type="dxa" w:w="50"/>
              <w:left w:type="dxa" w:w="100"/>
              <w:bottom w:type="dxa" w:w="50"/>
              <w:right w:type="dxa" w:w="100"/>
            </w:tcMar>
          </w:tcPr>
          <w:p>
            <w:r>
              <w:rPr>
                <w:sz w:val="19"/>
                <w:szCs w:val="19"/>
              </w:rPr>
              <w:t xml:space="preserve">2018-03</w:t>
            </w:r>
          </w:p>
        </w:tc>
        <w:tc>
          <w:tcPr>
            <w:tcW w:type="dxa" w:w="2016"/>
            <w:shd w:fill="F2F2F2" w:val="clear"/>
            <w:tcMar>
              <w:top w:type="dxa" w:w="50"/>
              <w:left w:type="dxa" w:w="100"/>
              <w:bottom w:type="dxa" w:w="50"/>
              <w:right w:type="dxa" w:w="100"/>
            </w:tcMar>
          </w:tcPr>
          <w:p>
            <w:r>
              <w:rPr>
                <w:sz w:val="19"/>
                <w:szCs w:val="19"/>
              </w:rPr>
              <w:t xml:space="preserve">7,001</w:t>
            </w:r>
          </w:p>
        </w:tc>
        <w:tc>
          <w:tcPr>
            <w:tcW w:type="dxa" w:w="2016"/>
            <w:shd w:fill="F2F2F2" w:val="clear"/>
            <w:tcMar>
              <w:top w:type="dxa" w:w="50"/>
              <w:left w:type="dxa" w:w="100"/>
              <w:bottom w:type="dxa" w:w="50"/>
              <w:right w:type="dxa" w:w="100"/>
            </w:tcMar>
          </w:tcPr>
          <w:p>
            <w:r>
              <w:rPr>
                <w:sz w:val="19"/>
                <w:szCs w:val="19"/>
              </w:rPr>
              <w:t xml:space="preserve">78.63%</w:t>
            </w:r>
          </w:p>
        </w:tc>
        <w:tc>
          <w:tcPr>
            <w:tcW w:type="dxa" w:w="2016"/>
            <w:shd w:fill="F2F2F2" w:val="clear"/>
            <w:tcMar>
              <w:top w:type="dxa" w:w="50"/>
              <w:left w:type="dxa" w:w="100"/>
              <w:bottom w:type="dxa" w:w="50"/>
              <w:right w:type="dxa" w:w="100"/>
            </w:tcMar>
          </w:tcPr>
          <w:p>
            <w:r>
              <w:rPr>
                <w:sz w:val="19"/>
                <w:szCs w:val="19"/>
              </w:rPr>
              <w:t xml:space="preserve">16.24</w:t>
            </w:r>
          </w:p>
        </w:tc>
        <w:tc>
          <w:tcPr>
            <w:tcW w:type="dxa" w:w="2016"/>
            <w:shd w:fill="F2F2F2" w:val="clear"/>
            <w:tcMar>
              <w:top w:type="dxa" w:w="50"/>
              <w:left w:type="dxa" w:w="100"/>
              <w:bottom w:type="dxa" w:w="50"/>
              <w:right w:type="dxa" w:w="100"/>
            </w:tcMar>
          </w:tcPr>
          <w:p>
            <w:r>
              <w:rPr>
                <w:sz w:val="19"/>
                <w:szCs w:val="19"/>
              </w:rPr>
              <w:t xml:space="preserve">-5.73</w:t>
            </w:r>
          </w:p>
        </w:tc>
      </w:tr>
      <w:tr>
        <w:tc>
          <w:tcPr>
            <w:tcW w:type="dxa" w:w="2016"/>
            <w:shd w:fill="FFFFFF" w:val="clear"/>
            <w:tcMar>
              <w:top w:type="dxa" w:w="50"/>
              <w:left w:type="dxa" w:w="100"/>
              <w:bottom w:type="dxa" w:w="50"/>
              <w:right w:type="dxa" w:w="100"/>
            </w:tcMar>
          </w:tcPr>
          <w:p>
            <w:r>
              <w:rPr>
                <w:sz w:val="19"/>
                <w:szCs w:val="19"/>
              </w:rPr>
              <w:t xml:space="preserve">2018-04</w:t>
            </w:r>
          </w:p>
        </w:tc>
        <w:tc>
          <w:tcPr>
            <w:tcW w:type="dxa" w:w="2016"/>
            <w:shd w:fill="FFFFFF" w:val="clear"/>
            <w:tcMar>
              <w:top w:type="dxa" w:w="50"/>
              <w:left w:type="dxa" w:w="100"/>
              <w:bottom w:type="dxa" w:w="50"/>
              <w:right w:type="dxa" w:w="100"/>
            </w:tcMar>
          </w:tcPr>
          <w:p>
            <w:r>
              <w:rPr>
                <w:sz w:val="19"/>
                <w:szCs w:val="19"/>
              </w:rPr>
              <w:t xml:space="preserve">6,409</w:t>
            </w:r>
          </w:p>
        </w:tc>
        <w:tc>
          <w:tcPr>
            <w:tcW w:type="dxa" w:w="2016"/>
            <w:shd w:fill="FFFFFF" w:val="clear"/>
            <w:tcMar>
              <w:top w:type="dxa" w:w="50"/>
              <w:left w:type="dxa" w:w="100"/>
              <w:bottom w:type="dxa" w:w="50"/>
              <w:right w:type="dxa" w:w="100"/>
            </w:tcMar>
          </w:tcPr>
          <w:p>
            <w:r>
              <w:rPr>
                <w:sz w:val="19"/>
                <w:szCs w:val="19"/>
              </w:rPr>
              <w:t xml:space="preserve">94.48%</w:t>
            </w:r>
          </w:p>
        </w:tc>
        <w:tc>
          <w:tcPr>
            <w:tcW w:type="dxa" w:w="2016"/>
            <w:shd w:fill="FFFFFF" w:val="clear"/>
            <w:tcMar>
              <w:top w:type="dxa" w:w="50"/>
              <w:left w:type="dxa" w:w="100"/>
              <w:bottom w:type="dxa" w:w="50"/>
              <w:right w:type="dxa" w:w="100"/>
            </w:tcMar>
          </w:tcPr>
          <w:p>
            <w:r>
              <w:rPr>
                <w:sz w:val="19"/>
                <w:szCs w:val="19"/>
              </w:rPr>
              <w:t xml:space="preserve">11.55</w:t>
            </w:r>
          </w:p>
        </w:tc>
        <w:tc>
          <w:tcPr>
            <w:tcW w:type="dxa" w:w="2016"/>
            <w:shd w:fill="FFFFFF" w:val="clear"/>
            <w:tcMar>
              <w:top w:type="dxa" w:w="50"/>
              <w:left w:type="dxa" w:w="100"/>
              <w:bottom w:type="dxa" w:w="50"/>
              <w:right w:type="dxa" w:w="100"/>
            </w:tcMar>
          </w:tcPr>
          <w:p>
            <w:r>
              <w:rPr>
                <w:sz w:val="19"/>
                <w:szCs w:val="19"/>
              </w:rPr>
              <w:t xml:space="preserve">-12.00</w:t>
            </w:r>
          </w:p>
        </w:tc>
      </w:tr>
      <w:tr>
        <w:tc>
          <w:tcPr>
            <w:tcW w:type="dxa" w:w="2016"/>
            <w:shd w:fill="F2F2F2" w:val="clear"/>
            <w:tcMar>
              <w:top w:type="dxa" w:w="50"/>
              <w:left w:type="dxa" w:w="100"/>
              <w:bottom w:type="dxa" w:w="50"/>
              <w:right w:type="dxa" w:w="100"/>
            </w:tcMar>
          </w:tcPr>
          <w:p>
            <w:r>
              <w:rPr>
                <w:sz w:val="19"/>
                <w:szCs w:val="19"/>
              </w:rPr>
              <w:t xml:space="preserve">2018-06</w:t>
            </w:r>
          </w:p>
        </w:tc>
        <w:tc>
          <w:tcPr>
            <w:tcW w:type="dxa" w:w="2016"/>
            <w:shd w:fill="F2F2F2" w:val="clear"/>
            <w:tcMar>
              <w:top w:type="dxa" w:w="50"/>
              <w:left w:type="dxa" w:w="100"/>
              <w:bottom w:type="dxa" w:w="50"/>
              <w:right w:type="dxa" w:w="100"/>
            </w:tcMar>
          </w:tcPr>
          <w:p>
            <w:r>
              <w:rPr>
                <w:sz w:val="19"/>
                <w:szCs w:val="19"/>
              </w:rPr>
              <w:t xml:space="preserve">5,973</w:t>
            </w:r>
          </w:p>
        </w:tc>
        <w:tc>
          <w:tcPr>
            <w:tcW w:type="dxa" w:w="2016"/>
            <w:shd w:fill="F2F2F2" w:val="clear"/>
            <w:tcMar>
              <w:top w:type="dxa" w:w="50"/>
              <w:left w:type="dxa" w:w="100"/>
              <w:bottom w:type="dxa" w:w="50"/>
              <w:right w:type="dxa" w:w="100"/>
            </w:tcMar>
          </w:tcPr>
          <w:p>
            <w:r>
              <w:rPr>
                <w:sz w:val="19"/>
                <w:szCs w:val="19"/>
              </w:rPr>
              <w:t xml:space="preserve">98.63%</w:t>
            </w:r>
          </w:p>
        </w:tc>
        <w:tc>
          <w:tcPr>
            <w:tcW w:type="dxa" w:w="2016"/>
            <w:shd w:fill="F2F2F2" w:val="clear"/>
            <w:tcMar>
              <w:top w:type="dxa" w:w="50"/>
              <w:left w:type="dxa" w:w="100"/>
              <w:bottom w:type="dxa" w:w="50"/>
              <w:right w:type="dxa" w:w="100"/>
            </w:tcMar>
          </w:tcPr>
          <w:p>
            <w:r>
              <w:rPr>
                <w:sz w:val="19"/>
                <w:szCs w:val="19"/>
              </w:rPr>
              <w:t xml:space="preserve">9.19</w:t>
            </w:r>
          </w:p>
        </w:tc>
        <w:tc>
          <w:tcPr>
            <w:tcW w:type="dxa" w:w="2016"/>
            <w:shd w:fill="F2F2F2" w:val="clear"/>
            <w:tcMar>
              <w:top w:type="dxa" w:w="50"/>
              <w:left w:type="dxa" w:w="100"/>
              <w:bottom w:type="dxa" w:w="50"/>
              <w:right w:type="dxa" w:w="100"/>
            </w:tcMar>
          </w:tcPr>
          <w:p>
            <w:r>
              <w:rPr>
                <w:sz w:val="19"/>
                <w:szCs w:val="19"/>
              </w:rPr>
              <w:t xml:space="preserve">-18.51</w:t>
            </w:r>
          </w:p>
        </w:tc>
      </w:tr>
      <w:tr>
        <w:tc>
          <w:tcPr>
            <w:tcW w:type="dxa" w:w="2016"/>
            <w:shd w:fill="FFFFFF" w:val="clear"/>
            <w:tcMar>
              <w:top w:type="dxa" w:w="50"/>
              <w:left w:type="dxa" w:w="100"/>
              <w:bottom w:type="dxa" w:w="50"/>
              <w:right w:type="dxa" w:w="100"/>
            </w:tcMar>
          </w:tcPr>
          <w:p>
            <w:r>
              <w:rPr>
                <w:sz w:val="19"/>
                <w:szCs w:val="19"/>
              </w:rPr>
              <w:t xml:space="preserve">2018-08 (partial)</w:t>
            </w:r>
          </w:p>
        </w:tc>
        <w:tc>
          <w:tcPr>
            <w:tcW w:type="dxa" w:w="2016"/>
            <w:shd w:fill="FFFFFF" w:val="clear"/>
            <w:tcMar>
              <w:top w:type="dxa" w:w="50"/>
              <w:left w:type="dxa" w:w="100"/>
              <w:bottom w:type="dxa" w:w="50"/>
              <w:right w:type="dxa" w:w="100"/>
            </w:tcMar>
          </w:tcPr>
          <w:p>
            <w:r>
              <w:rPr>
                <w:sz w:val="19"/>
                <w:szCs w:val="19"/>
              </w:rPr>
              <w:t xml:space="preserve">6,265</w:t>
            </w:r>
          </w:p>
        </w:tc>
        <w:tc>
          <w:tcPr>
            <w:tcW w:type="dxa" w:w="2016"/>
            <w:shd w:fill="FFFFFF" w:val="clear"/>
            <w:tcMar>
              <w:top w:type="dxa" w:w="50"/>
              <w:left w:type="dxa" w:w="100"/>
              <w:bottom w:type="dxa" w:w="50"/>
              <w:right w:type="dxa" w:w="100"/>
            </w:tcMar>
          </w:tcPr>
          <w:p>
            <w:r>
              <w:rPr>
                <w:sz w:val="19"/>
                <w:szCs w:val="19"/>
              </w:rPr>
              <w:t xml:space="preserve">89.51%</w:t>
            </w:r>
          </w:p>
        </w:tc>
        <w:tc>
          <w:tcPr>
            <w:tcW w:type="dxa" w:w="2016"/>
            <w:shd w:fill="FFFFFF" w:val="clear"/>
            <w:tcMar>
              <w:top w:type="dxa" w:w="50"/>
              <w:left w:type="dxa" w:w="100"/>
              <w:bottom w:type="dxa" w:w="50"/>
              <w:right w:type="dxa" w:w="100"/>
            </w:tcMar>
          </w:tcPr>
          <w:p>
            <w:r>
              <w:rPr>
                <w:sz w:val="19"/>
                <w:szCs w:val="19"/>
              </w:rPr>
              <w:t xml:space="preserve">7.67</w:t>
            </w:r>
          </w:p>
        </w:tc>
        <w:tc>
          <w:tcPr>
            <w:tcW w:type="dxa" w:w="2016"/>
            <w:shd w:fill="FFFFFF" w:val="clear"/>
            <w:tcMar>
              <w:top w:type="dxa" w:w="50"/>
              <w:left w:type="dxa" w:w="100"/>
              <w:bottom w:type="dxa" w:w="50"/>
              <w:right w:type="dxa" w:w="100"/>
            </w:tcMar>
          </w:tcPr>
          <w:p>
            <w:r>
              <w:rPr>
                <w:sz w:val="19"/>
                <w:szCs w:val="19"/>
              </w:rPr>
              <w:t xml:space="preserve">-7.42</w:t>
            </w:r>
          </w:p>
        </w:tc>
      </w:tr>
    </w:tbl>
    <w:p>
      <w:pPr>
        <w:spacing w:after="160"/>
      </w:pPr>
    </w:p>
    <w:p>
      <w:pPr>
        <w:spacing w:after="80" w:before="180"/>
      </w:pPr>
      <w:r>
        <w:rPr>
          <w:b/>
          <w:bCs/>
          <w:color w:val="1F3864"/>
          <w:sz w:val="22"/>
          <w:szCs w:val="22"/>
        </w:rPr>
        <w:t xml:space="preserve">7.3.1 Interpretation</w:t>
      </w:r>
    </w:p>
    <w:p>
      <w:pPr>
        <w:spacing w:after="100"/>
      </w:pPr>
      <w:r>
        <w:rPr>
          <w:b/>
          <w:bCs/>
          <w:color w:val="1F3864"/>
          <w:sz w:val="21"/>
          <w:szCs w:val="21"/>
        </w:rPr>
        <w:t xml:space="preserve">Black Friday reliability dip — confirmed: </w:t>
      </w:r>
      <w:r>
        <w:rPr>
          <w:sz w:val="21"/>
          <w:szCs w:val="21"/>
        </w:rPr>
        <w:t xml:space="preserve">November 2017 shows a clear operational dip: On-Time Rate falls to 85.69% (from 94.71% in October), the delay buffer compresses to its thinnest point up to that date (-7.40 days), and delivery time extends to 15.07 days. This is consistent with the order-volume surge documented in Objective 2 straining fulfillment capacity.</w:t>
      </w:r>
    </w:p>
    <w:p>
      <w:pPr>
        <w:spacing w:after="100"/>
      </w:pPr>
      <w:r>
        <w:rPr>
          <w:b/>
          <w:bCs/>
          <w:color w:val="1F3864"/>
          <w:sz w:val="21"/>
          <w:szCs w:val="21"/>
        </w:rPr>
        <w:t xml:space="preserve">Recovery is gradual, not immediate: </w:t>
      </w:r>
      <w:r>
        <w:rPr>
          <w:sz w:val="21"/>
          <w:szCs w:val="21"/>
        </w:rPr>
        <w:t xml:space="preserve">On-Time Rate recovers partially in December (91.65%) and further in January 2018 (93.43%), but does not fully return to the pre-spike 94–97% baseline until April 2018 — indicating the operational strain from the volume surge took approximately two months to resolve.</w:t>
      </w:r>
    </w:p>
    <w:p>
      <w:pPr>
        <w:spacing w:after="100"/>
      </w:pPr>
      <w:r>
        <w:rPr>
          <w:b/>
          <w:bCs/>
          <w:color w:val="1F3864"/>
          <w:sz w:val="21"/>
          <w:szCs w:val="21"/>
        </w:rPr>
        <w:t xml:space="preserve">Unexplained Q1 2018 dip — the most significant open finding in this KPI area: </w:t>
      </w:r>
      <w:r>
        <w:rPr>
          <w:sz w:val="21"/>
          <w:szCs w:val="21"/>
        </w:rPr>
        <w:t xml:space="preserve">February and March 2018 show the two weakest on-time rates in the entire dataset (83.98% and 78.63% respectively) — worse than the Black Friday month itself — despite no corresponding order-volume spike in that period per the Sales Trends data. This cannot be explained by demand surge and is not resolvable from the data available in this project. It is documented here as an unresolved finding requiring external business context, rather than an assumed cause.</w:t>
      </w:r>
    </w:p>
    <w:p>
      <w:pPr>
        <w:spacing w:after="100"/>
      </w:pPr>
      <w:r>
        <w:rPr>
          <w:b/>
          <w:bCs/>
          <w:color w:val="1F3864"/>
          <w:sz w:val="21"/>
          <w:szCs w:val="21"/>
        </w:rPr>
        <w:t xml:space="preserve">Operational high point: </w:t>
      </w:r>
      <w:r>
        <w:rPr>
          <w:sz w:val="21"/>
          <w:szCs w:val="21"/>
        </w:rPr>
        <w:t xml:space="preserve">June 2018 recorded the strongest performance in the dataset: 98.63% On-Time Rate, 9.19-day average delivery time, and the largest 2018 delay buffer (-18.51 days) — useful as an internal benchmark of demonstrated operational capability.</w:t>
      </w:r>
    </w:p>
    <w:p>
      <w:pPr>
        <w:pBdr>
          <w:bottom w:val="single" w:color="AAAAAA" w:sz="6" w:space="1"/>
        </w:pBdr>
        <w:spacing w:after="200"/>
      </w:pPr>
    </w:p>
    <w:p>
      <w:pPr>
        <w:pStyle w:val="Heading1"/>
        <w:spacing w:after="140" w:before="320"/>
      </w:pPr>
      <w:r>
        <w:t xml:space="preserve">8. Summary of Key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60"/>
              <w:left w:type="dxa" w:w="100"/>
              <w:bottom w:type="dxa" w:w="60"/>
              <w:right w:type="dxa" w:w="100"/>
            </w:tcMar>
          </w:tcPr>
          <w:p>
            <w:r>
              <w:rPr>
                <w:b/>
                <w:bCs/>
                <w:color w:val="FFFFFF"/>
                <w:sz w:val="19"/>
                <w:szCs w:val="19"/>
              </w:rPr>
              <w:t xml:space="preserve">Objective</w:t>
            </w:r>
          </w:p>
        </w:tc>
        <w:tc>
          <w:tcPr>
            <w:tcW w:type="dxa" w:w="5040"/>
            <w:shd w:fill="1F3864" w:val="clear"/>
            <w:tcMar>
              <w:top w:type="dxa" w:w="60"/>
              <w:left w:type="dxa" w:w="100"/>
              <w:bottom w:type="dxa" w:w="60"/>
              <w:right w:type="dxa" w:w="100"/>
            </w:tcMar>
          </w:tcPr>
          <w:p>
            <w:r>
              <w:rPr>
                <w:b/>
                <w:bCs/>
                <w:color w:val="FFFFFF"/>
                <w:sz w:val="19"/>
                <w:szCs w:val="19"/>
              </w:rPr>
              <w:t xml:space="preserve">Key Finding</w:t>
            </w:r>
          </w:p>
        </w:tc>
      </w:tr>
      <w:tr>
        <w:tc>
          <w:tcPr>
            <w:tcW w:type="dxa" w:w="5040"/>
            <w:shd w:fill="FFFFFF" w:val="clear"/>
            <w:tcMar>
              <w:top w:type="dxa" w:w="50"/>
              <w:left w:type="dxa" w:w="100"/>
              <w:bottom w:type="dxa" w:w="50"/>
              <w:right w:type="dxa" w:w="100"/>
            </w:tcMar>
          </w:tcPr>
          <w:p>
            <w:r>
              <w:rPr>
                <w:sz w:val="19"/>
                <w:szCs w:val="19"/>
              </w:rPr>
              <w:t xml:space="preserve">Revenue Performance</w:t>
            </w:r>
          </w:p>
        </w:tc>
        <w:tc>
          <w:tcPr>
            <w:tcW w:type="dxa" w:w="5040"/>
            <w:shd w:fill="FFFFFF" w:val="clear"/>
            <w:tcMar>
              <w:top w:type="dxa" w:w="50"/>
              <w:left w:type="dxa" w:w="100"/>
              <w:bottom w:type="dxa" w:w="50"/>
              <w:right w:type="dxa" w:w="100"/>
            </w:tcMar>
          </w:tcPr>
          <w:p>
            <w:r>
              <w:rPr>
                <w:sz w:val="19"/>
                <w:szCs w:val="19"/>
              </w:rPr>
              <w:t xml:space="preserve">Revenue is right-skewed; orders above 500 BRL are 4.2% of volume but 24.4% of revenue. Both mean (154.10) and median (105.28) AOV should be reported together.</w:t>
            </w:r>
          </w:p>
        </w:tc>
      </w:tr>
      <w:tr>
        <w:tc>
          <w:tcPr>
            <w:tcW w:type="dxa" w:w="5040"/>
            <w:shd w:fill="F2F2F2" w:val="clear"/>
            <w:tcMar>
              <w:top w:type="dxa" w:w="50"/>
              <w:left w:type="dxa" w:w="100"/>
              <w:bottom w:type="dxa" w:w="50"/>
              <w:right w:type="dxa" w:w="100"/>
            </w:tcMar>
          </w:tcPr>
          <w:p>
            <w:r>
              <w:rPr>
                <w:sz w:val="19"/>
                <w:szCs w:val="19"/>
              </w:rPr>
              <w:t xml:space="preserve">Sales Trends</w:t>
            </w:r>
          </w:p>
        </w:tc>
        <w:tc>
          <w:tcPr>
            <w:tcW w:type="dxa" w:w="5040"/>
            <w:shd w:fill="F2F2F2" w:val="clear"/>
            <w:tcMar>
              <w:top w:type="dxa" w:w="50"/>
              <w:left w:type="dxa" w:w="100"/>
              <w:bottom w:type="dxa" w:w="50"/>
              <w:right w:type="dxa" w:w="100"/>
            </w:tcMar>
          </w:tcPr>
          <w:p>
            <w:r>
              <w:rPr>
                <w:sz w:val="19"/>
                <w:szCs w:val="19"/>
              </w:rPr>
              <w:t xml:space="preserve">2016-09 to 2016-12 excluded as pre-launch pilot. November 2017 peak confirmed as a Black Friday effect. Growth is volume-driven (AOV stable) and decelerating as the base matures.</w:t>
            </w:r>
          </w:p>
        </w:tc>
      </w:tr>
      <w:tr>
        <w:tc>
          <w:tcPr>
            <w:tcW w:type="dxa" w:w="5040"/>
            <w:shd w:fill="FFFFFF" w:val="clear"/>
            <w:tcMar>
              <w:top w:type="dxa" w:w="50"/>
              <w:left w:type="dxa" w:w="100"/>
              <w:bottom w:type="dxa" w:w="50"/>
              <w:right w:type="dxa" w:w="100"/>
            </w:tcMar>
          </w:tcPr>
          <w:p>
            <w:r>
              <w:rPr>
                <w:sz w:val="19"/>
                <w:szCs w:val="19"/>
              </w:rPr>
              <w:t xml:space="preserve">Product Performance</w:t>
            </w:r>
          </w:p>
        </w:tc>
        <w:tc>
          <w:tcPr>
            <w:tcW w:type="dxa" w:w="5040"/>
            <w:shd w:fill="FFFFFF" w:val="clear"/>
            <w:tcMar>
              <w:top w:type="dxa" w:w="50"/>
              <w:left w:type="dxa" w:w="100"/>
              <w:bottom w:type="dxa" w:w="50"/>
              <w:right w:type="dxa" w:w="100"/>
            </w:tcMar>
          </w:tcPr>
          <w:p>
            <w:r>
              <w:rPr>
                <w:sz w:val="19"/>
                <w:szCs w:val="19"/>
              </w:rPr>
              <w:t xml:space="preserve">Revenue leader (health_beauty), demand leader (bed_bath_table), and AOV leader (computers) are three different categories. telephony and electronics are high-volume, low-AOV categories that are also among the fastest-growing — a scaling risk to blended AOV.</w:t>
            </w:r>
          </w:p>
        </w:tc>
      </w:tr>
      <w:tr>
        <w:tc>
          <w:tcPr>
            <w:tcW w:type="dxa" w:w="5040"/>
            <w:shd w:fill="F2F2F2" w:val="clear"/>
            <w:tcMar>
              <w:top w:type="dxa" w:w="50"/>
              <w:left w:type="dxa" w:w="100"/>
              <w:bottom w:type="dxa" w:w="50"/>
              <w:right w:type="dxa" w:w="100"/>
            </w:tcMar>
          </w:tcPr>
          <w:p>
            <w:r>
              <w:rPr>
                <w:sz w:val="19"/>
                <w:szCs w:val="19"/>
              </w:rPr>
              <w:t xml:space="preserve">Geographic Performance</w:t>
            </w:r>
          </w:p>
        </w:tc>
        <w:tc>
          <w:tcPr>
            <w:tcW w:type="dxa" w:w="5040"/>
            <w:shd w:fill="F2F2F2" w:val="clear"/>
            <w:tcMar>
              <w:top w:type="dxa" w:w="50"/>
              <w:left w:type="dxa" w:w="100"/>
              <w:bottom w:type="dxa" w:w="50"/>
              <w:right w:type="dxa" w:w="100"/>
            </w:tcMar>
          </w:tcPr>
          <w:p>
            <w:r>
              <w:rPr>
                <w:sz w:val="19"/>
                <w:szCs w:val="19"/>
              </w:rPr>
              <w:t xml:space="preserve">SP, RJ, and MG generate 62.54% of revenue. Demand concentration is metro-level, not just state-level. Low-volume northern states show inverse AOV strength.</w:t>
            </w:r>
          </w:p>
        </w:tc>
      </w:tr>
      <w:tr>
        <w:tc>
          <w:tcPr>
            <w:tcW w:type="dxa" w:w="5040"/>
            <w:shd w:fill="FFFFFF" w:val="clear"/>
            <w:tcMar>
              <w:top w:type="dxa" w:w="50"/>
              <w:left w:type="dxa" w:w="100"/>
              <w:bottom w:type="dxa" w:w="50"/>
              <w:right w:type="dxa" w:w="100"/>
            </w:tcMar>
          </w:tcPr>
          <w:p>
            <w:r>
              <w:rPr>
                <w:sz w:val="19"/>
                <w:szCs w:val="19"/>
              </w:rPr>
              <w:t xml:space="preserve">Delivery Performance</w:t>
            </w:r>
          </w:p>
        </w:tc>
        <w:tc>
          <w:tcPr>
            <w:tcW w:type="dxa" w:w="5040"/>
            <w:shd w:fill="FFFFFF" w:val="clear"/>
            <w:tcMar>
              <w:top w:type="dxa" w:w="50"/>
              <w:left w:type="dxa" w:w="100"/>
              <w:bottom w:type="dxa" w:w="50"/>
              <w:right w:type="dxa" w:w="100"/>
            </w:tcMar>
          </w:tcPr>
          <w:p>
            <w:r>
              <w:rPr>
                <w:sz w:val="19"/>
                <w:szCs w:val="19"/>
              </w:rPr>
              <w:t xml:space="preserve">91.80% On-Time Rate is supported by an ~11-day average buffer, applied unevenly by state. AL is the weakest-performing state. A Black Friday reliability dip is confirmed; an unexplained Feb–Mar 2018 dip remains an open question.</w:t>
            </w:r>
          </w:p>
        </w:tc>
      </w:tr>
    </w:tbl>
    <w:p>
      <w:pPr>
        <w:spacing w:after="160"/>
      </w:pPr>
    </w:p>
    <w:p>
      <w:pPr>
        <w:pStyle w:val="Heading1"/>
        <w:spacing w:after="140" w:before="320"/>
      </w:pPr>
      <w:r>
        <w:t xml:space="preserve">9. Limitations and Open Questions</w:t>
      </w:r>
    </w:p>
    <w:p>
      <w:pPr>
        <w:pStyle w:val="ListParagraph"/>
        <w:numPr>
          <w:ilvl w:val="0"/>
          <w:numId w:val="1"/>
        </w:numPr>
        <w:spacing w:after="60"/>
      </w:pPr>
      <w:r>
        <w:rPr>
          <w:b w:val="false"/>
          <w:bCs w:val="false"/>
          <w:sz w:val="21"/>
          <w:szCs w:val="21"/>
        </w:rPr>
        <w:t xml:space="preserve">Category revenue (Objective 3) is defined on item-level price and does not reconcile exactly to the Total Revenue KPI, due to freight and installment-fee variance documented in Phase 4. This is a stated, deliberate limitation, not an error.</w:t>
      </w:r>
    </w:p>
    <w:p>
      <w:pPr>
        <w:pStyle w:val="ListParagraph"/>
        <w:numPr>
          <w:ilvl w:val="0"/>
          <w:numId w:val="1"/>
        </w:numPr>
        <w:spacing w:after="60"/>
      </w:pPr>
      <w:r>
        <w:rPr>
          <w:b w:val="false"/>
          <w:bCs w:val="false"/>
          <w:sz w:val="21"/>
          <w:szCs w:val="21"/>
        </w:rPr>
        <w:t xml:space="preserve">The February–March 2018 delivery reliability dip (Objective 5) has no explanation available within the scope of this dataset and requires external business context to resolve.</w:t>
      </w:r>
    </w:p>
    <w:p>
      <w:pPr>
        <w:pStyle w:val="ListParagraph"/>
        <w:numPr>
          <w:ilvl w:val="0"/>
          <w:numId w:val="1"/>
        </w:numPr>
        <w:spacing w:after="60"/>
      </w:pPr>
      <w:r>
        <w:rPr>
          <w:b w:val="false"/>
          <w:bCs w:val="false"/>
          <w:sz w:val="21"/>
          <w:szCs w:val="21"/>
        </w:rPr>
        <w:t xml:space="preserve">Seller-side geography and product weight/dimensions were not joined into the delivery analysis, consistent with the project's customer-side-only geographic scope (Business Understanding §7); this limits the ability to fully explain state-level delivery time variation (e.g., distinguishing carrier performance from seller location effects).</w:t>
      </w:r>
    </w:p>
    <w:p>
      <w:pPr>
        <w:pStyle w:val="ListParagraph"/>
        <w:numPr>
          <w:ilvl w:val="0"/>
          <w:numId w:val="1"/>
        </w:numPr>
        <w:spacing w:after="60"/>
      </w:pPr>
      <w:r>
        <w:rPr>
          <w:b w:val="false"/>
          <w:bCs w:val="false"/>
          <w:sz w:val="21"/>
          <w:szCs w:val="21"/>
        </w:rPr>
        <w:t xml:space="preserve">Customer satisfaction and review data remain explicitly out of scope throughout this phase, per the Business Understanding document (§6).</w:t>
      </w:r>
    </w:p>
    <w:p>
      <w:pPr>
        <w:pBdr>
          <w:bottom w:val="single" w:color="AAAAAA" w:sz="6" w:space="1"/>
        </w:pBdr>
        <w:spacing w:after="200"/>
      </w:pPr>
    </w:p>
    <w:p>
      <w:pPr>
        <w:pStyle w:val="Heading1"/>
        <w:spacing w:after="140" w:before="320"/>
      </w:pPr>
      <w:r>
        <w:t xml:space="preserve">10. Next Steps</w:t>
      </w:r>
    </w:p>
    <w:p>
      <w:pPr>
        <w:spacing w:after="120"/>
        <w:jc w:val="left"/>
      </w:pPr>
      <w:r>
        <w:rPr>
          <w:b w:val="false"/>
          <w:bCs w:val="false"/>
          <w:i w:val="false"/>
          <w:iCs w:val="false"/>
          <w:sz w:val="21"/>
          <w:szCs w:val="21"/>
        </w:rPr>
        <w:t xml:space="preserve">With Phase 6 (Exploratory Data Analysis) complete and formally documented across all five business objectives, the project proceeds to Phase 7 — Connect SQL Views to Power BI, covering the import of the established fact and dimension views into Power BI and configuration of model relationships ahead of KPI Design (Phase 8) and DAX Development (Phase 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2026-09-10T20:52:11.257Z</dcterms:created>
  <dcterms:modified xsi:type="dcterms:W3CDTF">2026-09-10T20:52:11.268Z</dcterms:modified>
</cp:coreProperties>
</file>

<file path=docProps/custom.xml><?xml version="1.0" encoding="utf-8"?>
<Properties xmlns="http://schemas.openxmlformats.org/officeDocument/2006/custom-properties" xmlns:vt="http://schemas.openxmlformats.org/officeDocument/2006/docPropsVTypes"/>
</file>