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4D14" w14:textId="77777777" w:rsidR="007F23B3" w:rsidRPr="007F23B3" w:rsidRDefault="007F23B3" w:rsidP="007F23B3">
      <w:r w:rsidRPr="007F23B3">
        <w:rPr>
          <w:rFonts w:ascii="Segoe UI Emoji" w:hAnsi="Segoe UI Emoji" w:cs="Segoe UI Emoji"/>
        </w:rPr>
        <w:t>⚖️</w:t>
      </w:r>
      <w:r w:rsidRPr="007F23B3">
        <w:t xml:space="preserve"> PUTUSAN:</w:t>
      </w:r>
      <w:r w:rsidRPr="007F23B3">
        <w:br/>
        <w:t>• Alford v. NC: https://supreme.justia.com/cases/federal/us/400/25/</w:t>
      </w:r>
      <w:r w:rsidRPr="007F23B3">
        <w:br/>
        <w:t>• Brady v. US: https://supreme.justia.com/cases/federal/us/397/742/</w:t>
      </w:r>
      <w:r w:rsidRPr="007F23B3">
        <w:br/>
        <w:t xml:space="preserve">• </w:t>
      </w:r>
      <w:proofErr w:type="spellStart"/>
      <w:r w:rsidRPr="007F23B3">
        <w:t>Santobello</w:t>
      </w:r>
      <w:proofErr w:type="spellEnd"/>
      <w:r w:rsidRPr="007F23B3">
        <w:t xml:space="preserve"> v. NY: https://supreme.justia.com/cases/federal/us/404/257/</w:t>
      </w:r>
      <w:r w:rsidRPr="007F23B3">
        <w:br/>
        <w:t>• Missouri v. Frye: https://supreme.justia.com/cases/federal/us/566/134/</w:t>
      </w:r>
    </w:p>
    <w:p w14:paraId="2415D638" w14:textId="77777777" w:rsidR="007F23B3" w:rsidRDefault="007F23B3"/>
    <w:sectPr w:rsidR="007F2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3"/>
    <w:rsid w:val="007F23B3"/>
    <w:rsid w:val="00DB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9E9A8"/>
  <w15:chartTrackingRefBased/>
  <w15:docId w15:val="{58F8636C-C09A-49AC-B682-6BB595A1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Haspra Consulting</dc:creator>
  <cp:keywords/>
  <dc:description/>
  <cp:lastModifiedBy>Haspra Consulting</cp:lastModifiedBy>
  <cp:revision>1</cp:revision>
  <dcterms:created xsi:type="dcterms:W3CDTF">2026-06-08T15:28:00Z</dcterms:created>
  <dcterms:modified xsi:type="dcterms:W3CDTF">2026-06-08T15:29:00Z</dcterms:modified>
</cp:coreProperties>
</file>