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F6F4F"/>
          <w:sz w:val="56"/>
          <w:szCs w:val="56"/>
        </w:rPr>
        <w:t xml:space="preserve">TARRAGON HEALTH</w:t>
      </w:r>
    </w:p>
    <w:p>
      <w:pPr>
        <w:spacing w:after="60" w:before="120"/>
        <w:jc w:val="center"/>
      </w:pPr>
      <w:r>
        <w:rPr>
          <w:b/>
          <w:bCs/>
          <w:color w:val="1A1A1A"/>
          <w:sz w:val="32"/>
          <w:szCs w:val="32"/>
        </w:rPr>
        <w:t xml:space="preserve">Platform &amp; Product Specification</w:t>
      </w:r>
    </w:p>
    <w:p>
      <w:pPr>
        <w:spacing w:after="400"/>
        <w:jc w:val="center"/>
      </w:pPr>
      <w:r>
        <w:rPr>
          <w:i/>
          <w:iCs/>
          <w:color w:val="5B6B63"/>
          <w:sz w:val="24"/>
          <w:szCs w:val="24"/>
        </w:rPr>
        <w:t xml:space="preserve">Preventive Health and Chronic Disease Management for Nigeria</w:t>
      </w:r>
    </w:p>
    <w:p>
      <w:pPr>
        <w:spacing w:after="40"/>
        <w:jc w:val="center"/>
      </w:pPr>
      <w:r>
        <w:rPr>
          <w:color w:val="5B6B63"/>
          <w:sz w:val="20"/>
          <w:szCs w:val="20"/>
        </w:rPr>
        <w:t xml:space="preserve">Version 1.0 — 27 August 2026</w:t>
      </w:r>
    </w:p>
    <w:p>
      <w:pPr>
        <w:spacing w:after="40"/>
        <w:jc w:val="center"/>
      </w:pPr>
      <w:r>
        <w:rPr>
          <w:color w:val="5B6B63"/>
          <w:sz w:val="20"/>
          <w:szCs w:val="20"/>
        </w:rPr>
        <w:t xml:space="preserve">Tarragon Health Ltd · RC 9702108 · usetarragon.com</w:t>
      </w:r>
    </w:p>
    <w:p>
      <w:pPr>
        <w:spacing w:after="40"/>
        <w:jc w:val="center"/>
      </w:pPr>
      <w:r>
        <w:rPr>
          <w:color w:val="5B6B63"/>
          <w:sz w:val="20"/>
          <w:szCs w:val="20"/>
        </w:rPr>
        <w:t xml:space="preserve">Prepared for: Engineering, Product and Delivery Leadership</w:t>
      </w:r>
    </w:p>
    <w:p>
      <w:r>
        <w:br w:type="page"/>
      </w:r>
    </w:p>
    <w:p>
      <w:pPr>
        <w:pStyle w:val="Heading1"/>
        <w:pBdr>
          <w:bottom w:val="single" w:color="C9D4CE" w:sz="6" w:space="4"/>
        </w:pBdr>
        <w:spacing w:after="200" w:before="480"/>
      </w:pPr>
      <w:r>
        <w:rPr>
          <w:b/>
          <w:bCs/>
          <w:color w:val="2F6F4F"/>
          <w:sz w:val="30"/>
          <w:szCs w:val="30"/>
        </w:rPr>
        <w:t xml:space="preserve">How to Use This Document</w:t>
      </w:r>
    </w:p>
    <w:p>
      <w:pPr>
        <w:spacing w:after="160" w:line="276"/>
      </w:pPr>
      <w:r>
        <w:rPr>
          <w:color w:val="1A1A1A"/>
          <w:sz w:val="21"/>
          <w:szCs w:val="21"/>
        </w:rPr>
        <w:t xml:space="preserve">This is a build-ready specification: the functions the company needs to run, and the functionality, structure and features the platform needs, written for an engineering lead, a delivery/project manager and a product owner to plan and build from directly. It assumes no context beyond what is stated here.</w:t>
      </w:r>
    </w:p>
    <w:p>
      <w:pPr>
        <w:spacing w:after="160" w:line="276"/>
      </w:pPr>
      <w:r>
        <w:rPr>
          <w:color w:val="1A1A1A"/>
          <w:sz w:val="21"/>
          <w:szCs w:val="21"/>
        </w:rPr>
        <w:t xml:space="preserve">It supersedes nothing already committed in the company's own Build Specification v3 and Phase 2 build spec held in the company folder (05-PRODUCT-AND-ENGINEERING). Where the two differ, treat the company-folder documents as the more detailed record and this document as the current consolidated source of truth to reconcile against them. Every design choice below either restates a standing decision already made, or is flagged explicitly as a new recommendation requiring the founder's sign-off.</w:t>
      </w:r>
    </w:p>
    <w:p>
      <w:pPr>
        <w:pBdr>
          <w:left w:val="single" w:color="2F6F4F" w:sz="18" w:space="8"/>
        </w:pBdr>
        <w:spacing w:after="200" w:before="120" w:line="264"/>
        <w:ind w:left="200"/>
      </w:pPr>
      <w:r>
        <w:rPr>
          <w:b/>
          <w:bCs/>
          <w:color w:val="2F6F4F"/>
          <w:sz w:val="20"/>
          <w:szCs w:val="20"/>
        </w:rPr>
        <w:t xml:space="preserve">Reading convention:  </w:t>
      </w:r>
      <w:r>
        <w:rPr>
          <w:i/>
          <w:iCs/>
          <w:color w:val="5B6B63"/>
          <w:sz w:val="20"/>
          <w:szCs w:val="20"/>
        </w:rPr>
        <w:t xml:space="preserve">A grey left-rule marks an open decision or flagged risk needing the founder's explicit call before engineering treats it as final. Everything else is intended to be actioned directly.</w:t>
      </w:r>
    </w:p>
    <w:p>
      <w:pPr>
        <w:spacing w:after="80"/>
      </w:pPr>
    </w:p>
    <w:p>
      <w:pPr>
        <w:spacing w:after="80"/>
      </w:pPr>
      <w:r>
        <w:rPr>
          <w:b/>
          <w:bCs/>
          <w:color w:val="2F6F4F"/>
          <w:sz w:val="24"/>
          <w:szCs w:val="24"/>
        </w:rPr>
        <w:t xml:space="preserve">Contents</w:t>
      </w:r>
    </w:p>
    <w:p>
      <w:pPr>
        <w:spacing w:after="160"/>
      </w:pPr>
      <w:r>
        <w:rPr>
          <w:i/>
          <w:iCs/>
          <w:color w:val="5B6B63"/>
          <w:sz w:val="17"/>
          <w:szCs w:val="17"/>
        </w:rPr>
        <w:t xml:space="preserve">(Right-click below and choose “Update Field”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D4CE" w:sz="6" w:space="4"/>
        </w:pBdr>
        <w:spacing w:after="200" w:before="480"/>
      </w:pPr>
      <w:r>
        <w:rPr>
          <w:b/>
          <w:bCs/>
          <w:color w:val="2F6F4F"/>
          <w:sz w:val="30"/>
          <w:szCs w:val="30"/>
        </w:rPr>
        <w:t xml:space="preserve">1. Product Vision &amp; Design Principles</w:t>
      </w:r>
    </w:p>
    <w:p>
      <w:pPr>
        <w:spacing w:after="160" w:line="276"/>
      </w:pPr>
      <w:r>
        <w:rPr>
          <w:color w:val="1A1A1A"/>
          <w:sz w:val="21"/>
          <w:szCs w:val="21"/>
        </w:rPr>
        <w:t xml:space="preserve">Tarragon Health is the coordination layer between a Nigerian patient and the healthcare infrastructure that already exists around them — doctors, labs, pharmacies, HMOs and employers — for the two jobs the Nigerian health system is worst at doing today: catching disease before it becomes a crisis, and keeping a diagnosed chronic condition under control between visits. It owns no clinics, runs no lab, and (except for one wearable device line, flagged in Section 11) sells no hardware. It is the software and the employed clinical team that make prevention and chronic care continuous instead of a once-a-year event.</w:t>
      </w:r>
    </w:p>
    <w:p>
      <w:pPr>
        <w:pStyle w:val="Heading2"/>
        <w:spacing w:after="140" w:before="320"/>
      </w:pPr>
      <w:r>
        <w:rPr>
          <w:b/>
          <w:bCs/>
          <w:color w:val="1A1A1A"/>
          <w:sz w:val="25"/>
          <w:szCs w:val="25"/>
        </w:rPr>
        <w:t xml:space="preserve">1.1 What the platform must be true to, in every feature decision</w:t>
      </w:r>
    </w:p>
    <w:p>
      <w:pPr>
        <w:pStyle w:val="ListParagraph"/>
        <w:numPr>
          <w:ilvl w:val="0"/>
          <w:numId w:val="2"/>
        </w:numPr>
        <w:spacing w:after="90" w:line="264"/>
      </w:pPr>
      <w:r>
        <w:rPr>
          <w:b/>
          <w:bCs/>
          <w:color w:val="1A1A1A"/>
          <w:sz w:val="21"/>
          <w:szCs w:val="21"/>
        </w:rPr>
        <w:t xml:space="preserve">Protocol before invention — </w:t>
      </w:r>
      <w:r>
        <w:rPr>
          <w:color w:val="1A1A1A"/>
          <w:sz w:val="21"/>
          <w:szCs w:val="21"/>
        </w:rPr>
        <w:t xml:space="preserve">every clinical pathway follows an existing, named, publicly defensible guideline (WHO HEARTS, Nigeria's National Hypertension Control Initiative, standard NPHCDA immunisation schedule) — the platform does not invent clinical logic, it operationalises guidelines that already exist.</w:t>
      </w:r>
    </w:p>
    <w:p>
      <w:pPr>
        <w:pStyle w:val="ListParagraph"/>
        <w:numPr>
          <w:ilvl w:val="0"/>
          <w:numId w:val="2"/>
        </w:numPr>
        <w:spacing w:after="90" w:line="264"/>
      </w:pPr>
      <w:r>
        <w:rPr>
          <w:b/>
          <w:bCs/>
          <w:color w:val="1A1A1A"/>
          <w:sz w:val="21"/>
          <w:szCs w:val="21"/>
        </w:rPr>
        <w:t xml:space="preserve">Escalation-driven, not doctor-per-patient — </w:t>
      </w:r>
      <w:r>
        <w:rPr>
          <w:color w:val="1A1A1A"/>
          <w:sz w:val="21"/>
          <w:szCs w:val="21"/>
        </w:rPr>
        <w:t xml:space="preserve">the product does not promise a continuously assigned personal doctor. It promises a care team, an AI layer that triages and drafts, and a doctor who signs off and takes over the moment something leaves the protocol. This is a structural design choice, not a cost-cutting compromise — it is the only model that scales doctor time across a country of 220 million people.</w:t>
      </w:r>
    </w:p>
    <w:p>
      <w:pPr>
        <w:pStyle w:val="ListParagraph"/>
        <w:numPr>
          <w:ilvl w:val="0"/>
          <w:numId w:val="2"/>
        </w:numPr>
        <w:spacing w:after="90" w:line="264"/>
      </w:pPr>
      <w:r>
        <w:rPr>
          <w:b/>
          <w:bCs/>
          <w:color w:val="1A1A1A"/>
          <w:sz w:val="21"/>
          <w:szCs w:val="21"/>
        </w:rPr>
        <w:t xml:space="preserve">Low-bandwidth and low-literacy first — </w:t>
      </w:r>
      <w:r>
        <w:rPr>
          <w:color w:val="1A1A1A"/>
          <w:sz w:val="21"/>
          <w:szCs w:val="21"/>
        </w:rPr>
        <w:t xml:space="preserve">the primary user is on a mid-range Android phone, sometimes on 3G, and may have low health literacy and functional but not fluent English. Every screen, message and consent flow is designed for that user first, not retrofitted for them after building for a Lagos tech-worker persona.</w:t>
      </w:r>
    </w:p>
    <w:p>
      <w:pPr>
        <w:pStyle w:val="ListParagraph"/>
        <w:numPr>
          <w:ilvl w:val="0"/>
          <w:numId w:val="2"/>
        </w:numPr>
        <w:spacing w:after="90" w:line="264"/>
      </w:pPr>
      <w:r>
        <w:rPr>
          <w:b/>
          <w:bCs/>
          <w:color w:val="1A1A1A"/>
          <w:sz w:val="21"/>
          <w:szCs w:val="21"/>
        </w:rPr>
        <w:t xml:space="preserve">Human accountability for every clinical judgment — </w:t>
      </w:r>
      <w:r>
        <w:rPr>
          <w:color w:val="1A1A1A"/>
          <w:sz w:val="21"/>
          <w:szCs w:val="21"/>
        </w:rPr>
        <w:t xml:space="preserve">AI drafts, suggests, and triages; a licensed doctor, identifiable by name and MDCN licence, signs. No AI output reaches a patient as clinical content, and no titration or diagnosis is ever machine-issued.</w:t>
      </w:r>
    </w:p>
    <w:p>
      <w:pPr>
        <w:pStyle w:val="ListParagraph"/>
        <w:numPr>
          <w:ilvl w:val="0"/>
          <w:numId w:val="2"/>
        </w:numPr>
        <w:spacing w:after="90" w:line="264"/>
      </w:pPr>
      <w:r>
        <w:rPr>
          <w:b/>
          <w:bCs/>
          <w:color w:val="1A1A1A"/>
          <w:sz w:val="21"/>
          <w:szCs w:val="21"/>
        </w:rPr>
        <w:t xml:space="preserve">Privacy and data minimism by design — </w:t>
      </w:r>
      <w:r>
        <w:rPr>
          <w:color w:val="1A1A1A"/>
          <w:sz w:val="21"/>
          <w:szCs w:val="21"/>
        </w:rPr>
        <w:t xml:space="preserve">the platform is built so that a data breach of the institutional console reveals nothing about any individual patient, and so that no identifiable patient data can physically leave the platform's own boundary by accident — this is an architectural property (Section 4, Section 6), not a policy promise.</w:t>
      </w:r>
    </w:p>
    <w:p>
      <w:pPr>
        <w:pStyle w:val="ListParagraph"/>
        <w:numPr>
          <w:ilvl w:val="0"/>
          <w:numId w:val="2"/>
        </w:numPr>
        <w:spacing w:after="90" w:line="264"/>
      </w:pPr>
      <w:r>
        <w:rPr>
          <w:b/>
          <w:bCs/>
          <w:color w:val="1A1A1A"/>
          <w:sz w:val="21"/>
          <w:szCs w:val="21"/>
        </w:rPr>
        <w:t xml:space="preserve">Nigeria-first, not Nigeria-only — </w:t>
      </w:r>
      <w:r>
        <w:rPr>
          <w:color w:val="1A1A1A"/>
          <w:sz w:val="21"/>
          <w:szCs w:val="21"/>
        </w:rPr>
        <w:t xml:space="preserve">every architectural choice below is chosen so that a second market (the UK expansion already under consideration) is a configuration change — new protocol pack, new payment rails, new regulator — not a rebuild.</w:t>
      </w:r>
    </w:p>
    <w:p>
      <w:pPr>
        <w:pStyle w:val="Heading2"/>
        <w:spacing w:after="140" w:before="320"/>
      </w:pPr>
      <w:r>
        <w:rPr>
          <w:b/>
          <w:bCs/>
          <w:color w:val="1A1A1A"/>
          <w:sz w:val="25"/>
          <w:szCs w:val="25"/>
        </w:rPr>
        <w:t xml:space="preserve">1.2 What "serving the population" concretely requires</w:t>
      </w:r>
    </w:p>
    <w:p>
      <w:pPr>
        <w:spacing w:after="160" w:line="276"/>
      </w:pPr>
      <w:r>
        <w:rPr>
          <w:color w:val="1A1A1A"/>
          <w:sz w:val="21"/>
          <w:szCs w:val="21"/>
        </w:rPr>
        <w:t xml:space="preserve">The Nigerian population this platform must serve is disproportionately: on a smartphone but price-sensitive about data; served by inconsistent primary care; carrying undiagnosed hypertension and diabetes at very high rates; distrustful of, or priced out of, private healthcare; and reachable by phone number and SMS even where a smartphone or fast data connection is not guaranteed. Every module in Section 5 is written against that reality — in particular the USSD channel (5.14), the five-rail comms design (5.13) and the language/literacy requirements in Section 7 are not nice-to-haves; they are what makes the difference between a platform that serves Lagos and Abuja professionals and one that serves the population.</w:t>
      </w:r>
    </w:p>
    <w:p>
      <w:r>
        <w:br w:type="page"/>
      </w:r>
    </w:p>
    <w:p>
      <w:pPr>
        <w:pStyle w:val="Heading1"/>
        <w:pBdr>
          <w:bottom w:val="single" w:color="C9D4CE" w:sz="6" w:space="4"/>
        </w:pBdr>
        <w:spacing w:after="200" w:before="480"/>
      </w:pPr>
      <w:r>
        <w:rPr>
          <w:b/>
          <w:bCs/>
          <w:color w:val="2F6F4F"/>
          <w:sz w:val="30"/>
          <w:szCs w:val="30"/>
        </w:rPr>
        <w:t xml:space="preserve">2. Company Functions</w:t>
      </w:r>
    </w:p>
    <w:p>
      <w:pPr>
        <w:spacing w:after="160" w:line="276"/>
      </w:pPr>
      <w:r>
        <w:rPr>
          <w:color w:val="1A1A1A"/>
          <w:sz w:val="21"/>
          <w:szCs w:val="21"/>
        </w:rPr>
        <w:t xml:space="preserve">The question "what functions should the company have" already has an answer inside Tarragon's own operating model: ten departments, twenty defined functional roles, run today by the founder plus an AI co-founder across three two-hour sessions a week, and designed to be handed to real hires one department at a time as revenue allows. The platform's admin, clinician and institutional consoles (Section 5.6, 5.7, 5.18) exist to make each of these functions executable by one or two people instead of a department — that is the entire reason the software must be this comprehensive.</w:t>
      </w:r>
    </w:p>
    <w:p>
      <w:pPr>
        <w:pStyle w:val="Heading2"/>
        <w:spacing w:after="140" w:before="320"/>
      </w:pPr>
      <w:r>
        <w:rPr>
          <w:b/>
          <w:bCs/>
          <w:color w:val="1A1A1A"/>
          <w:sz w:val="25"/>
          <w:szCs w:val="25"/>
        </w:rPr>
        <w:t xml:space="preserve">2.1 The ten departments and what each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560"/>
        <w:gridCol w:w="2700"/>
      </w:tblGrid>
      <w:tr>
        <w:trPr>
          <w:cantSplit/>
          <w:tblHeader/>
        </w:trPr>
        <w:tc>
          <w:tcPr>
            <w:tcW w:type="dxa" w:w="700"/>
            <w:shd w:fill="EDF3EF" w:val="clear"/>
            <w:tcMar>
              <w:top w:type="dxa" w:w="80"/>
              <w:left w:type="dxa" w:w="100"/>
              <w:bottom w:type="dxa" w:w="80"/>
              <w:right w:type="dxa" w:w="100"/>
            </w:tcMar>
          </w:tcPr>
          <w:p>
            <w:r>
              <w:rPr>
                <w:b/>
                <w:bCs/>
                <w:color w:val="1A1A1A"/>
                <w:sz w:val="19"/>
                <w:szCs w:val="19"/>
              </w:rPr>
              <w:t xml:space="preserve">Dept.</w:t>
            </w:r>
          </w:p>
        </w:tc>
        <w:tc>
          <w:tcPr>
            <w:tcW w:type="dxa" w:w="2400"/>
            <w:shd w:fill="EDF3EF" w:val="clear"/>
            <w:tcMar>
              <w:top w:type="dxa" w:w="80"/>
              <w:left w:type="dxa" w:w="100"/>
              <w:bottom w:type="dxa" w:w="80"/>
              <w:right w:type="dxa" w:w="100"/>
            </w:tcMar>
          </w:tcPr>
          <w:p>
            <w:r>
              <w:rPr>
                <w:b/>
                <w:bCs/>
                <w:color w:val="1A1A1A"/>
                <w:sz w:val="19"/>
                <w:szCs w:val="19"/>
              </w:rPr>
              <w:t xml:space="preserve">Function</w:t>
            </w:r>
          </w:p>
        </w:tc>
        <w:tc>
          <w:tcPr>
            <w:tcW w:type="dxa" w:w="3560"/>
            <w:shd w:fill="EDF3EF" w:val="clear"/>
            <w:tcMar>
              <w:top w:type="dxa" w:w="80"/>
              <w:left w:type="dxa" w:w="100"/>
              <w:bottom w:type="dxa" w:w="80"/>
              <w:right w:type="dxa" w:w="100"/>
            </w:tcMar>
          </w:tcPr>
          <w:p>
            <w:r>
              <w:rPr>
                <w:b/>
                <w:bCs/>
                <w:color w:val="1A1A1A"/>
                <w:sz w:val="19"/>
                <w:szCs w:val="19"/>
              </w:rPr>
              <w:t xml:space="preserve">Owns</w:t>
            </w:r>
          </w:p>
        </w:tc>
        <w:tc>
          <w:tcPr>
            <w:tcW w:type="dxa" w:w="2700"/>
            <w:shd w:fill="EDF3EF" w:val="clear"/>
            <w:tcMar>
              <w:top w:type="dxa" w:w="80"/>
              <w:left w:type="dxa" w:w="100"/>
              <w:bottom w:type="dxa" w:w="80"/>
              <w:right w:type="dxa" w:w="100"/>
            </w:tcMar>
          </w:tcPr>
          <w:p>
            <w:r>
              <w:rPr>
                <w:b/>
                <w:bCs/>
                <w:color w:val="1A1A1A"/>
                <w:sz w:val="19"/>
                <w:szCs w:val="19"/>
              </w:rPr>
              <w:t xml:space="preserve">Platform surface it needs</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00</w:t>
            </w:r>
          </w:p>
        </w:tc>
        <w:tc>
          <w:tcPr>
            <w:tcW w:type="dxa" w:w="2400"/>
            <w:tcMar>
              <w:top w:type="dxa" w:w="80"/>
              <w:left w:type="dxa" w:w="100"/>
              <w:bottom w:type="dxa" w:w="80"/>
              <w:right w:type="dxa" w:w="100"/>
            </w:tcMar>
          </w:tcPr>
          <w:p>
            <w:r>
              <w:rPr>
                <w:b w:val="false"/>
                <w:bCs w:val="false"/>
                <w:color w:val="1A1A1A"/>
                <w:sz w:val="19"/>
                <w:szCs w:val="19"/>
              </w:rPr>
              <w:t xml:space="preserve">Company Operations</w:t>
            </w:r>
          </w:p>
        </w:tc>
        <w:tc>
          <w:tcPr>
            <w:tcW w:type="dxa" w:w="3560"/>
            <w:tcMar>
              <w:top w:type="dxa" w:w="80"/>
              <w:left w:type="dxa" w:w="100"/>
              <w:bottom w:type="dxa" w:w="80"/>
              <w:right w:type="dxa" w:w="100"/>
            </w:tcMar>
          </w:tcPr>
          <w:p>
            <w:r>
              <w:rPr>
                <w:b w:val="false"/>
                <w:bCs w:val="false"/>
                <w:color w:val="1A1A1A"/>
                <w:sz w:val="19"/>
                <w:szCs w:val="19"/>
              </w:rPr>
              <w:t xml:space="preserve">Operating manual, org chart, decision log, KPIs, roadmap, risk register</w:t>
            </w:r>
          </w:p>
        </w:tc>
        <w:tc>
          <w:tcPr>
            <w:tcW w:type="dxa" w:w="2700"/>
            <w:tcMar>
              <w:top w:type="dxa" w:w="80"/>
              <w:left w:type="dxa" w:w="100"/>
              <w:bottom w:type="dxa" w:w="80"/>
              <w:right w:type="dxa" w:w="100"/>
            </w:tcMar>
          </w:tcPr>
          <w:p>
            <w:r>
              <w:rPr>
                <w:b w:val="false"/>
                <w:bCs w:val="false"/>
                <w:color w:val="1A1A1A"/>
                <w:sz w:val="19"/>
                <w:szCs w:val="19"/>
              </w:rPr>
              <w:t xml:space="preserve">Admin/Ops console (5.18); Data &amp; Analytics (5.19)</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01</w:t>
            </w:r>
          </w:p>
        </w:tc>
        <w:tc>
          <w:tcPr>
            <w:tcW w:type="dxa" w:w="2400"/>
            <w:tcMar>
              <w:top w:type="dxa" w:w="80"/>
              <w:left w:type="dxa" w:w="100"/>
              <w:bottom w:type="dxa" w:w="80"/>
              <w:right w:type="dxa" w:w="100"/>
            </w:tcMar>
          </w:tcPr>
          <w:p>
            <w:r>
              <w:rPr>
                <w:b w:val="false"/>
                <w:bCs w:val="false"/>
                <w:color w:val="1A1A1A"/>
                <w:sz w:val="19"/>
                <w:szCs w:val="19"/>
              </w:rPr>
              <w:t xml:space="preserve">Office of the Founder / Strategy</w:t>
            </w:r>
          </w:p>
        </w:tc>
        <w:tc>
          <w:tcPr>
            <w:tcW w:type="dxa" w:w="3560"/>
            <w:tcMar>
              <w:top w:type="dxa" w:w="80"/>
              <w:left w:type="dxa" w:w="100"/>
              <w:bottom w:type="dxa" w:w="80"/>
              <w:right w:type="dxa" w:w="100"/>
            </w:tcMar>
          </w:tcPr>
          <w:p>
            <w:r>
              <w:rPr>
                <w:b w:val="false"/>
                <w:bCs w:val="false"/>
                <w:color w:val="1A1A1A"/>
                <w:sz w:val="19"/>
                <w:szCs w:val="19"/>
              </w:rPr>
              <w:t xml:space="preserve">Strategy, fundraising, board, grants, hiring</w:t>
            </w:r>
          </w:p>
        </w:tc>
        <w:tc>
          <w:tcPr>
            <w:tcW w:type="dxa" w:w="2700"/>
            <w:tcMar>
              <w:top w:type="dxa" w:w="80"/>
              <w:left w:type="dxa" w:w="100"/>
              <w:bottom w:type="dxa" w:w="80"/>
              <w:right w:type="dxa" w:w="100"/>
            </w:tcMar>
          </w:tcPr>
          <w:p>
            <w:r>
              <w:rPr>
                <w:b w:val="false"/>
                <w:bCs w:val="false"/>
                <w:color w:val="1A1A1A"/>
                <w:sz w:val="19"/>
                <w:szCs w:val="19"/>
              </w:rPr>
              <w:t xml:space="preserve">Data &amp; Analytics dashboards; investor-grade metrics export</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02</w:t>
            </w:r>
          </w:p>
        </w:tc>
        <w:tc>
          <w:tcPr>
            <w:tcW w:type="dxa" w:w="2400"/>
            <w:tcMar>
              <w:top w:type="dxa" w:w="80"/>
              <w:left w:type="dxa" w:w="100"/>
              <w:bottom w:type="dxa" w:w="80"/>
              <w:right w:type="dxa" w:w="100"/>
            </w:tcMar>
          </w:tcPr>
          <w:p>
            <w:r>
              <w:rPr>
                <w:b w:val="false"/>
                <w:bCs w:val="false"/>
                <w:color w:val="1A1A1A"/>
                <w:sz w:val="19"/>
                <w:szCs w:val="19"/>
              </w:rPr>
              <w:t xml:space="preserve">Finance &amp; Revenue Operations</w:t>
            </w:r>
          </w:p>
        </w:tc>
        <w:tc>
          <w:tcPr>
            <w:tcW w:type="dxa" w:w="3560"/>
            <w:tcMar>
              <w:top w:type="dxa" w:w="80"/>
              <w:left w:type="dxa" w:w="100"/>
              <w:bottom w:type="dxa" w:w="80"/>
              <w:right w:type="dxa" w:w="100"/>
            </w:tcMar>
          </w:tcPr>
          <w:p>
            <w:r>
              <w:rPr>
                <w:b w:val="false"/>
                <w:bCs w:val="false"/>
                <w:color w:val="1A1A1A"/>
                <w:sz w:val="19"/>
                <w:szCs w:val="19"/>
              </w:rPr>
              <w:t xml:space="preserve">Financial models, management accounts, banking, tax, pricing, revenue ops</w:t>
            </w:r>
          </w:p>
        </w:tc>
        <w:tc>
          <w:tcPr>
            <w:tcW w:type="dxa" w:w="2700"/>
            <w:tcMar>
              <w:top w:type="dxa" w:w="80"/>
              <w:left w:type="dxa" w:w="100"/>
              <w:bottom w:type="dxa" w:w="80"/>
              <w:right w:type="dxa" w:w="100"/>
            </w:tcMar>
          </w:tcPr>
          <w:p>
            <w:r>
              <w:rPr>
                <w:b w:val="false"/>
                <w:bCs w:val="false"/>
                <w:color w:val="1A1A1A"/>
                <w:sz w:val="19"/>
                <w:szCs w:val="19"/>
              </w:rPr>
              <w:t xml:space="preserve">Billing &amp; payments (5.11); institutional invoicing (5.7); commission ledger (5.9)</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03</w:t>
            </w:r>
          </w:p>
        </w:tc>
        <w:tc>
          <w:tcPr>
            <w:tcW w:type="dxa" w:w="2400"/>
            <w:tcMar>
              <w:top w:type="dxa" w:w="80"/>
              <w:left w:type="dxa" w:w="100"/>
              <w:bottom w:type="dxa" w:w="80"/>
              <w:right w:type="dxa" w:w="100"/>
            </w:tcMar>
          </w:tcPr>
          <w:p>
            <w:r>
              <w:rPr>
                <w:b w:val="false"/>
                <w:bCs w:val="false"/>
                <w:color w:val="1A1A1A"/>
                <w:sz w:val="19"/>
                <w:szCs w:val="19"/>
              </w:rPr>
              <w:t xml:space="preserve">Legal &amp; Compliance</w:t>
            </w:r>
          </w:p>
        </w:tc>
        <w:tc>
          <w:tcPr>
            <w:tcW w:type="dxa" w:w="3560"/>
            <w:tcMar>
              <w:top w:type="dxa" w:w="80"/>
              <w:left w:type="dxa" w:w="100"/>
              <w:bottom w:type="dxa" w:w="80"/>
              <w:right w:type="dxa" w:w="100"/>
            </w:tcMar>
          </w:tcPr>
          <w:p>
            <w:r>
              <w:rPr>
                <w:b w:val="false"/>
                <w:bCs w:val="false"/>
                <w:color w:val="1A1A1A"/>
                <w:sz w:val="19"/>
                <w:szCs w:val="19"/>
              </w:rPr>
              <w:t xml:space="preserve">Corporate, contracts, IP, insurance, regulatory filings (NDPC), data protection</w:t>
            </w:r>
          </w:p>
        </w:tc>
        <w:tc>
          <w:tcPr>
            <w:tcW w:type="dxa" w:w="2700"/>
            <w:tcMar>
              <w:top w:type="dxa" w:w="80"/>
              <w:left w:type="dxa" w:w="100"/>
              <w:bottom w:type="dxa" w:w="80"/>
              <w:right w:type="dxa" w:w="100"/>
            </w:tcMar>
          </w:tcPr>
          <w:p>
            <w:r>
              <w:rPr>
                <w:b w:val="false"/>
                <w:bCs w:val="false"/>
                <w:color w:val="1A1A1A"/>
                <w:sz w:val="19"/>
                <w:szCs w:val="19"/>
              </w:rPr>
              <w:t xml:space="preserve">Consent management, audit log, data-subject-rights tooling (5.20)</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04</w:t>
            </w:r>
          </w:p>
        </w:tc>
        <w:tc>
          <w:tcPr>
            <w:tcW w:type="dxa" w:w="2400"/>
            <w:tcMar>
              <w:top w:type="dxa" w:w="80"/>
              <w:left w:type="dxa" w:w="100"/>
              <w:bottom w:type="dxa" w:w="80"/>
              <w:right w:type="dxa" w:w="100"/>
            </w:tcMar>
          </w:tcPr>
          <w:p>
            <w:r>
              <w:rPr>
                <w:b w:val="false"/>
                <w:bCs w:val="false"/>
                <w:color w:val="1A1A1A"/>
                <w:sz w:val="19"/>
                <w:szCs w:val="19"/>
              </w:rPr>
              <w:t xml:space="preserve">Clinical</w:t>
            </w:r>
          </w:p>
        </w:tc>
        <w:tc>
          <w:tcPr>
            <w:tcW w:type="dxa" w:w="3560"/>
            <w:tcMar>
              <w:top w:type="dxa" w:w="80"/>
              <w:left w:type="dxa" w:w="100"/>
              <w:bottom w:type="dxa" w:w="80"/>
              <w:right w:type="dxa" w:w="100"/>
            </w:tcMar>
          </w:tcPr>
          <w:p>
            <w:r>
              <w:rPr>
                <w:b w:val="false"/>
                <w:bCs w:val="false"/>
                <w:color w:val="1A1A1A"/>
                <w:sz w:val="19"/>
                <w:szCs w:val="19"/>
              </w:rPr>
              <w:t xml:space="preserve">Protocols, clinical governance, staffing, quality, safety, audit, incidents</w:t>
            </w:r>
          </w:p>
        </w:tc>
        <w:tc>
          <w:tcPr>
            <w:tcW w:type="dxa" w:w="2700"/>
            <w:tcMar>
              <w:top w:type="dxa" w:w="80"/>
              <w:left w:type="dxa" w:w="100"/>
              <w:bottom w:type="dxa" w:w="80"/>
              <w:right w:type="dxa" w:w="100"/>
            </w:tcMar>
          </w:tcPr>
          <w:p>
            <w:r>
              <w:rPr>
                <w:b w:val="false"/>
                <w:bCs w:val="false"/>
                <w:color w:val="1A1A1A"/>
                <w:sz w:val="19"/>
                <w:szCs w:val="19"/>
              </w:rPr>
              <w:t xml:space="preserve">Clinician console (5.6); pathway engine (5.3); audit trail (5.20)</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05</w:t>
            </w:r>
          </w:p>
        </w:tc>
        <w:tc>
          <w:tcPr>
            <w:tcW w:type="dxa" w:w="2400"/>
            <w:tcMar>
              <w:top w:type="dxa" w:w="80"/>
              <w:left w:type="dxa" w:w="100"/>
              <w:bottom w:type="dxa" w:w="80"/>
              <w:right w:type="dxa" w:w="100"/>
            </w:tcMar>
          </w:tcPr>
          <w:p>
            <w:r>
              <w:rPr>
                <w:b w:val="false"/>
                <w:bCs w:val="false"/>
                <w:color w:val="1A1A1A"/>
                <w:sz w:val="19"/>
                <w:szCs w:val="19"/>
              </w:rPr>
              <w:t xml:space="preserve">Product &amp; Engineering</w:t>
            </w:r>
          </w:p>
        </w:tc>
        <w:tc>
          <w:tcPr>
            <w:tcW w:type="dxa" w:w="3560"/>
            <w:tcMar>
              <w:top w:type="dxa" w:w="80"/>
              <w:left w:type="dxa" w:w="100"/>
              <w:bottom w:type="dxa" w:w="80"/>
              <w:right w:type="dxa" w:w="100"/>
            </w:tcMar>
          </w:tcPr>
          <w:p>
            <w:r>
              <w:rPr>
                <w:b w:val="false"/>
                <w:bCs w:val="false"/>
                <w:color w:val="1A1A1A"/>
                <w:sz w:val="19"/>
                <w:szCs w:val="19"/>
              </w:rPr>
              <w:t xml:space="preserve">Specs, roadmap, release notes, design, QA, architecture, delivery status</w:t>
            </w:r>
          </w:p>
        </w:tc>
        <w:tc>
          <w:tcPr>
            <w:tcW w:type="dxa" w:w="2700"/>
            <w:tcMar>
              <w:top w:type="dxa" w:w="80"/>
              <w:left w:type="dxa" w:w="100"/>
              <w:bottom w:type="dxa" w:w="80"/>
              <w:right w:type="dxa" w:w="100"/>
            </w:tcMar>
          </w:tcPr>
          <w:p>
            <w:r>
              <w:rPr>
                <w:b w:val="false"/>
                <w:bCs w:val="false"/>
                <w:color w:val="1A1A1A"/>
                <w:sz w:val="19"/>
                <w:szCs w:val="19"/>
              </w:rPr>
              <w:t xml:space="preserve">Every module in Section 5; this document is this department's core artifact</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06</w:t>
            </w:r>
          </w:p>
        </w:tc>
        <w:tc>
          <w:tcPr>
            <w:tcW w:type="dxa" w:w="2400"/>
            <w:tcMar>
              <w:top w:type="dxa" w:w="80"/>
              <w:left w:type="dxa" w:w="100"/>
              <w:bottom w:type="dxa" w:w="80"/>
              <w:right w:type="dxa" w:w="100"/>
            </w:tcMar>
          </w:tcPr>
          <w:p>
            <w:r>
              <w:rPr>
                <w:b w:val="false"/>
                <w:bCs w:val="false"/>
                <w:color w:val="1A1A1A"/>
                <w:sz w:val="19"/>
                <w:szCs w:val="19"/>
              </w:rPr>
              <w:t xml:space="preserve">Marketing</w:t>
            </w:r>
          </w:p>
        </w:tc>
        <w:tc>
          <w:tcPr>
            <w:tcW w:type="dxa" w:w="3560"/>
            <w:tcMar>
              <w:top w:type="dxa" w:w="80"/>
              <w:left w:type="dxa" w:w="100"/>
              <w:bottom w:type="dxa" w:w="80"/>
              <w:right w:type="dxa" w:w="100"/>
            </w:tcMar>
          </w:tcPr>
          <w:p>
            <w:r>
              <w:rPr>
                <w:b w:val="false"/>
                <w:bCs w:val="false"/>
                <w:color w:val="1A1A1A"/>
                <w:sz w:val="19"/>
                <w:szCs w:val="19"/>
              </w:rPr>
              <w:t xml:space="preserve">Brand, campaigns, social, creative, website, SEO, email, channel strategy</w:t>
            </w:r>
          </w:p>
        </w:tc>
        <w:tc>
          <w:tcPr>
            <w:tcW w:type="dxa" w:w="2700"/>
            <w:tcMar>
              <w:top w:type="dxa" w:w="80"/>
              <w:left w:type="dxa" w:w="100"/>
              <w:bottom w:type="dxa" w:w="80"/>
              <w:right w:type="dxa" w:w="100"/>
            </w:tcMar>
          </w:tcPr>
          <w:p>
            <w:r>
              <w:rPr>
                <w:b w:val="false"/>
                <w:bCs w:val="false"/>
                <w:color w:val="1A1A1A"/>
                <w:sz w:val="19"/>
                <w:szCs w:val="19"/>
              </w:rPr>
              <w:t xml:space="preserve">Content &amp; health-literacy library (5.15); public marketing site (separate system)</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07</w:t>
            </w:r>
          </w:p>
        </w:tc>
        <w:tc>
          <w:tcPr>
            <w:tcW w:type="dxa" w:w="2400"/>
            <w:tcMar>
              <w:top w:type="dxa" w:w="80"/>
              <w:left w:type="dxa" w:w="100"/>
              <w:bottom w:type="dxa" w:w="80"/>
              <w:right w:type="dxa" w:w="100"/>
            </w:tcMar>
          </w:tcPr>
          <w:p>
            <w:r>
              <w:rPr>
                <w:b w:val="false"/>
                <w:bCs w:val="false"/>
                <w:color w:val="1A1A1A"/>
                <w:sz w:val="19"/>
                <w:szCs w:val="19"/>
              </w:rPr>
              <w:t xml:space="preserve">Sales &amp; Partnerships</w:t>
            </w:r>
          </w:p>
        </w:tc>
        <w:tc>
          <w:tcPr>
            <w:tcW w:type="dxa" w:w="3560"/>
            <w:tcMar>
              <w:top w:type="dxa" w:w="80"/>
              <w:left w:type="dxa" w:w="100"/>
              <w:bottom w:type="dxa" w:w="80"/>
              <w:right w:type="dxa" w:w="100"/>
            </w:tcMar>
          </w:tcPr>
          <w:p>
            <w:r>
              <w:rPr>
                <w:b w:val="false"/>
                <w:bCs w:val="false"/>
                <w:color w:val="1A1A1A"/>
                <w:sz w:val="19"/>
                <w:szCs w:val="19"/>
              </w:rPr>
              <w:t xml:space="preserve">B2B pipeline, corporate/HMO deals, labs, pharmacies, diaspora, proposals</w:t>
            </w:r>
          </w:p>
        </w:tc>
        <w:tc>
          <w:tcPr>
            <w:tcW w:type="dxa" w:w="2700"/>
            <w:tcMar>
              <w:top w:type="dxa" w:w="80"/>
              <w:left w:type="dxa" w:w="100"/>
              <w:bottom w:type="dxa" w:w="80"/>
              <w:right w:type="dxa" w:w="100"/>
            </w:tcMar>
          </w:tcPr>
          <w:p>
            <w:r>
              <w:rPr>
                <w:b w:val="false"/>
                <w:bCs w:val="false"/>
                <w:color w:val="1A1A1A"/>
                <w:sz w:val="19"/>
                <w:szCs w:val="19"/>
              </w:rPr>
              <w:t xml:space="preserve">Institutional console (5.7); lab/facility directory (5.9, 5.12)</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08</w:t>
            </w:r>
          </w:p>
        </w:tc>
        <w:tc>
          <w:tcPr>
            <w:tcW w:type="dxa" w:w="2400"/>
            <w:tcMar>
              <w:top w:type="dxa" w:w="80"/>
              <w:left w:type="dxa" w:w="100"/>
              <w:bottom w:type="dxa" w:w="80"/>
              <w:right w:type="dxa" w:w="100"/>
            </w:tcMar>
          </w:tcPr>
          <w:p>
            <w:r>
              <w:rPr>
                <w:b w:val="false"/>
                <w:bCs w:val="false"/>
                <w:color w:val="1A1A1A"/>
                <w:sz w:val="19"/>
                <w:szCs w:val="19"/>
              </w:rPr>
              <w:t xml:space="preserve">Customer</w:t>
            </w:r>
          </w:p>
        </w:tc>
        <w:tc>
          <w:tcPr>
            <w:tcW w:type="dxa" w:w="3560"/>
            <w:tcMar>
              <w:top w:type="dxa" w:w="80"/>
              <w:left w:type="dxa" w:w="100"/>
              <w:bottom w:type="dxa" w:w="80"/>
              <w:right w:type="dxa" w:w="100"/>
            </w:tcMar>
          </w:tcPr>
          <w:p>
            <w:r>
              <w:rPr>
                <w:b w:val="false"/>
                <w:bCs w:val="false"/>
                <w:color w:val="1A1A1A"/>
                <w:sz w:val="19"/>
                <w:szCs w:val="19"/>
              </w:rPr>
              <w:t xml:space="preserve">Onboarding, support, knowledge base, feedback, complaints</w:t>
            </w:r>
          </w:p>
        </w:tc>
        <w:tc>
          <w:tcPr>
            <w:tcW w:type="dxa" w:w="2700"/>
            <w:tcMar>
              <w:top w:type="dxa" w:w="80"/>
              <w:left w:type="dxa" w:w="100"/>
              <w:bottom w:type="dxa" w:w="80"/>
              <w:right w:type="dxa" w:w="100"/>
            </w:tcMar>
          </w:tcPr>
          <w:p>
            <w:r>
              <w:rPr>
                <w:b w:val="false"/>
                <w:bCs w:val="false"/>
                <w:color w:val="1A1A1A"/>
                <w:sz w:val="19"/>
                <w:szCs w:val="19"/>
              </w:rPr>
              <w:t xml:space="preserve">Support tooling (5.17); in-app help</w:t>
            </w:r>
          </w:p>
        </w:tc>
      </w:tr>
      <w:tr>
        <w:trPr>
          <w:cantSplit/>
        </w:trPr>
        <w:tc>
          <w:tcPr>
            <w:tcW w:type="dxa" w:w="700"/>
            <w:tcMar>
              <w:top w:type="dxa" w:w="80"/>
              <w:left w:type="dxa" w:w="100"/>
              <w:bottom w:type="dxa" w:w="80"/>
              <w:right w:type="dxa" w:w="100"/>
            </w:tcMar>
          </w:tcPr>
          <w:p>
            <w:r>
              <w:rPr>
                <w:b w:val="false"/>
                <w:bCs w:val="false"/>
                <w:color w:val="1A1A1A"/>
                <w:sz w:val="19"/>
                <w:szCs w:val="19"/>
              </w:rPr>
              <w:t xml:space="preserve">09</w:t>
            </w:r>
          </w:p>
        </w:tc>
        <w:tc>
          <w:tcPr>
            <w:tcW w:type="dxa" w:w="2400"/>
            <w:tcMar>
              <w:top w:type="dxa" w:w="80"/>
              <w:left w:type="dxa" w:w="100"/>
              <w:bottom w:type="dxa" w:w="80"/>
              <w:right w:type="dxa" w:w="100"/>
            </w:tcMar>
          </w:tcPr>
          <w:p>
            <w:r>
              <w:rPr>
                <w:b w:val="false"/>
                <w:bCs w:val="false"/>
                <w:color w:val="1A1A1A"/>
                <w:sz w:val="19"/>
                <w:szCs w:val="19"/>
              </w:rPr>
              <w:t xml:space="preserve">Data &amp; Analytics</w:t>
            </w:r>
          </w:p>
        </w:tc>
        <w:tc>
          <w:tcPr>
            <w:tcW w:type="dxa" w:w="3560"/>
            <w:tcMar>
              <w:top w:type="dxa" w:w="80"/>
              <w:left w:type="dxa" w:w="100"/>
              <w:bottom w:type="dxa" w:w="80"/>
              <w:right w:type="dxa" w:w="100"/>
            </w:tcMar>
          </w:tcPr>
          <w:p>
            <w:r>
              <w:rPr>
                <w:b w:val="false"/>
                <w:bCs w:val="false"/>
                <w:color w:val="1A1A1A"/>
                <w:sz w:val="19"/>
                <w:szCs w:val="19"/>
              </w:rPr>
              <w:t xml:space="preserve">Metric definitions, reports, dashboards, research exports</w:t>
            </w:r>
          </w:p>
        </w:tc>
        <w:tc>
          <w:tcPr>
            <w:tcW w:type="dxa" w:w="2700"/>
            <w:tcMar>
              <w:top w:type="dxa" w:w="80"/>
              <w:left w:type="dxa" w:w="100"/>
              <w:bottom w:type="dxa" w:w="80"/>
              <w:right w:type="dxa" w:w="100"/>
            </w:tcMar>
          </w:tcPr>
          <w:p>
            <w:r>
              <w:rPr>
                <w:b w:val="false"/>
                <w:bCs w:val="false"/>
                <w:color w:val="1A1A1A"/>
                <w:sz w:val="19"/>
                <w:szCs w:val="19"/>
              </w:rPr>
              <w:t xml:space="preserve">Data &amp; Analytics layer (5.19)</w:t>
            </w:r>
          </w:p>
        </w:tc>
      </w:tr>
    </w:tbl>
    <w:p>
      <w:pPr>
        <w:spacing w:after="80"/>
      </w:pPr>
    </w:p>
    <w:p>
      <w:pPr>
        <w:pStyle w:val="Heading2"/>
        <w:spacing w:after="140" w:before="320"/>
      </w:pPr>
      <w:r>
        <w:rPr>
          <w:b/>
          <w:bCs/>
          <w:color w:val="1A1A1A"/>
          <w:sz w:val="25"/>
          <w:szCs w:val="25"/>
        </w:rPr>
        <w:t xml:space="preserve">2.2 Function-by-function detail engineering should design against</w:t>
      </w:r>
    </w:p>
    <w:p>
      <w:pPr>
        <w:pStyle w:val="Heading3"/>
        <w:spacing w:after="100" w:before="220"/>
      </w:pPr>
      <w:r>
        <w:rPr>
          <w:b/>
          <w:bCs/>
          <w:color w:val="1A1A1A"/>
          <w:sz w:val="22"/>
          <w:szCs w:val="22"/>
        </w:rPr>
        <w:t xml:space="preserve">Clinical (Governance, Operations, Quality &amp; Safety)</w:t>
      </w:r>
    </w:p>
    <w:p>
      <w:pPr>
        <w:pStyle w:val="ListParagraph"/>
        <w:numPr>
          <w:ilvl w:val="0"/>
          <w:numId w:val="2"/>
        </w:numPr>
        <w:spacing w:after="90" w:line="264"/>
      </w:pPr>
      <w:r>
        <w:rPr>
          <w:b/>
          <w:bCs/>
          <w:color w:val="1A1A1A"/>
          <w:sz w:val="21"/>
          <w:szCs w:val="21"/>
        </w:rPr>
        <w:t xml:space="preserve">Clinical Governance — </w:t>
      </w:r>
      <w:r>
        <w:rPr>
          <w:color w:val="1A1A1A"/>
          <w:sz w:val="21"/>
          <w:szCs w:val="21"/>
        </w:rPr>
        <w:t xml:space="preserve">owns every protocol version (hypertension today; diabetes, CKD and asthma as the pathway library grows), the referral-out criteria that are published and machine-encoded (5.3), and sign-off on any AI prompt or drafting template that touches a clinical decision.</w:t>
      </w:r>
    </w:p>
    <w:p>
      <w:pPr>
        <w:pStyle w:val="ListParagraph"/>
        <w:numPr>
          <w:ilvl w:val="0"/>
          <w:numId w:val="2"/>
        </w:numPr>
        <w:spacing w:after="90" w:line="264"/>
      </w:pPr>
      <w:r>
        <w:rPr>
          <w:b/>
          <w:bCs/>
          <w:color w:val="1A1A1A"/>
          <w:sz w:val="21"/>
          <w:szCs w:val="21"/>
        </w:rPr>
        <w:t xml:space="preserve">Clinical Operations — </w:t>
      </w:r>
      <w:r>
        <w:rPr>
          <w:color w:val="1A1A1A"/>
          <w:sz w:val="21"/>
          <w:szCs w:val="21"/>
        </w:rPr>
        <w:t xml:space="preserve">owns doctor staffing against panel size, shift/roster management, and the escalation queue's service levels — needs the roster and panel-load views inside the clinician console (5.6).</w:t>
      </w:r>
    </w:p>
    <w:p>
      <w:pPr>
        <w:pStyle w:val="ListParagraph"/>
        <w:numPr>
          <w:ilvl w:val="0"/>
          <w:numId w:val="2"/>
        </w:numPr>
        <w:spacing w:after="90" w:line="264"/>
      </w:pPr>
      <w:r>
        <w:rPr>
          <w:b/>
          <w:bCs/>
          <w:color w:val="1A1A1A"/>
          <w:sz w:val="21"/>
          <w:szCs w:val="21"/>
        </w:rPr>
        <w:t xml:space="preserve">Clinical Quality, Safety and Audit — </w:t>
      </w:r>
      <w:r>
        <w:rPr>
          <w:color w:val="1A1A1A"/>
          <w:sz w:val="21"/>
          <w:szCs w:val="21"/>
        </w:rPr>
        <w:t xml:space="preserve">owns the incident/adverse-event workflow and the immutable clinical audit log (5.20); every clinician action, AI draft, and override must be queryable by this function without engineering involvement.</w:t>
      </w:r>
    </w:p>
    <w:p>
      <w:pPr>
        <w:pStyle w:val="Heading3"/>
        <w:spacing w:after="100" w:before="220"/>
      </w:pPr>
      <w:r>
        <w:rPr>
          <w:b/>
          <w:bCs/>
          <w:color w:val="1A1A1A"/>
          <w:sz w:val="22"/>
          <w:szCs w:val="22"/>
        </w:rPr>
        <w:t xml:space="preserve">Product &amp; Engineering</w:t>
      </w:r>
    </w:p>
    <w:p>
      <w:pPr>
        <w:pStyle w:val="ListParagraph"/>
        <w:numPr>
          <w:ilvl w:val="0"/>
          <w:numId w:val="2"/>
        </w:numPr>
        <w:spacing w:after="90" w:line="264"/>
      </w:pPr>
      <w:r>
        <w:rPr>
          <w:b/>
          <w:bCs/>
          <w:color w:val="1A1A1A"/>
          <w:sz w:val="21"/>
          <w:szCs w:val="21"/>
        </w:rPr>
        <w:t xml:space="preserve">Head of Product — </w:t>
      </w:r>
      <w:r>
        <w:rPr>
          <w:color w:val="1A1A1A"/>
          <w:sz w:val="21"/>
          <w:szCs w:val="21"/>
        </w:rPr>
        <w:t xml:space="preserve">owns this specification's evolution, the release roadmap (Section 9), and the feature-flag/config layer that gates go-live conditions (5.18) — e.g. the four legal/clinical-safety guards already identified (NDPC confirmation, indemnity cover, second clinical staff attestation, Nigerian counsel sign-off) must be runtime `app_config` switches this role can flip without a deploy.</w:t>
      </w:r>
    </w:p>
    <w:p>
      <w:pPr>
        <w:pStyle w:val="ListParagraph"/>
        <w:numPr>
          <w:ilvl w:val="0"/>
          <w:numId w:val="2"/>
        </w:numPr>
        <w:spacing w:after="90" w:line="264"/>
      </w:pPr>
      <w:r>
        <w:rPr>
          <w:b/>
          <w:bCs/>
          <w:color w:val="1A1A1A"/>
          <w:sz w:val="21"/>
          <w:szCs w:val="21"/>
        </w:rPr>
        <w:t xml:space="preserve">Engineering Delivery — </w:t>
      </w:r>
      <w:r>
        <w:rPr>
          <w:color w:val="1A1A1A"/>
          <w:sz w:val="21"/>
          <w:szCs w:val="21"/>
        </w:rPr>
        <w:t xml:space="preserve">owns architecture, QA, and delivery status against the milestone plan in Section 9, and is accountable for the non-functional requirements in Section 7 as release-blocking, not aspirational.</w:t>
      </w:r>
    </w:p>
    <w:p>
      <w:pPr>
        <w:pStyle w:val="Heading3"/>
        <w:spacing w:after="100" w:before="220"/>
      </w:pPr>
      <w:r>
        <w:rPr>
          <w:b/>
          <w:bCs/>
          <w:color w:val="1A1A1A"/>
          <w:sz w:val="22"/>
          <w:szCs w:val="22"/>
        </w:rPr>
        <w:t xml:space="preserve">Legal &amp; Compliance</w:t>
      </w:r>
    </w:p>
    <w:p>
      <w:pPr>
        <w:pStyle w:val="ListParagraph"/>
        <w:numPr>
          <w:ilvl w:val="0"/>
          <w:numId w:val="2"/>
        </w:numPr>
        <w:spacing w:after="90" w:line="264"/>
      </w:pPr>
      <w:r>
        <w:rPr>
          <w:b/>
          <w:bCs/>
          <w:color w:val="1A1A1A"/>
          <w:sz w:val="21"/>
          <w:szCs w:val="21"/>
        </w:rPr>
        <w:t xml:space="preserve">Regulatory Affairs — </w:t>
      </w:r>
      <w:r>
        <w:rPr>
          <w:color w:val="1A1A1A"/>
          <w:sz w:val="21"/>
          <w:szCs w:val="21"/>
        </w:rPr>
        <w:t xml:space="preserve">owns NDPC status end to end — the platform must never claim "NDPC registered" in any user-facing surface until this function confirms approval, which means the claim needs to live behind a config flag this role controls, not a hardcoded string.</w:t>
      </w:r>
    </w:p>
    <w:p>
      <w:pPr>
        <w:pStyle w:val="ListParagraph"/>
        <w:numPr>
          <w:ilvl w:val="0"/>
          <w:numId w:val="2"/>
        </w:numPr>
        <w:spacing w:after="90" w:line="264"/>
      </w:pPr>
      <w:r>
        <w:rPr>
          <w:b/>
          <w:bCs/>
          <w:color w:val="1A1A1A"/>
          <w:sz w:val="21"/>
          <w:szCs w:val="21"/>
        </w:rPr>
        <w:t xml:space="preserve">Data Protection Officer — </w:t>
      </w:r>
      <w:r>
        <w:rPr>
          <w:color w:val="1A1A1A"/>
          <w:sz w:val="21"/>
          <w:szCs w:val="21"/>
        </w:rPr>
        <w:t xml:space="preserve">owns the consent model, data-subject-rights tooling (access, correction, erasure, portability — Section 5.20), the breach-notification workflow, and sign-off on the hosting/data-residency decision flagged in Section 11.</w:t>
      </w:r>
    </w:p>
    <w:p>
      <w:pPr>
        <w:pStyle w:val="Heading3"/>
        <w:spacing w:after="100" w:before="220"/>
      </w:pPr>
      <w:r>
        <w:rPr>
          <w:b/>
          <w:bCs/>
          <w:color w:val="1A1A1A"/>
          <w:sz w:val="22"/>
          <w:szCs w:val="22"/>
        </w:rPr>
        <w:t xml:space="preserve">Finance &amp; Revenue Operations</w:t>
      </w:r>
    </w:p>
    <w:p>
      <w:pPr>
        <w:pStyle w:val="ListParagraph"/>
        <w:numPr>
          <w:ilvl w:val="0"/>
          <w:numId w:val="2"/>
        </w:numPr>
        <w:spacing w:after="90" w:line="264"/>
      </w:pPr>
      <w:r>
        <w:rPr>
          <w:b/>
          <w:bCs/>
          <w:color w:val="1A1A1A"/>
          <w:sz w:val="21"/>
          <w:szCs w:val="21"/>
        </w:rPr>
        <w:t xml:space="preserve">Head of Finance — </w:t>
      </w:r>
      <w:r>
        <w:rPr>
          <w:color w:val="1A1A1A"/>
          <w:sz w:val="21"/>
          <w:szCs w:val="21"/>
        </w:rPr>
        <w:t xml:space="preserve">owns the general ledger view of subscription revenue, the ~10% lab-referral commission accrual (5.9), and institutional invoicing reconciliation (5.7).</w:t>
      </w:r>
    </w:p>
    <w:p>
      <w:pPr>
        <w:pStyle w:val="ListParagraph"/>
        <w:numPr>
          <w:ilvl w:val="0"/>
          <w:numId w:val="2"/>
        </w:numPr>
        <w:spacing w:after="90" w:line="264"/>
      </w:pPr>
      <w:r>
        <w:rPr>
          <w:b/>
          <w:bCs/>
          <w:color w:val="1A1A1A"/>
          <w:sz w:val="21"/>
          <w:szCs w:val="21"/>
        </w:rPr>
        <w:t xml:space="preserve">Revenue Operations and Pricing — </w:t>
      </w:r>
      <w:r>
        <w:rPr>
          <w:color w:val="1A1A1A"/>
          <w:sz w:val="21"/>
          <w:szCs w:val="21"/>
        </w:rPr>
        <w:t xml:space="preserve">owns the single naira price list (Section 5.11) and any USD reference-rate display — there is never a second, higher price for a diaspora payer.</w:t>
      </w:r>
    </w:p>
    <w:p>
      <w:pPr>
        <w:pStyle w:val="Heading3"/>
        <w:spacing w:after="100" w:before="220"/>
      </w:pPr>
      <w:r>
        <w:rPr>
          <w:b/>
          <w:bCs/>
          <w:color w:val="1A1A1A"/>
          <w:sz w:val="22"/>
          <w:szCs w:val="22"/>
        </w:rPr>
        <w:t xml:space="preserve">Sales &amp; Partnerships</w:t>
      </w:r>
    </w:p>
    <w:p>
      <w:pPr>
        <w:pStyle w:val="ListParagraph"/>
        <w:numPr>
          <w:ilvl w:val="0"/>
          <w:numId w:val="2"/>
        </w:numPr>
        <w:spacing w:after="90" w:line="264"/>
      </w:pPr>
      <w:r>
        <w:rPr>
          <w:b/>
          <w:bCs/>
          <w:color w:val="1A1A1A"/>
          <w:sz w:val="21"/>
          <w:szCs w:val="21"/>
        </w:rPr>
        <w:t xml:space="preserve">B2B Sales — </w:t>
      </w:r>
      <w:r>
        <w:rPr>
          <w:color w:val="1A1A1A"/>
          <w:sz w:val="21"/>
          <w:szCs w:val="21"/>
        </w:rPr>
        <w:t xml:space="preserve">owns the institutional pipeline (HMOs, employers, states) that the roadmap-to-first-million model depends on for margin — the institutional console (5.7) is this function's core sales collateral once a pilot goes live.</w:t>
      </w:r>
    </w:p>
    <w:p>
      <w:pPr>
        <w:pStyle w:val="ListParagraph"/>
        <w:numPr>
          <w:ilvl w:val="0"/>
          <w:numId w:val="2"/>
        </w:numPr>
        <w:spacing w:after="90" w:line="264"/>
      </w:pPr>
      <w:r>
        <w:rPr>
          <w:b/>
          <w:bCs/>
          <w:color w:val="1A1A1A"/>
          <w:sz w:val="21"/>
          <w:szCs w:val="21"/>
        </w:rPr>
        <w:t xml:space="preserve">Partnerships — </w:t>
      </w:r>
      <w:r>
        <w:rPr>
          <w:color w:val="1A1A1A"/>
          <w:sz w:val="21"/>
          <w:szCs w:val="21"/>
        </w:rPr>
        <w:t xml:space="preserve">owns lab, pharmacy-referral, device-distributor and diaspora relationships — SYNLAB Nigeria today, with New Heights Pharma (Omron) and ISN Products (Accu-Chek) as advisory device-referral partners (5.8).</w:t>
      </w:r>
    </w:p>
    <w:p>
      <w:pPr>
        <w:pStyle w:val="Heading3"/>
        <w:spacing w:after="100" w:before="220"/>
      </w:pPr>
      <w:r>
        <w:rPr>
          <w:b/>
          <w:bCs/>
          <w:color w:val="1A1A1A"/>
          <w:sz w:val="22"/>
          <w:szCs w:val="22"/>
        </w:rPr>
        <w:t xml:space="preserve">Marketing</w:t>
      </w:r>
    </w:p>
    <w:p>
      <w:pPr>
        <w:pStyle w:val="ListParagraph"/>
        <w:numPr>
          <w:ilvl w:val="0"/>
          <w:numId w:val="2"/>
        </w:numPr>
        <w:spacing w:after="90" w:line="264"/>
      </w:pPr>
      <w:r>
        <w:rPr>
          <w:b/>
          <w:bCs/>
          <w:color w:val="1A1A1A"/>
          <w:sz w:val="21"/>
          <w:szCs w:val="21"/>
        </w:rPr>
        <w:t xml:space="preserve">Head of Marketing / Brand &amp; Creative / Social / Growth-SEO-Web — </w:t>
      </w:r>
      <w:r>
        <w:rPr>
          <w:color w:val="1A1A1A"/>
          <w:sz w:val="21"/>
          <w:szCs w:val="21"/>
        </w:rPr>
        <w:t xml:space="preserve">own the public-facing brand, channel strategy and the marketing site (a separate system from the app), but draw directly on the platform's content &amp; health-literacy library (5.15) for anything condition-specific, so that clinical claims made publicly are the same ones the product can substantiate.</w:t>
      </w:r>
    </w:p>
    <w:p>
      <w:pPr>
        <w:pStyle w:val="Heading3"/>
        <w:spacing w:after="100" w:before="220"/>
      </w:pPr>
      <w:r>
        <w:rPr>
          <w:b/>
          <w:bCs/>
          <w:color w:val="1A1A1A"/>
          <w:sz w:val="22"/>
          <w:szCs w:val="22"/>
        </w:rPr>
        <w:t xml:space="preserve">Customer</w:t>
      </w:r>
    </w:p>
    <w:p>
      <w:pPr>
        <w:pStyle w:val="ListParagraph"/>
        <w:numPr>
          <w:ilvl w:val="0"/>
          <w:numId w:val="2"/>
        </w:numPr>
        <w:spacing w:after="90" w:line="264"/>
      </w:pPr>
      <w:r>
        <w:rPr>
          <w:b/>
          <w:bCs/>
          <w:color w:val="1A1A1A"/>
          <w:sz w:val="21"/>
          <w:szCs w:val="21"/>
        </w:rPr>
        <w:t xml:space="preserve">Customer Success and Support — </w:t>
      </w:r>
      <w:r>
        <w:rPr>
          <w:color w:val="1A1A1A"/>
          <w:sz w:val="21"/>
          <w:szCs w:val="21"/>
        </w:rPr>
        <w:t xml:space="preserve">owns onboarding completion rates, the support ticket queue, and the complaint-handling SLA — needs the support console described in 5.17.</w:t>
      </w:r>
    </w:p>
    <w:p>
      <w:pPr>
        <w:pStyle w:val="Heading3"/>
        <w:spacing w:after="100" w:before="220"/>
      </w:pPr>
      <w:r>
        <w:rPr>
          <w:b/>
          <w:bCs/>
          <w:color w:val="1A1A1A"/>
          <w:sz w:val="22"/>
          <w:szCs w:val="22"/>
        </w:rPr>
        <w:t xml:space="preserve">Data &amp; Analytics</w:t>
      </w:r>
    </w:p>
    <w:p>
      <w:pPr>
        <w:pStyle w:val="ListParagraph"/>
        <w:numPr>
          <w:ilvl w:val="0"/>
          <w:numId w:val="2"/>
        </w:numPr>
        <w:spacing w:after="90" w:line="264"/>
      </w:pPr>
      <w:r>
        <w:rPr>
          <w:b/>
          <w:bCs/>
          <w:color w:val="1A1A1A"/>
          <w:sz w:val="21"/>
          <w:szCs w:val="21"/>
        </w:rPr>
        <w:t xml:space="preserve">Data and Analytics — </w:t>
      </w:r>
      <w:r>
        <w:rPr>
          <w:color w:val="1A1A1A"/>
          <w:sz w:val="21"/>
          <w:szCs w:val="21"/>
        </w:rPr>
        <w:t xml:space="preserve">owns every metric definition used anywhere in the company, runs the exclusion of `@tarragon.test` accounts from every report by construction (a query-layer rule, not a per-report manual filter), and owns the research-export governance gate (5.19).</w:t>
      </w:r>
    </w:p>
    <w:p>
      <w:r>
        <w:br w:type="page"/>
      </w:r>
    </w:p>
    <w:p>
      <w:pPr>
        <w:pStyle w:val="Heading1"/>
        <w:pBdr>
          <w:bottom w:val="single" w:color="C9D4CE" w:sz="6" w:space="4"/>
        </w:pBdr>
        <w:spacing w:after="200" w:before="480"/>
      </w:pPr>
      <w:r>
        <w:rPr>
          <w:b/>
          <w:bCs/>
          <w:color w:val="2F6F4F"/>
          <w:sz w:val="30"/>
          <w:szCs w:val="30"/>
        </w:rPr>
        <w:t xml:space="preserve">3. Users, Roles &amp; Access Boundaries</w:t>
      </w:r>
    </w:p>
    <w:p>
      <w:pPr>
        <w:spacing w:after="160" w:line="276"/>
      </w:pPr>
      <w:r>
        <w:rPr>
          <w:color w:val="1A1A1A"/>
          <w:sz w:val="21"/>
          <w:szCs w:val="21"/>
        </w:rPr>
        <w:t xml:space="preserve">Every screen and permission in this specification maps to one of the roles below. The access boundaries here are the single most important constraint in the whole document: they are what makes "institutions get aggregate-only access, ever" and "no identifiable patient data enters the company folder" true by construction rather than by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cantSplit/>
          <w:tblHeader/>
        </w:trPr>
        <w:tc>
          <w:tcPr>
            <w:tcW w:type="dxa" w:w="2400"/>
            <w:shd w:fill="EDF3EF" w:val="clear"/>
            <w:tcMar>
              <w:top w:type="dxa" w:w="80"/>
              <w:left w:type="dxa" w:w="100"/>
              <w:bottom w:type="dxa" w:w="80"/>
              <w:right w:type="dxa" w:w="100"/>
            </w:tcMar>
          </w:tcPr>
          <w:p>
            <w:r>
              <w:rPr>
                <w:b/>
                <w:bCs/>
                <w:color w:val="1A1A1A"/>
                <w:sz w:val="19"/>
                <w:szCs w:val="19"/>
              </w:rPr>
              <w:t xml:space="preserve">Role</w:t>
            </w:r>
          </w:p>
        </w:tc>
        <w:tc>
          <w:tcPr>
            <w:tcW w:type="dxa" w:w="3600"/>
            <w:shd w:fill="EDF3EF" w:val="clear"/>
            <w:tcMar>
              <w:top w:type="dxa" w:w="80"/>
              <w:left w:type="dxa" w:w="100"/>
              <w:bottom w:type="dxa" w:w="80"/>
              <w:right w:type="dxa" w:w="100"/>
            </w:tcMar>
          </w:tcPr>
          <w:p>
            <w:r>
              <w:rPr>
                <w:b/>
                <w:bCs/>
                <w:color w:val="1A1A1A"/>
                <w:sz w:val="19"/>
                <w:szCs w:val="19"/>
              </w:rPr>
              <w:t xml:space="preserve">What they do on the platform</w:t>
            </w:r>
          </w:p>
        </w:tc>
        <w:tc>
          <w:tcPr>
            <w:tcW w:type="dxa" w:w="3360"/>
            <w:shd w:fill="EDF3EF" w:val="clear"/>
            <w:tcMar>
              <w:top w:type="dxa" w:w="80"/>
              <w:left w:type="dxa" w:w="100"/>
              <w:bottom w:type="dxa" w:w="80"/>
              <w:right w:type="dxa" w:w="100"/>
            </w:tcMar>
          </w:tcPr>
          <w:p>
            <w:r>
              <w:rPr>
                <w:b/>
                <w:bCs/>
                <w:color w:val="1A1A1A"/>
                <w:sz w:val="19"/>
                <w:szCs w:val="19"/>
              </w:rPr>
              <w:t xml:space="preserve">Data they can see</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Patient (self-enrolled adult)</w:t>
            </w:r>
          </w:p>
        </w:tc>
        <w:tc>
          <w:tcPr>
            <w:tcW w:type="dxa" w:w="3600"/>
            <w:tcMar>
              <w:top w:type="dxa" w:w="80"/>
              <w:left w:type="dxa" w:w="100"/>
              <w:bottom w:type="dxa" w:w="80"/>
              <w:right w:type="dxa" w:w="100"/>
            </w:tcMar>
          </w:tcPr>
          <w:p>
            <w:r>
              <w:rPr>
                <w:b w:val="false"/>
                <w:bCs w:val="false"/>
                <w:color w:val="1A1A1A"/>
                <w:sz w:val="19"/>
                <w:szCs w:val="19"/>
              </w:rPr>
              <w:t xml:space="preserve">Onboards, completes risk screening, manages chronic pathway, messages care team, books nothing directly (books via lab/pharmacy of their own choosing), pays subscription</w:t>
            </w:r>
          </w:p>
        </w:tc>
        <w:tc>
          <w:tcPr>
            <w:tcW w:type="dxa" w:w="3360"/>
            <w:tcMar>
              <w:top w:type="dxa" w:w="80"/>
              <w:left w:type="dxa" w:w="100"/>
              <w:bottom w:type="dxa" w:w="80"/>
              <w:right w:type="dxa" w:w="100"/>
            </w:tcMar>
          </w:tcPr>
          <w:p>
            <w:r>
              <w:rPr>
                <w:b w:val="false"/>
                <w:bCs w:val="false"/>
                <w:color w:val="1A1A1A"/>
                <w:sz w:val="19"/>
                <w:szCs w:val="19"/>
              </w:rPr>
              <w:t xml:space="preserve">Their own record only</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Guardian</w:t>
            </w:r>
          </w:p>
        </w:tc>
        <w:tc>
          <w:tcPr>
            <w:tcW w:type="dxa" w:w="3600"/>
            <w:tcMar>
              <w:top w:type="dxa" w:w="80"/>
              <w:left w:type="dxa" w:w="100"/>
              <w:bottom w:type="dxa" w:w="80"/>
              <w:right w:type="dxa" w:w="100"/>
            </w:tcMar>
          </w:tcPr>
          <w:p>
            <w:r>
              <w:rPr>
                <w:b w:val="false"/>
                <w:bCs w:val="false"/>
                <w:color w:val="1A1A1A"/>
                <w:sz w:val="19"/>
                <w:szCs w:val="19"/>
              </w:rPr>
              <w:t xml:space="preserve">Manages one or more dependant profiles on their own account</w:t>
            </w:r>
          </w:p>
        </w:tc>
        <w:tc>
          <w:tcPr>
            <w:tcW w:type="dxa" w:w="3360"/>
            <w:tcMar>
              <w:top w:type="dxa" w:w="80"/>
              <w:left w:type="dxa" w:w="100"/>
              <w:bottom w:type="dxa" w:w="80"/>
              <w:right w:type="dxa" w:w="100"/>
            </w:tcMar>
          </w:tcPr>
          <w:p>
            <w:r>
              <w:rPr>
                <w:b w:val="false"/>
                <w:bCs w:val="false"/>
                <w:color w:val="1A1A1A"/>
                <w:sz w:val="19"/>
                <w:szCs w:val="19"/>
              </w:rPr>
              <w:t xml:space="preserve">Their own record plus their dependants' records</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Dependant (under 18)</w:t>
            </w:r>
          </w:p>
        </w:tc>
        <w:tc>
          <w:tcPr>
            <w:tcW w:type="dxa" w:w="3600"/>
            <w:tcMar>
              <w:top w:type="dxa" w:w="80"/>
              <w:left w:type="dxa" w:w="100"/>
              <w:bottom w:type="dxa" w:w="80"/>
              <w:right w:type="dxa" w:w="100"/>
            </w:tcMar>
          </w:tcPr>
          <w:p>
            <w:r>
              <w:rPr>
                <w:b w:val="false"/>
                <w:bCs w:val="false"/>
                <w:color w:val="1A1A1A"/>
                <w:sz w:val="19"/>
                <w:szCs w:val="19"/>
              </w:rPr>
              <w:t xml:space="preserve">No independent login; profile managed by guardian</w:t>
            </w:r>
          </w:p>
        </w:tc>
        <w:tc>
          <w:tcPr>
            <w:tcW w:type="dxa" w:w="3360"/>
            <w:tcMar>
              <w:top w:type="dxa" w:w="80"/>
              <w:left w:type="dxa" w:w="100"/>
              <w:bottom w:type="dxa" w:w="80"/>
              <w:right w:type="dxa" w:w="100"/>
            </w:tcMar>
          </w:tcPr>
          <w:p>
            <w:r>
              <w:rPr>
                <w:b w:val="false"/>
                <w:bCs w:val="false"/>
                <w:color w:val="1A1A1A"/>
                <w:sz w:val="19"/>
                <w:szCs w:val="19"/>
              </w:rPr>
              <w:t xml:space="preserve">N/A — accessed only via guardian</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Care team clinician (doctor)</w:t>
            </w:r>
          </w:p>
        </w:tc>
        <w:tc>
          <w:tcPr>
            <w:tcW w:type="dxa" w:w="3600"/>
            <w:tcMar>
              <w:top w:type="dxa" w:w="80"/>
              <w:left w:type="dxa" w:w="100"/>
              <w:bottom w:type="dxa" w:w="80"/>
              <w:right w:type="dxa" w:w="100"/>
            </w:tcMar>
          </w:tcPr>
          <w:p>
            <w:r>
              <w:rPr>
                <w:b w:val="false"/>
                <w:bCs w:val="false"/>
                <w:color w:val="1A1A1A"/>
                <w:sz w:val="19"/>
                <w:szCs w:val="19"/>
              </w:rPr>
              <w:t xml:space="preserve">Reviews AI drafts, signs off titration and messages, manages an assigned patient panel, escalation queue</w:t>
            </w:r>
          </w:p>
        </w:tc>
        <w:tc>
          <w:tcPr>
            <w:tcW w:type="dxa" w:w="3360"/>
            <w:tcMar>
              <w:top w:type="dxa" w:w="80"/>
              <w:left w:type="dxa" w:w="100"/>
              <w:bottom w:type="dxa" w:w="80"/>
              <w:right w:type="dxa" w:w="100"/>
            </w:tcMar>
          </w:tcPr>
          <w:p>
            <w:r>
              <w:rPr>
                <w:b w:val="false"/>
                <w:bCs w:val="false"/>
                <w:color w:val="1A1A1A"/>
                <w:sz w:val="19"/>
                <w:szCs w:val="19"/>
              </w:rPr>
              <w:t xml:space="preserve">Full clinical record for their assigned panel; searchable record for any patient they are escalated</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Clinical Governance / Safety reviewer</w:t>
            </w:r>
          </w:p>
        </w:tc>
        <w:tc>
          <w:tcPr>
            <w:tcW w:type="dxa" w:w="3600"/>
            <w:tcMar>
              <w:top w:type="dxa" w:w="80"/>
              <w:left w:type="dxa" w:w="100"/>
              <w:bottom w:type="dxa" w:w="80"/>
              <w:right w:type="dxa" w:w="100"/>
            </w:tcMar>
          </w:tcPr>
          <w:p>
            <w:r>
              <w:rPr>
                <w:b w:val="false"/>
                <w:bCs w:val="false"/>
                <w:color w:val="1A1A1A"/>
                <w:sz w:val="19"/>
                <w:szCs w:val="19"/>
              </w:rPr>
              <w:t xml:space="preserve">Audits protocol adherence, reviews incidents, approves protocol versions</w:t>
            </w:r>
          </w:p>
        </w:tc>
        <w:tc>
          <w:tcPr>
            <w:tcW w:type="dxa" w:w="3360"/>
            <w:tcMar>
              <w:top w:type="dxa" w:w="80"/>
              <w:left w:type="dxa" w:w="100"/>
              <w:bottom w:type="dxa" w:w="80"/>
              <w:right w:type="dxa" w:w="100"/>
            </w:tcMar>
          </w:tcPr>
          <w:p>
            <w:r>
              <w:rPr>
                <w:b w:val="false"/>
                <w:bCs w:val="false"/>
                <w:color w:val="1A1A1A"/>
                <w:sz w:val="19"/>
                <w:szCs w:val="19"/>
              </w:rPr>
              <w:t xml:space="preserve">De-identified case review by default; identified record only when actively reviewing a named incident</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Institutional admin (HMO / employer / state)</w:t>
            </w:r>
          </w:p>
        </w:tc>
        <w:tc>
          <w:tcPr>
            <w:tcW w:type="dxa" w:w="3600"/>
            <w:tcMar>
              <w:top w:type="dxa" w:w="80"/>
              <w:left w:type="dxa" w:w="100"/>
              <w:bottom w:type="dxa" w:w="80"/>
              <w:right w:type="dxa" w:w="100"/>
            </w:tcMar>
          </w:tcPr>
          <w:p>
            <w:r>
              <w:rPr>
                <w:b w:val="false"/>
                <w:bCs w:val="false"/>
                <w:color w:val="1A1A1A"/>
                <w:sz w:val="19"/>
                <w:szCs w:val="19"/>
              </w:rPr>
              <w:t xml:space="preserve">Manages covered-life list, views population reporting, views invoices</w:t>
            </w:r>
          </w:p>
        </w:tc>
        <w:tc>
          <w:tcPr>
            <w:tcW w:type="dxa" w:w="3360"/>
            <w:tcMar>
              <w:top w:type="dxa" w:w="80"/>
              <w:left w:type="dxa" w:w="100"/>
              <w:bottom w:type="dxa" w:w="80"/>
              <w:right w:type="dxa" w:w="100"/>
            </w:tcMar>
          </w:tcPr>
          <w:p>
            <w:r>
              <w:rPr>
                <w:b w:val="false"/>
                <w:bCs w:val="false"/>
                <w:color w:val="1A1A1A"/>
                <w:sz w:val="19"/>
                <w:szCs w:val="19"/>
              </w:rPr>
              <w:t xml:space="preserve">Aggregate/statistical data only — never an individual patient record, never a named member's clinical data</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Partner lab operator</w:t>
            </w:r>
          </w:p>
        </w:tc>
        <w:tc>
          <w:tcPr>
            <w:tcW w:type="dxa" w:w="3600"/>
            <w:tcMar>
              <w:top w:type="dxa" w:w="80"/>
              <w:left w:type="dxa" w:w="100"/>
              <w:bottom w:type="dxa" w:w="80"/>
              <w:right w:type="dxa" w:w="100"/>
            </w:tcMar>
          </w:tcPr>
          <w:p>
            <w:r>
              <w:rPr>
                <w:b w:val="false"/>
                <w:bCs w:val="false"/>
                <w:color w:val="1A1A1A"/>
                <w:sz w:val="19"/>
                <w:szCs w:val="19"/>
              </w:rPr>
              <w:t xml:space="preserve">Receives orders/referrals, returns results via integration or portal</w:t>
            </w:r>
          </w:p>
        </w:tc>
        <w:tc>
          <w:tcPr>
            <w:tcW w:type="dxa" w:w="3360"/>
            <w:tcMar>
              <w:top w:type="dxa" w:w="80"/>
              <w:left w:type="dxa" w:w="100"/>
              <w:bottom w:type="dxa" w:w="80"/>
              <w:right w:type="dxa" w:w="100"/>
            </w:tcMar>
          </w:tcPr>
          <w:p>
            <w:r>
              <w:rPr>
                <w:b w:val="false"/>
                <w:bCs w:val="false"/>
                <w:color w:val="1A1A1A"/>
                <w:sz w:val="19"/>
                <w:szCs w:val="19"/>
              </w:rPr>
              <w:t xml:space="preserve">Only the specific order/result they are fulfilling, scoped by patient consent</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Customer Support agent</w:t>
            </w:r>
          </w:p>
        </w:tc>
        <w:tc>
          <w:tcPr>
            <w:tcW w:type="dxa" w:w="3600"/>
            <w:tcMar>
              <w:top w:type="dxa" w:w="80"/>
              <w:left w:type="dxa" w:w="100"/>
              <w:bottom w:type="dxa" w:w="80"/>
              <w:right w:type="dxa" w:w="100"/>
            </w:tcMar>
          </w:tcPr>
          <w:p>
            <w:r>
              <w:rPr>
                <w:b w:val="false"/>
                <w:bCs w:val="false"/>
                <w:color w:val="1A1A1A"/>
                <w:sz w:val="19"/>
                <w:szCs w:val="19"/>
              </w:rPr>
              <w:t xml:space="preserve">Handles tickets, account and non-clinical queries</w:t>
            </w:r>
          </w:p>
        </w:tc>
        <w:tc>
          <w:tcPr>
            <w:tcW w:type="dxa" w:w="3360"/>
            <w:tcMar>
              <w:top w:type="dxa" w:w="80"/>
              <w:left w:type="dxa" w:w="100"/>
              <w:bottom w:type="dxa" w:w="80"/>
              <w:right w:type="dxa" w:w="100"/>
            </w:tcMar>
          </w:tcPr>
          <w:p>
            <w:r>
              <w:rPr>
                <w:b w:val="false"/>
                <w:bCs w:val="false"/>
                <w:color w:val="1A1A1A"/>
                <w:sz w:val="19"/>
                <w:szCs w:val="19"/>
              </w:rPr>
              <w:t xml:space="preserve">Account/administrative data; clinical content is out of scope and routed to the care team</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Internal Admin / Ops (Company OS roles)</w:t>
            </w:r>
          </w:p>
        </w:tc>
        <w:tc>
          <w:tcPr>
            <w:tcW w:type="dxa" w:w="3600"/>
            <w:tcMar>
              <w:top w:type="dxa" w:w="80"/>
              <w:left w:type="dxa" w:w="100"/>
              <w:bottom w:type="dxa" w:w="80"/>
              <w:right w:type="dxa" w:w="100"/>
            </w:tcMar>
          </w:tcPr>
          <w:p>
            <w:r>
              <w:rPr>
                <w:b w:val="false"/>
                <w:bCs w:val="false"/>
                <w:color w:val="1A1A1A"/>
                <w:sz w:val="19"/>
                <w:szCs w:val="19"/>
              </w:rPr>
              <w:t xml:space="preserve">User management, KYC review, config flags, audit log review</w:t>
            </w:r>
          </w:p>
        </w:tc>
        <w:tc>
          <w:tcPr>
            <w:tcW w:type="dxa" w:w="3360"/>
            <w:tcMar>
              <w:top w:type="dxa" w:w="80"/>
              <w:left w:type="dxa" w:w="100"/>
              <w:bottom w:type="dxa" w:w="80"/>
              <w:right w:type="dxa" w:w="100"/>
            </w:tcMar>
          </w:tcPr>
          <w:p>
            <w:r>
              <w:rPr>
                <w:b w:val="false"/>
                <w:bCs w:val="false"/>
                <w:color w:val="1A1A1A"/>
                <w:sz w:val="19"/>
                <w:szCs w:val="19"/>
              </w:rPr>
              <w:t xml:space="preserve">Role-gated per the twenty-role structure (Section 2); no standing all-access superuser account</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Field associate (local ops, e.g. device fulfilment)</w:t>
            </w:r>
          </w:p>
        </w:tc>
        <w:tc>
          <w:tcPr>
            <w:tcW w:type="dxa" w:w="3600"/>
            <w:tcMar>
              <w:top w:type="dxa" w:w="80"/>
              <w:left w:type="dxa" w:w="100"/>
              <w:bottom w:type="dxa" w:w="80"/>
              <w:right w:type="dxa" w:w="100"/>
            </w:tcMar>
          </w:tcPr>
          <w:p>
            <w:r>
              <w:rPr>
                <w:b w:val="false"/>
                <w:bCs w:val="false"/>
                <w:color w:val="1A1A1A"/>
                <w:sz w:val="19"/>
                <w:szCs w:val="19"/>
              </w:rPr>
              <w:t xml:space="preserve">Coordinates device handover/logistics for the wearable line (5.8), local support tasks</w:t>
            </w:r>
          </w:p>
        </w:tc>
        <w:tc>
          <w:tcPr>
            <w:tcW w:type="dxa" w:w="3360"/>
            <w:tcMar>
              <w:top w:type="dxa" w:w="80"/>
              <w:left w:type="dxa" w:w="100"/>
              <w:bottom w:type="dxa" w:w="80"/>
              <w:right w:type="dxa" w:w="100"/>
            </w:tcMar>
          </w:tcPr>
          <w:p>
            <w:r>
              <w:rPr>
                <w:b w:val="false"/>
                <w:bCs w:val="false"/>
                <w:color w:val="1A1A1A"/>
                <w:sz w:val="19"/>
                <w:szCs w:val="19"/>
              </w:rPr>
              <w:t xml:space="preserve">Device-order and logistics data only; no clinical data</w:t>
            </w:r>
          </w:p>
        </w:tc>
      </w:tr>
    </w:tbl>
    <w:p>
      <w:pPr>
        <w:pBdr>
          <w:left w:val="single" w:color="2F6F4F" w:sz="18" w:space="8"/>
        </w:pBdr>
        <w:spacing w:after="200" w:before="120" w:line="264"/>
        <w:ind w:left="200"/>
      </w:pPr>
      <w:r>
        <w:rPr>
          <w:b/>
          <w:bCs/>
          <w:color w:val="2F6F4F"/>
          <w:sz w:val="20"/>
          <w:szCs w:val="20"/>
        </w:rPr>
        <w:t xml:space="preserve">Architectural requirement, not a UI setting:  </w:t>
      </w:r>
      <w:r>
        <w:rPr>
          <w:i/>
          <w:iCs/>
          <w:color w:val="5B6B63"/>
          <w:sz w:val="20"/>
          <w:szCs w:val="20"/>
        </w:rPr>
        <w:t xml:space="preserve">the institutional aggregate-only rule and the patient/guardian/dependant boundary must be enforced by database row-level security policies (Section 6), so that a bug in a dashboard's front-end code cannot leak an individual record. UI-level hiding of a field is not an acceptable implementation of this rule.</w:t>
      </w:r>
    </w:p>
    <w:p>
      <w:r>
        <w:br w:type="page"/>
      </w:r>
    </w:p>
    <w:p>
      <w:pPr>
        <w:pStyle w:val="Heading1"/>
        <w:pBdr>
          <w:bottom w:val="single" w:color="C9D4CE" w:sz="6" w:space="4"/>
        </w:pBdr>
        <w:spacing w:after="200" w:before="480"/>
      </w:pPr>
      <w:r>
        <w:rPr>
          <w:b/>
          <w:bCs/>
          <w:color w:val="2F6F4F"/>
          <w:sz w:val="30"/>
          <w:szCs w:val="30"/>
        </w:rPr>
        <w:t xml:space="preserve">4. Platform Architecture Overview</w:t>
      </w:r>
    </w:p>
    <w:p>
      <w:pPr>
        <w:pStyle w:val="Heading2"/>
        <w:spacing w:after="140" w:before="320"/>
      </w:pPr>
      <w:r>
        <w:rPr>
          <w:b/>
          <w:bCs/>
          <w:color w:val="1A1A1A"/>
          <w:sz w:val="25"/>
          <w:szCs w:val="25"/>
        </w:rPr>
        <w:t xml:space="preserve">4.1 System components</w:t>
      </w:r>
    </w:p>
    <w:p>
      <w:pPr>
        <w:pStyle w:val="ListParagraph"/>
        <w:numPr>
          <w:ilvl w:val="0"/>
          <w:numId w:val="2"/>
        </w:numPr>
        <w:spacing w:after="90" w:line="264"/>
      </w:pPr>
      <w:r>
        <w:rPr>
          <w:b/>
          <w:bCs/>
          <w:color w:val="1A1A1A"/>
          <w:sz w:val="21"/>
          <w:szCs w:val="21"/>
        </w:rPr>
        <w:t xml:space="preserve">Patient app — </w:t>
      </w:r>
      <w:r>
        <w:rPr>
          <w:color w:val="1A1A1A"/>
          <w:sz w:val="21"/>
          <w:szCs w:val="21"/>
        </w:rPr>
        <w:t xml:space="preserve">Expo / React Native, iOS and Android, optimised for mid-range Android devices and intermittent 3G connectivity. This is the only surface where a new patient can sign up.</w:t>
      </w:r>
    </w:p>
    <w:p>
      <w:pPr>
        <w:pStyle w:val="ListParagraph"/>
        <w:numPr>
          <w:ilvl w:val="0"/>
          <w:numId w:val="2"/>
        </w:numPr>
        <w:spacing w:after="90" w:line="264"/>
      </w:pPr>
      <w:r>
        <w:rPr>
          <w:b/>
          <w:bCs/>
          <w:color w:val="1A1A1A"/>
          <w:sz w:val="21"/>
          <w:szCs w:val="21"/>
        </w:rPr>
        <w:t xml:space="preserve">Clinician &amp; Institution web console — </w:t>
      </w:r>
      <w:r>
        <w:rPr>
          <w:color w:val="1A1A1A"/>
          <w:sz w:val="21"/>
          <w:szCs w:val="21"/>
        </w:rPr>
        <w:t xml:space="preserve">Next.js, role-gated by the access boundaries in Section 3. Doctors, institutional admins and internal ops share the same web application shell with different navigation and data scopes, not three separate codebases.</w:t>
      </w:r>
    </w:p>
    <w:p>
      <w:pPr>
        <w:pStyle w:val="ListParagraph"/>
        <w:numPr>
          <w:ilvl w:val="0"/>
          <w:numId w:val="2"/>
        </w:numPr>
        <w:spacing w:after="90" w:line="264"/>
      </w:pPr>
      <w:r>
        <w:rPr>
          <w:b/>
          <w:bCs/>
          <w:color w:val="1A1A1A"/>
          <w:sz w:val="21"/>
          <w:szCs w:val="21"/>
        </w:rPr>
        <w:t xml:space="preserve">Marketing site — </w:t>
      </w:r>
      <w:r>
        <w:rPr>
          <w:color w:val="1A1A1A"/>
          <w:sz w:val="21"/>
          <w:szCs w:val="21"/>
        </w:rPr>
        <w:t xml:space="preserve">tarragonhealth.ng — an already-live, separate system. It is not where patients sign up (signup happens in-app), and no clinical claim on it should say anything the product cannot substantiate (see 2.2, Marketing).</w:t>
      </w:r>
    </w:p>
    <w:p>
      <w:pPr>
        <w:pStyle w:val="ListParagraph"/>
        <w:numPr>
          <w:ilvl w:val="0"/>
          <w:numId w:val="2"/>
        </w:numPr>
        <w:spacing w:after="90" w:line="264"/>
      </w:pPr>
      <w:r>
        <w:rPr>
          <w:b/>
          <w:bCs/>
          <w:color w:val="1A1A1A"/>
          <w:sz w:val="21"/>
          <w:szCs w:val="21"/>
        </w:rPr>
        <w:t xml:space="preserve">Backend — </w:t>
      </w:r>
      <w:r>
        <w:rPr>
          <w:color w:val="1A1A1A"/>
          <w:sz w:val="21"/>
          <w:szCs w:val="21"/>
        </w:rPr>
        <w:t xml:space="preserve">Supabase (managed Postgres, Auth, Storage, Edge Functions, Realtime). Row-Level Security (RLS) is the primary mechanism enforcing every access boundary in Section 3 and Section 6.</w:t>
      </w:r>
    </w:p>
    <w:p>
      <w:pPr>
        <w:pStyle w:val="ListParagraph"/>
        <w:numPr>
          <w:ilvl w:val="0"/>
          <w:numId w:val="2"/>
        </w:numPr>
        <w:spacing w:after="90" w:line="264"/>
      </w:pPr>
      <w:r>
        <w:rPr>
          <w:b/>
          <w:bCs/>
          <w:color w:val="1A1A1A"/>
          <w:sz w:val="21"/>
          <w:szCs w:val="21"/>
        </w:rPr>
        <w:t xml:space="preserve">AI layer — </w:t>
      </w:r>
      <w:r>
        <w:rPr>
          <w:color w:val="1A1A1A"/>
          <w:sz w:val="21"/>
          <w:szCs w:val="21"/>
        </w:rPr>
        <w:t xml:space="preserve">the Anthropic Claude API. Claude Sonnet handles higher-stakes drafting (triage summarisation, titration proposals, health-passport drafting); Claude Haiku handles high-volume, lower-stakes tasks (content classification, first-pass symptom parsing, translation) with prompt caching used deliberately as a cost lever at scale. No Claude output reaches a patient as clinical content without a clinician's signature (5.4, 5.6).</w:t>
      </w:r>
    </w:p>
    <w:p>
      <w:pPr>
        <w:pStyle w:val="ListParagraph"/>
        <w:numPr>
          <w:ilvl w:val="0"/>
          <w:numId w:val="2"/>
        </w:numPr>
        <w:spacing w:after="90" w:line="264"/>
      </w:pPr>
      <w:r>
        <w:rPr>
          <w:b/>
          <w:bCs/>
          <w:color w:val="1A1A1A"/>
          <w:sz w:val="21"/>
          <w:szCs w:val="21"/>
        </w:rPr>
        <w:t xml:space="preserve">Comms orchestration — </w:t>
      </w:r>
      <w:r>
        <w:rPr>
          <w:color w:val="1A1A1A"/>
          <w:sz w:val="21"/>
          <w:szCs w:val="21"/>
        </w:rPr>
        <w:t xml:space="preserve">a five-rail engine (5.13) sitting between the backend and Termii (SMS), a WhatsApp Business Solution Provider, push notification services (APNs/FCM), and transactional email.</w:t>
      </w:r>
    </w:p>
    <w:p>
      <w:pPr>
        <w:pStyle w:val="ListParagraph"/>
        <w:numPr>
          <w:ilvl w:val="0"/>
          <w:numId w:val="2"/>
        </w:numPr>
        <w:spacing w:after="90" w:line="264"/>
      </w:pPr>
      <w:r>
        <w:rPr>
          <w:b/>
          <w:bCs/>
          <w:color w:val="1A1A1A"/>
          <w:sz w:val="21"/>
          <w:szCs w:val="21"/>
        </w:rPr>
        <w:t xml:space="preserve">Payments — </w:t>
      </w:r>
      <w:r>
        <w:rPr>
          <w:color w:val="1A1A1A"/>
          <w:sz w:val="21"/>
          <w:szCs w:val="21"/>
        </w:rPr>
        <w:t xml:space="preserve">Paystack and/or Flutterwave for card, bank transfer and local payment methods, feeding the Health Wallet and institutional billing (5.11).</w:t>
      </w:r>
    </w:p>
    <w:p>
      <w:pPr>
        <w:pStyle w:val="ListParagraph"/>
        <w:numPr>
          <w:ilvl w:val="0"/>
          <w:numId w:val="2"/>
        </w:numPr>
        <w:spacing w:after="90" w:line="264"/>
      </w:pPr>
      <w:r>
        <w:rPr>
          <w:b/>
          <w:bCs/>
          <w:color w:val="1A1A1A"/>
          <w:sz w:val="21"/>
          <w:szCs w:val="21"/>
        </w:rPr>
        <w:t xml:space="preserve">Device layer — </w:t>
      </w:r>
      <w:r>
        <w:rPr>
          <w:color w:val="1A1A1A"/>
          <w:sz w:val="21"/>
          <w:szCs w:val="21"/>
        </w:rPr>
        <w:t xml:space="preserve">Bluetooth Low Energy pairing via a native Expo module bridge for the Tarragon wearable band; manual entry for any third-party BP cuff, glucometer or scale bought through an advised official-distributor channel (5.8).</w:t>
      </w:r>
    </w:p>
    <w:p>
      <w:pPr>
        <w:pStyle w:val="ListParagraph"/>
        <w:numPr>
          <w:ilvl w:val="0"/>
          <w:numId w:val="2"/>
        </w:numPr>
        <w:spacing w:after="90" w:line="264"/>
      </w:pPr>
      <w:r>
        <w:rPr>
          <w:b/>
          <w:bCs/>
          <w:color w:val="1A1A1A"/>
          <w:sz w:val="21"/>
          <w:szCs w:val="21"/>
        </w:rPr>
        <w:t xml:space="preserve">USSD gateway — </w:t>
      </w:r>
      <w:r>
        <w:rPr>
          <w:color w:val="1A1A1A"/>
          <w:sz w:val="21"/>
          <w:szCs w:val="21"/>
        </w:rPr>
        <w:t xml:space="preserve">a telco-integrated USSD short-code service for feature-phone and no-data access (5.14) — a genuinely separate, low-bandwidth channel, not a scaled-down version of the app.</w:t>
      </w:r>
    </w:p>
    <w:p>
      <w:pPr>
        <w:pStyle w:val="Heading2"/>
        <w:spacing w:after="140" w:before="320"/>
      </w:pPr>
      <w:r>
        <w:rPr>
          <w:b/>
          <w:bCs/>
          <w:color w:val="1A1A1A"/>
          <w:sz w:val="25"/>
          <w:szCs w:val="25"/>
        </w:rPr>
        <w:t xml:space="preserve">4.2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cantSplit/>
          <w:tblHeader/>
        </w:trPr>
        <w:tc>
          <w:tcPr>
            <w:tcW w:type="dxa" w:w="2200"/>
            <w:shd w:fill="EDF3EF" w:val="clear"/>
            <w:tcMar>
              <w:top w:type="dxa" w:w="80"/>
              <w:left w:type="dxa" w:w="100"/>
              <w:bottom w:type="dxa" w:w="80"/>
              <w:right w:type="dxa" w:w="100"/>
            </w:tcMar>
          </w:tcPr>
          <w:p>
            <w:r>
              <w:rPr>
                <w:b/>
                <w:bCs/>
                <w:color w:val="1A1A1A"/>
                <w:sz w:val="19"/>
                <w:szCs w:val="19"/>
              </w:rPr>
              <w:t xml:space="preserve">Layer</w:t>
            </w:r>
          </w:p>
        </w:tc>
        <w:tc>
          <w:tcPr>
            <w:tcW w:type="dxa" w:w="3400"/>
            <w:shd w:fill="EDF3EF" w:val="clear"/>
            <w:tcMar>
              <w:top w:type="dxa" w:w="80"/>
              <w:left w:type="dxa" w:w="100"/>
              <w:bottom w:type="dxa" w:w="80"/>
              <w:right w:type="dxa" w:w="100"/>
            </w:tcMar>
          </w:tcPr>
          <w:p>
            <w:r>
              <w:rPr>
                <w:b/>
                <w:bCs/>
                <w:color w:val="1A1A1A"/>
                <w:sz w:val="19"/>
                <w:szCs w:val="19"/>
              </w:rPr>
              <w:t xml:space="preserve">Choice</w:t>
            </w:r>
          </w:p>
        </w:tc>
        <w:tc>
          <w:tcPr>
            <w:tcW w:type="dxa" w:w="3760"/>
            <w:shd w:fill="EDF3EF" w:val="clear"/>
            <w:tcMar>
              <w:top w:type="dxa" w:w="80"/>
              <w:left w:type="dxa" w:w="100"/>
              <w:bottom w:type="dxa" w:w="80"/>
              <w:right w:type="dxa" w:w="100"/>
            </w:tcMar>
          </w:tcPr>
          <w:p>
            <w:r>
              <w:rPr>
                <w:b/>
                <w:bCs/>
                <w:color w:val="1A1A1A"/>
                <w:sz w:val="19"/>
                <w:szCs w:val="19"/>
              </w:rPr>
              <w:t xml:space="preserve">Why</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Patient mobile app</w:t>
            </w:r>
          </w:p>
        </w:tc>
        <w:tc>
          <w:tcPr>
            <w:tcW w:type="dxa" w:w="3400"/>
            <w:tcMar>
              <w:top w:type="dxa" w:w="80"/>
              <w:left w:type="dxa" w:w="100"/>
              <w:bottom w:type="dxa" w:w="80"/>
              <w:right w:type="dxa" w:w="100"/>
            </w:tcMar>
          </w:tcPr>
          <w:p>
            <w:r>
              <w:rPr>
                <w:b w:val="false"/>
                <w:bCs w:val="false"/>
                <w:color w:val="1A1A1A"/>
                <w:sz w:val="19"/>
                <w:szCs w:val="19"/>
              </w:rPr>
              <w:t xml:space="preserve">Expo / React Native</w:t>
            </w:r>
          </w:p>
        </w:tc>
        <w:tc>
          <w:tcPr>
            <w:tcW w:type="dxa" w:w="3760"/>
            <w:tcMar>
              <w:top w:type="dxa" w:w="80"/>
              <w:left w:type="dxa" w:w="100"/>
              <w:bottom w:type="dxa" w:w="80"/>
              <w:right w:type="dxa" w:w="100"/>
            </w:tcMar>
          </w:tcPr>
          <w:p>
            <w:r>
              <w:rPr>
                <w:b w:val="false"/>
                <w:bCs w:val="false"/>
                <w:color w:val="1A1A1A"/>
                <w:sz w:val="19"/>
                <w:szCs w:val="19"/>
              </w:rPr>
              <w:t xml:space="preserve">Already the standing decision; single codebase for iOS and Android, smaller team to maintain, fast OTA updates for a market where app-store review delay matters</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Clinician / Institution / Admin web</w:t>
            </w:r>
          </w:p>
        </w:tc>
        <w:tc>
          <w:tcPr>
            <w:tcW w:type="dxa" w:w="3400"/>
            <w:tcMar>
              <w:top w:type="dxa" w:w="80"/>
              <w:left w:type="dxa" w:w="100"/>
              <w:bottom w:type="dxa" w:w="80"/>
              <w:right w:type="dxa" w:w="100"/>
            </w:tcMar>
          </w:tcPr>
          <w:p>
            <w:r>
              <w:rPr>
                <w:b w:val="false"/>
                <w:bCs w:val="false"/>
                <w:color w:val="1A1A1A"/>
                <w:sz w:val="19"/>
                <w:szCs w:val="19"/>
              </w:rPr>
              <w:t xml:space="preserve">Next.js</w:t>
            </w:r>
          </w:p>
        </w:tc>
        <w:tc>
          <w:tcPr>
            <w:tcW w:type="dxa" w:w="3760"/>
            <w:tcMar>
              <w:top w:type="dxa" w:w="80"/>
              <w:left w:type="dxa" w:w="100"/>
              <w:bottom w:type="dxa" w:w="80"/>
              <w:right w:type="dxa" w:w="100"/>
            </w:tcMar>
          </w:tcPr>
          <w:p>
            <w:r>
              <w:rPr>
                <w:b w:val="false"/>
                <w:bCs w:val="false"/>
                <w:color w:val="1A1A1A"/>
                <w:sz w:val="19"/>
                <w:szCs w:val="19"/>
              </w:rPr>
              <w:t xml:space="preserve">Already the standing decision; one framework serving three role-gated experiences from one codebase, server-rendered for lower-end laptops used by partner-institution admins</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Backend / database</w:t>
            </w:r>
          </w:p>
        </w:tc>
        <w:tc>
          <w:tcPr>
            <w:tcW w:type="dxa" w:w="3400"/>
            <w:tcMar>
              <w:top w:type="dxa" w:w="80"/>
              <w:left w:type="dxa" w:w="100"/>
              <w:bottom w:type="dxa" w:w="80"/>
              <w:right w:type="dxa" w:w="100"/>
            </w:tcMar>
          </w:tcPr>
          <w:p>
            <w:r>
              <w:rPr>
                <w:b w:val="false"/>
                <w:bCs w:val="false"/>
                <w:color w:val="1A1A1A"/>
                <w:sz w:val="19"/>
                <w:szCs w:val="19"/>
              </w:rPr>
              <w:t xml:space="preserve">Supabase (Postgres + Auth + Storage + Edge Functions + Realtime)</w:t>
            </w:r>
          </w:p>
        </w:tc>
        <w:tc>
          <w:tcPr>
            <w:tcW w:type="dxa" w:w="3760"/>
            <w:tcMar>
              <w:top w:type="dxa" w:w="80"/>
              <w:left w:type="dxa" w:w="100"/>
              <w:bottom w:type="dxa" w:w="80"/>
              <w:right w:type="dxa" w:w="100"/>
            </w:tcMar>
          </w:tcPr>
          <w:p>
            <w:r>
              <w:rPr>
                <w:b w:val="false"/>
                <w:bCs w:val="false"/>
                <w:color w:val="1A1A1A"/>
                <w:sz w:val="19"/>
                <w:szCs w:val="19"/>
              </w:rPr>
              <w:t xml:space="preserve">Already the standing decision; RLS gives the access-boundary architecture a database-level guarantee rather than an application-level promise</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AI</w:t>
            </w:r>
          </w:p>
        </w:tc>
        <w:tc>
          <w:tcPr>
            <w:tcW w:type="dxa" w:w="3400"/>
            <w:tcMar>
              <w:top w:type="dxa" w:w="80"/>
              <w:left w:type="dxa" w:w="100"/>
              <w:bottom w:type="dxa" w:w="80"/>
              <w:right w:type="dxa" w:w="100"/>
            </w:tcMar>
          </w:tcPr>
          <w:p>
            <w:r>
              <w:rPr>
                <w:b w:val="false"/>
                <w:bCs w:val="false"/>
                <w:color w:val="1A1A1A"/>
                <w:sz w:val="19"/>
                <w:szCs w:val="19"/>
              </w:rPr>
              <w:t xml:space="preserve">Anthropic Claude API (Sonnet + Haiku, prompt caching)</w:t>
            </w:r>
          </w:p>
        </w:tc>
        <w:tc>
          <w:tcPr>
            <w:tcW w:type="dxa" w:w="3760"/>
            <w:tcMar>
              <w:top w:type="dxa" w:w="80"/>
              <w:left w:type="dxa" w:w="100"/>
              <w:bottom w:type="dxa" w:w="80"/>
              <w:right w:type="dxa" w:w="100"/>
            </w:tcMar>
          </w:tcPr>
          <w:p>
            <w:r>
              <w:rPr>
                <w:b w:val="false"/>
                <w:bCs w:val="false"/>
                <w:color w:val="1A1A1A"/>
                <w:sz w:val="19"/>
                <w:szCs w:val="19"/>
              </w:rPr>
              <w:t xml:space="preserve">Already the standing decision; tiered model choice controls cost at the consumer subscription price point this market requires</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SMS</w:t>
            </w:r>
          </w:p>
        </w:tc>
        <w:tc>
          <w:tcPr>
            <w:tcW w:type="dxa" w:w="3400"/>
            <w:tcMar>
              <w:top w:type="dxa" w:w="80"/>
              <w:left w:type="dxa" w:w="100"/>
              <w:bottom w:type="dxa" w:w="80"/>
              <w:right w:type="dxa" w:w="100"/>
            </w:tcMar>
          </w:tcPr>
          <w:p>
            <w:r>
              <w:rPr>
                <w:b w:val="false"/>
                <w:bCs w:val="false"/>
                <w:color w:val="1A1A1A"/>
                <w:sz w:val="19"/>
                <w:szCs w:val="19"/>
              </w:rPr>
              <w:t xml:space="preserve">Termii</w:t>
            </w:r>
          </w:p>
        </w:tc>
        <w:tc>
          <w:tcPr>
            <w:tcW w:type="dxa" w:w="3760"/>
            <w:tcMar>
              <w:top w:type="dxa" w:w="80"/>
              <w:left w:type="dxa" w:w="100"/>
              <w:bottom w:type="dxa" w:w="80"/>
              <w:right w:type="dxa" w:w="100"/>
            </w:tcMar>
          </w:tcPr>
          <w:p>
            <w:r>
              <w:rPr>
                <w:b w:val="false"/>
                <w:bCs w:val="false"/>
                <w:color w:val="1A1A1A"/>
                <w:sz w:val="19"/>
                <w:szCs w:val="19"/>
              </w:rPr>
              <w:t xml:space="preserve">Already contracted; N-Alert sender ID live, sector-licensed sender ID in progress</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WhatsApp</w:t>
            </w:r>
          </w:p>
        </w:tc>
        <w:tc>
          <w:tcPr>
            <w:tcW w:type="dxa" w:w="3400"/>
            <w:tcMar>
              <w:top w:type="dxa" w:w="80"/>
              <w:left w:type="dxa" w:w="100"/>
              <w:bottom w:type="dxa" w:w="80"/>
              <w:right w:type="dxa" w:w="100"/>
            </w:tcMar>
          </w:tcPr>
          <w:p>
            <w:r>
              <w:rPr>
                <w:b w:val="false"/>
                <w:bCs w:val="false"/>
                <w:color w:val="1A1A1A"/>
                <w:sz w:val="19"/>
                <w:szCs w:val="19"/>
              </w:rPr>
              <w:t xml:space="preserve">WhatsApp Business API via a BSP (e.g. 360dialog, Twilio, Meta direct)</w:t>
            </w:r>
          </w:p>
        </w:tc>
        <w:tc>
          <w:tcPr>
            <w:tcW w:type="dxa" w:w="3760"/>
            <w:tcMar>
              <w:top w:type="dxa" w:w="80"/>
              <w:left w:type="dxa" w:w="100"/>
              <w:bottom w:type="dxa" w:w="80"/>
              <w:right w:type="dxa" w:w="100"/>
            </w:tcMar>
          </w:tcPr>
          <w:p>
            <w:r>
              <w:rPr>
                <w:b w:val="false"/>
                <w:bCs w:val="false"/>
                <w:color w:val="1A1A1A"/>
                <w:sz w:val="19"/>
                <w:szCs w:val="19"/>
              </w:rPr>
              <w:t xml:space="preserve">Reaches users without needing them to have the Tarragon app installed for a reminder; strictly non-clinical per standing rule</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Payments</w:t>
            </w:r>
          </w:p>
        </w:tc>
        <w:tc>
          <w:tcPr>
            <w:tcW w:type="dxa" w:w="3400"/>
            <w:tcMar>
              <w:top w:type="dxa" w:w="80"/>
              <w:left w:type="dxa" w:w="100"/>
              <w:bottom w:type="dxa" w:w="80"/>
              <w:right w:type="dxa" w:w="100"/>
            </w:tcMar>
          </w:tcPr>
          <w:p>
            <w:r>
              <w:rPr>
                <w:b w:val="false"/>
                <w:bCs w:val="false"/>
                <w:color w:val="1A1A1A"/>
                <w:sz w:val="19"/>
                <w:szCs w:val="19"/>
              </w:rPr>
              <w:t xml:space="preserve">Paystack and/or Flutterwave</w:t>
            </w:r>
          </w:p>
        </w:tc>
        <w:tc>
          <w:tcPr>
            <w:tcW w:type="dxa" w:w="3760"/>
            <w:tcMar>
              <w:top w:type="dxa" w:w="80"/>
              <w:left w:type="dxa" w:w="100"/>
              <w:bottom w:type="dxa" w:w="80"/>
              <w:right w:type="dxa" w:w="100"/>
            </w:tcMar>
          </w:tcPr>
          <w:p>
            <w:r>
              <w:rPr>
                <w:b w:val="false"/>
                <w:bCs w:val="false"/>
                <w:color w:val="1A1A1A"/>
                <w:sz w:val="19"/>
                <w:szCs w:val="19"/>
              </w:rPr>
              <w:t xml:space="preserve">Nigeria-native rails covering card, bank transfer and USSD-based payment, both PCI-compliant so Tarragon never touches raw card data</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Monorepo / tooling</w:t>
            </w:r>
          </w:p>
        </w:tc>
        <w:tc>
          <w:tcPr>
            <w:tcW w:type="dxa" w:w="3400"/>
            <w:tcMar>
              <w:top w:type="dxa" w:w="80"/>
              <w:left w:type="dxa" w:w="100"/>
              <w:bottom w:type="dxa" w:w="80"/>
              <w:right w:type="dxa" w:w="100"/>
            </w:tcMar>
          </w:tcPr>
          <w:p>
            <w:r>
              <w:rPr>
                <w:b w:val="false"/>
                <w:bCs w:val="false"/>
                <w:color w:val="1A1A1A"/>
                <w:sz w:val="19"/>
                <w:szCs w:val="19"/>
              </w:rPr>
              <w:t xml:space="preserve">Turborepo + pnpm</w:t>
            </w:r>
          </w:p>
        </w:tc>
        <w:tc>
          <w:tcPr>
            <w:tcW w:type="dxa" w:w="3760"/>
            <w:tcMar>
              <w:top w:type="dxa" w:w="80"/>
              <w:left w:type="dxa" w:w="100"/>
              <w:bottom w:type="dxa" w:w="80"/>
              <w:right w:type="dxa" w:w="100"/>
            </w:tcMar>
          </w:tcPr>
          <w:p>
            <w:r>
              <w:rPr>
                <w:b w:val="false"/>
                <w:bCs w:val="false"/>
                <w:color w:val="1A1A1A"/>
                <w:sz w:val="19"/>
                <w:szCs w:val="19"/>
              </w:rPr>
              <w:t xml:space="preserve">Already the standing decision</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Dev environment</w:t>
            </w:r>
          </w:p>
        </w:tc>
        <w:tc>
          <w:tcPr>
            <w:tcW w:type="dxa" w:w="3400"/>
            <w:tcMar>
              <w:top w:type="dxa" w:w="80"/>
              <w:left w:type="dxa" w:w="100"/>
              <w:bottom w:type="dxa" w:w="80"/>
              <w:right w:type="dxa" w:w="100"/>
            </w:tcMar>
          </w:tcPr>
          <w:p>
            <w:r>
              <w:rPr>
                <w:b w:val="false"/>
                <w:bCs w:val="false"/>
                <w:color w:val="1A1A1A"/>
                <w:sz w:val="19"/>
                <w:szCs w:val="19"/>
              </w:rPr>
              <w:t xml:space="preserve">Claude Code CLI inside Cursor</w:t>
            </w:r>
          </w:p>
        </w:tc>
        <w:tc>
          <w:tcPr>
            <w:tcW w:type="dxa" w:w="3760"/>
            <w:tcMar>
              <w:top w:type="dxa" w:w="80"/>
              <w:left w:type="dxa" w:w="100"/>
              <w:bottom w:type="dxa" w:w="80"/>
              <w:right w:type="dxa" w:w="100"/>
            </w:tcMar>
          </w:tcPr>
          <w:p>
            <w:r>
              <w:rPr>
                <w:b w:val="false"/>
                <w:bCs w:val="false"/>
                <w:color w:val="1A1A1A"/>
                <w:sz w:val="19"/>
                <w:szCs w:val="19"/>
              </w:rPr>
              <w:t xml:space="preserve">Already the standing decision</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Version control</w:t>
            </w:r>
          </w:p>
        </w:tc>
        <w:tc>
          <w:tcPr>
            <w:tcW w:type="dxa" w:w="3400"/>
            <w:tcMar>
              <w:top w:type="dxa" w:w="80"/>
              <w:left w:type="dxa" w:w="100"/>
              <w:bottom w:type="dxa" w:w="80"/>
              <w:right w:type="dxa" w:w="100"/>
            </w:tcMar>
          </w:tcPr>
          <w:p>
            <w:r>
              <w:rPr>
                <w:b w:val="false"/>
                <w:bCs w:val="false"/>
                <w:color w:val="1A1A1A"/>
                <w:sz w:val="19"/>
                <w:szCs w:val="19"/>
              </w:rPr>
              <w:t xml:space="preserve">GitHub (private)</w:t>
            </w:r>
          </w:p>
        </w:tc>
        <w:tc>
          <w:tcPr>
            <w:tcW w:type="dxa" w:w="3760"/>
            <w:tcMar>
              <w:top w:type="dxa" w:w="80"/>
              <w:left w:type="dxa" w:w="100"/>
              <w:bottom w:type="dxa" w:w="80"/>
              <w:right w:type="dxa" w:w="100"/>
            </w:tcMar>
          </w:tcPr>
          <w:p>
            <w:r>
              <w:rPr>
                <w:b w:val="false"/>
                <w:bCs w:val="false"/>
                <w:color w:val="1A1A1A"/>
                <w:sz w:val="19"/>
                <w:szCs w:val="19"/>
              </w:rPr>
              <w:t xml:space="preserve">Standard; enables the CI/CD and code-review gates in Section 7</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Internal BI</w:t>
            </w:r>
          </w:p>
        </w:tc>
        <w:tc>
          <w:tcPr>
            <w:tcW w:type="dxa" w:w="3400"/>
            <w:tcMar>
              <w:top w:type="dxa" w:w="80"/>
              <w:left w:type="dxa" w:w="100"/>
              <w:bottom w:type="dxa" w:w="80"/>
              <w:right w:type="dxa" w:w="100"/>
            </w:tcMar>
          </w:tcPr>
          <w:p>
            <w:r>
              <w:rPr>
                <w:b w:val="false"/>
                <w:bCs w:val="false"/>
                <w:color w:val="1A1A1A"/>
                <w:sz w:val="19"/>
                <w:szCs w:val="19"/>
              </w:rPr>
              <w:t xml:space="preserve">Supabase views + a lightweight BI tool (e.g. Metabase or Retool)</w:t>
            </w:r>
          </w:p>
        </w:tc>
        <w:tc>
          <w:tcPr>
            <w:tcW w:type="dxa" w:w="3760"/>
            <w:tcMar>
              <w:top w:type="dxa" w:w="80"/>
              <w:left w:type="dxa" w:w="100"/>
              <w:bottom w:type="dxa" w:w="80"/>
              <w:right w:type="dxa" w:w="100"/>
            </w:tcMar>
          </w:tcPr>
          <w:p>
            <w:r>
              <w:rPr>
                <w:b w:val="false"/>
                <w:bCs w:val="false"/>
                <w:color w:val="1A1A1A"/>
                <w:sz w:val="19"/>
                <w:szCs w:val="19"/>
              </w:rPr>
              <w:t xml:space="preserve">Fastest path to the dashboards Data &amp; Analytics (2.2) needs without a bespoke build</w:t>
            </w:r>
          </w:p>
        </w:tc>
      </w:tr>
      <w:tr>
        <w:trPr>
          <w:cantSplit/>
        </w:trPr>
        <w:tc>
          <w:tcPr>
            <w:tcW w:type="dxa" w:w="2200"/>
            <w:tcMar>
              <w:top w:type="dxa" w:w="80"/>
              <w:left w:type="dxa" w:w="100"/>
              <w:bottom w:type="dxa" w:w="80"/>
              <w:right w:type="dxa" w:w="100"/>
            </w:tcMar>
          </w:tcPr>
          <w:p>
            <w:r>
              <w:rPr>
                <w:b w:val="false"/>
                <w:bCs w:val="false"/>
                <w:color w:val="1A1A1A"/>
                <w:sz w:val="19"/>
                <w:szCs w:val="19"/>
              </w:rPr>
              <w:t xml:space="preserve">Error tracking / observability</w:t>
            </w:r>
          </w:p>
        </w:tc>
        <w:tc>
          <w:tcPr>
            <w:tcW w:type="dxa" w:w="3400"/>
            <w:tcMar>
              <w:top w:type="dxa" w:w="80"/>
              <w:left w:type="dxa" w:w="100"/>
              <w:bottom w:type="dxa" w:w="80"/>
              <w:right w:type="dxa" w:w="100"/>
            </w:tcMar>
          </w:tcPr>
          <w:p>
            <w:r>
              <w:rPr>
                <w:b w:val="false"/>
                <w:bCs w:val="false"/>
                <w:color w:val="1A1A1A"/>
                <w:sz w:val="19"/>
                <w:szCs w:val="19"/>
              </w:rPr>
              <w:t xml:space="preserve">Sentry (or equivalent) + structured logging + uptime monitoring</w:t>
            </w:r>
          </w:p>
        </w:tc>
        <w:tc>
          <w:tcPr>
            <w:tcW w:type="dxa" w:w="3760"/>
            <w:tcMar>
              <w:top w:type="dxa" w:w="80"/>
              <w:left w:type="dxa" w:w="100"/>
              <w:bottom w:type="dxa" w:w="80"/>
              <w:right w:type="dxa" w:w="100"/>
            </w:tcMar>
          </w:tcPr>
          <w:p>
            <w:r>
              <w:rPr>
                <w:b w:val="false"/>
                <w:bCs w:val="false"/>
                <w:color w:val="1A1A1A"/>
                <w:sz w:val="19"/>
                <w:szCs w:val="19"/>
              </w:rPr>
              <w:t xml:space="preserve">Required by the non-functional targets in Section 7</w:t>
            </w:r>
          </w:p>
        </w:tc>
      </w:tr>
    </w:tbl>
    <w:p>
      <w:pPr>
        <w:pStyle w:val="Heading2"/>
        <w:spacing w:after="140" w:before="320"/>
      </w:pPr>
      <w:r>
        <w:rPr>
          <w:b/>
          <w:bCs/>
          <w:color w:val="1A1A1A"/>
          <w:sz w:val="25"/>
          <w:szCs w:val="25"/>
        </w:rPr>
        <w:t xml:space="preserve">4.3 Localisation and channel reach</w:t>
      </w:r>
    </w:p>
    <w:p>
      <w:pPr>
        <w:pStyle w:val="ListParagraph"/>
        <w:numPr>
          <w:ilvl w:val="0"/>
          <w:numId w:val="2"/>
        </w:numPr>
        <w:spacing w:after="90" w:line="264"/>
      </w:pPr>
      <w:r>
        <w:rPr>
          <w:b/>
          <w:bCs/>
          <w:color w:val="1A1A1A"/>
          <w:sz w:val="21"/>
          <w:szCs w:val="21"/>
        </w:rPr>
        <w:t xml:space="preserve">Languages — </w:t>
      </w:r>
      <w:r>
        <w:rPr>
          <w:color w:val="1A1A1A"/>
          <w:sz w:val="21"/>
          <w:szCs w:val="21"/>
        </w:rPr>
        <w:t xml:space="preserve">English at launch; Nigerian Pidgin as the second language across the app, AI coach and SMS/WhatsApp templates before any other feature work, because it is the single highest-leverage accessibility investment for this population; Yoruba, Hausa and Igbo as a Phase 2+ expansion, architected for from day one (all user-facing strings externalised, no hardcoded English in code) rather than retrofitted.</w:t>
      </w:r>
    </w:p>
    <w:p>
      <w:pPr>
        <w:pStyle w:val="ListParagraph"/>
        <w:numPr>
          <w:ilvl w:val="0"/>
          <w:numId w:val="2"/>
        </w:numPr>
        <w:spacing w:after="90" w:line="264"/>
      </w:pPr>
      <w:r>
        <w:rPr>
          <w:b/>
          <w:bCs/>
          <w:color w:val="1A1A1A"/>
          <w:sz w:val="21"/>
          <w:szCs w:val="21"/>
        </w:rPr>
        <w:t xml:space="preserve">Access channels — </w:t>
      </w:r>
      <w:r>
        <w:rPr>
          <w:color w:val="1A1A1A"/>
          <w:sz w:val="21"/>
          <w:szCs w:val="21"/>
        </w:rPr>
        <w:t xml:space="preserve">smartphone app (primary), mobile web/PWA fallback for constrained devices, USSD for feature phones and zero-data situations, and the web console for clinicians and institutions only — patients never sign up via the web console.</w:t>
      </w:r>
    </w:p>
    <w:p>
      <w:pPr>
        <w:pStyle w:val="ListParagraph"/>
        <w:numPr>
          <w:ilvl w:val="0"/>
          <w:numId w:val="2"/>
        </w:numPr>
        <w:spacing w:after="90" w:line="264"/>
      </w:pPr>
      <w:r>
        <w:rPr>
          <w:b/>
          <w:bCs/>
          <w:color w:val="1A1A1A"/>
          <w:sz w:val="21"/>
          <w:szCs w:val="21"/>
        </w:rPr>
        <w:t xml:space="preserve">Offline tolerance — </w:t>
      </w:r>
      <w:r>
        <w:rPr>
          <w:color w:val="1A1A1A"/>
          <w:sz w:val="21"/>
          <w:szCs w:val="21"/>
        </w:rPr>
        <w:t xml:space="preserve">the app must let a patient view their last-synced Health Passport, medication list and next-appointment reminder with no connection, and queue any data entry (a manual BP reading, a symptom check-in) for sync when connectivity returns.</w:t>
      </w:r>
    </w:p>
    <w:p>
      <w:r>
        <w:br w:type="page"/>
      </w:r>
    </w:p>
    <w:p>
      <w:pPr>
        <w:pStyle w:val="Heading1"/>
        <w:pBdr>
          <w:bottom w:val="single" w:color="C9D4CE" w:sz="6" w:space="4"/>
        </w:pBdr>
        <w:spacing w:after="200" w:before="480"/>
      </w:pPr>
      <w:r>
        <w:rPr>
          <w:b/>
          <w:bCs/>
          <w:color w:val="2F6F4F"/>
          <w:sz w:val="30"/>
          <w:szCs w:val="30"/>
        </w:rPr>
        <w:t xml:space="preserve">5. Core Functional Modules</w:t>
      </w:r>
    </w:p>
    <w:p>
      <w:pPr>
        <w:spacing w:after="160" w:line="276"/>
      </w:pPr>
      <w:r>
        <w:rPr>
          <w:color w:val="1A1A1A"/>
          <w:sz w:val="21"/>
          <w:szCs w:val="21"/>
        </w:rPr>
        <w:t xml:space="preserve">Twenty modules. Each includes purpose, the features engineering should build, the standing rules that constrain the design, and its main data/access dependencies. These map directly to epics in a project plan.</w:t>
      </w:r>
    </w:p>
    <w:p>
      <w:pPr>
        <w:pStyle w:val="Heading2"/>
        <w:spacing w:after="140" w:before="320"/>
      </w:pPr>
      <w:r>
        <w:rPr>
          <w:b/>
          <w:bCs/>
          <w:color w:val="1A1A1A"/>
          <w:sz w:val="25"/>
          <w:szCs w:val="25"/>
        </w:rPr>
        <w:t xml:space="preserve">5.1 Identity, Onboarding &amp; Account</w:t>
      </w:r>
    </w:p>
    <w:p>
      <w:pPr>
        <w:spacing w:after="120" w:line="276"/>
      </w:pPr>
      <w:r>
        <w:rPr>
          <w:b/>
          <w:bCs/>
          <w:color w:val="1A1A1A"/>
          <w:sz w:val="21"/>
          <w:szCs w:val="21"/>
        </w:rPr>
        <w:t xml:space="preserve">Purpose: </w:t>
      </w:r>
      <w:r>
        <w:rPr>
          <w:color w:val="1A1A1A"/>
          <w:sz w:val="21"/>
          <w:szCs w:val="21"/>
        </w:rPr>
        <w:t xml:space="preserve">get a Nigerian adult from "heard about Tarragon" to "active account with a first risk assessment" in one sitting, on a mid-range phone, in under five minutes.</w:t>
      </w:r>
    </w:p>
    <w:p>
      <w:pPr>
        <w:pStyle w:val="ListParagraph"/>
        <w:numPr>
          <w:ilvl w:val="0"/>
          <w:numId w:val="2"/>
        </w:numPr>
        <w:spacing w:after="90" w:line="264"/>
      </w:pPr>
      <w:r>
        <w:rPr>
          <w:color w:val="1A1A1A"/>
          <w:sz w:val="21"/>
          <w:szCs w:val="21"/>
        </w:rPr>
        <w:t xml:space="preserve">Phone-number-based signup with OTP via Termii — the phone number is the primary identifier, not email.</w:t>
      </w:r>
    </w:p>
    <w:p>
      <w:pPr>
        <w:pStyle w:val="ListParagraph"/>
        <w:numPr>
          <w:ilvl w:val="0"/>
          <w:numId w:val="2"/>
        </w:numPr>
        <w:spacing w:after="90" w:line="264"/>
      </w:pPr>
      <w:r>
        <w:rPr>
          <w:color w:val="1A1A1A"/>
          <w:sz w:val="21"/>
          <w:szCs w:val="21"/>
        </w:rPr>
        <w:t xml:space="preserve">Optional NIN (National Identification Number) verification for stronger KYC, required before institutional/HMO enrolment and before Health Wallet funding above a low threshold.</w:t>
      </w:r>
    </w:p>
    <w:p>
      <w:pPr>
        <w:pStyle w:val="ListParagraph"/>
        <w:numPr>
          <w:ilvl w:val="0"/>
          <w:numId w:val="2"/>
        </w:numPr>
        <w:spacing w:after="90" w:line="264"/>
      </w:pPr>
      <w:r>
        <w:rPr>
          <w:color w:val="1A1A1A"/>
          <w:sz w:val="21"/>
          <w:szCs w:val="21"/>
        </w:rPr>
        <w:t xml:space="preserve">Individual enrolment only — no household/family account. A guardian adds dependants (5.16) after their own account exists.</w:t>
      </w:r>
    </w:p>
    <w:p>
      <w:pPr>
        <w:pStyle w:val="ListParagraph"/>
        <w:numPr>
          <w:ilvl w:val="0"/>
          <w:numId w:val="2"/>
        </w:numPr>
        <w:spacing w:after="90" w:line="264"/>
      </w:pPr>
      <w:r>
        <w:rPr>
          <w:color w:val="1A1A1A"/>
          <w:sz w:val="21"/>
          <w:szCs w:val="21"/>
        </w:rPr>
        <w:t xml:space="preserve">Granular, revocable consent capture at signup: data processing (required, lawful-basis-linked), marketing communications (opt-in), research data use (opt-in, separate from clinical care) — each stored with a timestamp and version of the policy text shown.</w:t>
      </w:r>
    </w:p>
    <w:p>
      <w:pPr>
        <w:pStyle w:val="ListParagraph"/>
        <w:numPr>
          <w:ilvl w:val="0"/>
          <w:numId w:val="2"/>
        </w:numPr>
        <w:spacing w:after="90" w:line="264"/>
      </w:pPr>
      <w:r>
        <w:rPr>
          <w:color w:val="1A1A1A"/>
          <w:sz w:val="21"/>
          <w:szCs w:val="21"/>
        </w:rPr>
        <w:t xml:space="preserve">Free tier is the default account state; Control (paid) is an upgrade, never a forced first step.</w:t>
      </w:r>
    </w:p>
    <w:p>
      <w:pPr>
        <w:pStyle w:val="ListParagraph"/>
        <w:numPr>
          <w:ilvl w:val="0"/>
          <w:numId w:val="2"/>
        </w:numPr>
        <w:spacing w:after="90" w:line="264"/>
      </w:pPr>
      <w:r>
        <w:rPr>
          <w:color w:val="1A1A1A"/>
          <w:sz w:val="21"/>
          <w:szCs w:val="21"/>
        </w:rPr>
        <w:t xml:space="preserve">Basic profile: date of birth, sex, state/LGA of residence (for facility matching and regional reporting), preferred language.</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individual enrolment only, under-18s as dependants, family billing removed — do not build a household/family plan.</w:t>
      </w:r>
    </w:p>
    <w:p>
      <w:pPr>
        <w:pStyle w:val="Heading2"/>
        <w:spacing w:after="140" w:before="320"/>
      </w:pPr>
      <w:r>
        <w:rPr>
          <w:b/>
          <w:bCs/>
          <w:color w:val="1A1A1A"/>
          <w:sz w:val="25"/>
          <w:szCs w:val="25"/>
        </w:rPr>
        <w:t xml:space="preserve">5.2 Risk Stratification &amp; Screening Engine</w:t>
      </w:r>
    </w:p>
    <w:p>
      <w:pPr>
        <w:spacing w:after="120" w:line="276"/>
      </w:pPr>
      <w:r>
        <w:rPr>
          <w:b/>
          <w:bCs/>
          <w:color w:val="1A1A1A"/>
          <w:sz w:val="21"/>
          <w:szCs w:val="21"/>
        </w:rPr>
        <w:t xml:space="preserve">Purpose: </w:t>
      </w:r>
      <w:r>
        <w:rPr>
          <w:color w:val="1A1A1A"/>
          <w:sz w:val="21"/>
          <w:szCs w:val="21"/>
        </w:rPr>
        <w:t xml:space="preserve">turn a short questionnaire into a personalised, age- and sex-appropriate preventive care calendar — the product's entry point for a healthy or undiagnosed user, distinct from the chronic pathways in 5.3 which are for a user already managing a diagnosed condition.</w:t>
      </w:r>
    </w:p>
    <w:p>
      <w:pPr>
        <w:pStyle w:val="ListParagraph"/>
        <w:numPr>
          <w:ilvl w:val="0"/>
          <w:numId w:val="2"/>
        </w:numPr>
        <w:spacing w:after="90" w:line="264"/>
      </w:pPr>
      <w:r>
        <w:rPr>
          <w:color w:val="1A1A1A"/>
          <w:sz w:val="21"/>
          <w:szCs w:val="21"/>
        </w:rPr>
        <w:t xml:space="preserve">Initial risk questionnaire: lifestyle, family history, existing conditions, current medications — produces a computed risk tier.</w:t>
      </w:r>
    </w:p>
    <w:p>
      <w:pPr>
        <w:pStyle w:val="ListParagraph"/>
        <w:numPr>
          <w:ilvl w:val="0"/>
          <w:numId w:val="2"/>
        </w:numPr>
        <w:spacing w:after="90" w:line="264"/>
      </w:pPr>
      <w:r>
        <w:rPr>
          <w:color w:val="1A1A1A"/>
          <w:sz w:val="21"/>
          <w:szCs w:val="21"/>
        </w:rPr>
        <w:t xml:space="preserve">Three screening packages: Essential, Preventive, Full Screen. Essential includes blood-borne virus screening (HIV, HBsAg, anti-HCV, repeated yearly), thyroid function, full blood count, liver function, kidney function, and mental health screening. HPV DNA is sold standalone, not bundled. Full Screen includes a 20-minute video consultation rather than an in-person visit.</w:t>
      </w:r>
    </w:p>
    <w:p>
      <w:pPr>
        <w:pStyle w:val="ListParagraph"/>
        <w:numPr>
          <w:ilvl w:val="0"/>
          <w:numId w:val="2"/>
        </w:numPr>
        <w:spacing w:after="90" w:line="264"/>
      </w:pPr>
      <w:r>
        <w:rPr>
          <w:color w:val="1A1A1A"/>
          <w:sz w:val="21"/>
          <w:szCs w:val="21"/>
        </w:rPr>
        <w:t xml:space="preserve">Pathway suppression logic: before recommending a test, the engine checks whether an active chronic pathway (5.3) already owns that order, and credits the price accordingly rather than duplicating it.</w:t>
      </w:r>
    </w:p>
    <w:p>
      <w:pPr>
        <w:pStyle w:val="ListParagraph"/>
        <w:numPr>
          <w:ilvl w:val="0"/>
          <w:numId w:val="2"/>
        </w:numPr>
        <w:spacing w:after="90" w:line="264"/>
      </w:pPr>
      <w:r>
        <w:rPr>
          <w:color w:val="1A1A1A"/>
          <w:sz w:val="21"/>
          <w:szCs w:val="21"/>
        </w:rPr>
        <w:t xml:space="preserve">Hepatitis B immunity logic: once anti-HBs confirms immunity, annual HBsAg screening stops for that user for life; HIV and HCV screening remain annual regardless.</w:t>
      </w:r>
    </w:p>
    <w:p>
      <w:pPr>
        <w:pStyle w:val="ListParagraph"/>
        <w:numPr>
          <w:ilvl w:val="0"/>
          <w:numId w:val="2"/>
        </w:numPr>
        <w:spacing w:after="90" w:line="264"/>
      </w:pPr>
      <w:r>
        <w:rPr>
          <w:color w:val="1A1A1A"/>
          <w:sz w:val="21"/>
          <w:szCs w:val="21"/>
        </w:rPr>
        <w:t xml:space="preserve">Output: a personalised preventive-care calendar with due dates, feeding the five-rail reminder engine (5.13).</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clinical breast examination is not offered (no delivery partner can provide it) — do not include it in any package.</w:t>
      </w:r>
    </w:p>
    <w:p>
      <w:pPr>
        <w:pStyle w:val="Heading2"/>
        <w:spacing w:after="140" w:before="320"/>
      </w:pPr>
      <w:r>
        <w:rPr>
          <w:b/>
          <w:bCs/>
          <w:color w:val="1A1A1A"/>
          <w:sz w:val="25"/>
          <w:szCs w:val="25"/>
        </w:rPr>
        <w:t xml:space="preserve">5.3 Chronic Disease Management Pathways</w:t>
      </w:r>
    </w:p>
    <w:p>
      <w:pPr>
        <w:spacing w:after="120" w:line="276"/>
      </w:pPr>
      <w:r>
        <w:rPr>
          <w:b/>
          <w:bCs/>
          <w:color w:val="1A1A1A"/>
          <w:sz w:val="21"/>
          <w:szCs w:val="21"/>
        </w:rPr>
        <w:t xml:space="preserve">Purpose: </w:t>
      </w:r>
      <w:r>
        <w:rPr>
          <w:color w:val="1A1A1A"/>
          <w:sz w:val="21"/>
          <w:szCs w:val="21"/>
        </w:rPr>
        <w:t xml:space="preserve">the core retention product: continuous, protocolised management of a diagnosed chronic condition between visits, starting with hypertension.</w:t>
      </w:r>
    </w:p>
    <w:p>
      <w:pPr>
        <w:pStyle w:val="ListParagraph"/>
        <w:numPr>
          <w:ilvl w:val="0"/>
          <w:numId w:val="2"/>
        </w:numPr>
        <w:spacing w:after="90" w:line="264"/>
      </w:pPr>
      <w:r>
        <w:rPr>
          <w:color w:val="1A1A1A"/>
          <w:sz w:val="21"/>
          <w:szCs w:val="21"/>
        </w:rPr>
        <w:t xml:space="preserve">Protocol: WHO HEARTS, aligned to Nigeria's National Hypertension Control Initiative. Every pathway added later (diabetes, CKD, asthma) follows an existing named guideline the same way.</w:t>
      </w:r>
    </w:p>
    <w:p>
      <w:pPr>
        <w:pStyle w:val="ListParagraph"/>
        <w:numPr>
          <w:ilvl w:val="0"/>
          <w:numId w:val="2"/>
        </w:numPr>
        <w:spacing w:after="90" w:line="264"/>
      </w:pPr>
      <w:r>
        <w:rPr>
          <w:color w:val="1A1A1A"/>
          <w:sz w:val="21"/>
          <w:szCs w:val="21"/>
        </w:rPr>
        <w:t xml:space="preserve">Pathway state machine: Detect → Baseline / confirm diagnosis → First-line generic therapy → Home monitoring → Review / titration → Stable / maintenance, with an explicit, published Refer-out branch the moment a case leaves the protocol (e.g. resistant hypertension, hypertensive emergency signs, pregnancy).</w:t>
      </w:r>
    </w:p>
    <w:p>
      <w:pPr>
        <w:pStyle w:val="ListParagraph"/>
        <w:numPr>
          <w:ilvl w:val="0"/>
          <w:numId w:val="2"/>
        </w:numPr>
        <w:spacing w:after="90" w:line="264"/>
      </w:pPr>
      <w:r>
        <w:rPr>
          <w:color w:val="1A1A1A"/>
          <w:sz w:val="21"/>
          <w:szCs w:val="21"/>
        </w:rPr>
        <w:t xml:space="preserve">Home monitoring: readings from the Bluetooth wearable or a manually entered third-party BP cuff/glucometer feed a longitudinal chart visible to both patient and care team.</w:t>
      </w:r>
    </w:p>
    <w:p>
      <w:pPr>
        <w:pStyle w:val="ListParagraph"/>
        <w:numPr>
          <w:ilvl w:val="0"/>
          <w:numId w:val="2"/>
        </w:numPr>
        <w:spacing w:after="90" w:line="264"/>
      </w:pPr>
      <w:r>
        <w:rPr>
          <w:color w:val="1A1A1A"/>
          <w:sz w:val="21"/>
          <w:szCs w:val="21"/>
        </w:rPr>
        <w:t xml:space="preserve">Adherence tracking: medication reminders with dose-confirmation taps; a missed-dose or check-in "silence" score feeds triage prioritisation (5.4) so a quiet patient gets proactive outreach rather than being forgotten.</w:t>
      </w:r>
    </w:p>
    <w:p>
      <w:pPr>
        <w:pStyle w:val="ListParagraph"/>
        <w:numPr>
          <w:ilvl w:val="0"/>
          <w:numId w:val="2"/>
        </w:numPr>
        <w:spacing w:after="90" w:line="264"/>
      </w:pPr>
      <w:r>
        <w:rPr>
          <w:color w:val="1A1A1A"/>
          <w:sz w:val="21"/>
          <w:szCs w:val="21"/>
        </w:rPr>
        <w:t xml:space="preserve">Titration proposals: Claude drafts a suggested dose adjustment from the protocol and the reading trend; a licensed doctor must review, edit if needed, and digitally sign before anything reaches the patient or the record (5.6).</w:t>
      </w:r>
    </w:p>
    <w:p>
      <w:pPr>
        <w:pStyle w:val="ListParagraph"/>
        <w:numPr>
          <w:ilvl w:val="0"/>
          <w:numId w:val="2"/>
        </w:numPr>
        <w:spacing w:after="90" w:line="264"/>
      </w:pPr>
      <w:r>
        <w:rPr>
          <w:color w:val="1A1A1A"/>
          <w:sz w:val="21"/>
          <w:szCs w:val="21"/>
        </w:rPr>
        <w:t xml:space="preserve">Condition-specific check reminders layered on top of the pathway (e.g. a diabetic eye exam or foot check due date) — screening does not replace these, and these do not replace screening.</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every clinical judgment is made by a doctor; never quote a doctor-to-patient ratio anywhere in the product or its marketing; refer to "your care team", never a single continuously assigned "your doctor".</w:t>
      </w:r>
    </w:p>
    <w:p>
      <w:pPr>
        <w:pStyle w:val="Heading2"/>
        <w:spacing w:after="140" w:before="320"/>
      </w:pPr>
      <w:r>
        <w:rPr>
          <w:b/>
          <w:bCs/>
          <w:color w:val="1A1A1A"/>
          <w:sz w:val="25"/>
          <w:szCs w:val="25"/>
        </w:rPr>
        <w:t xml:space="preserve">5.4 AI Triage &amp; Care Coach</w:t>
      </w:r>
    </w:p>
    <w:p>
      <w:pPr>
        <w:spacing w:after="120" w:line="276"/>
      </w:pPr>
      <w:r>
        <w:rPr>
          <w:b/>
          <w:bCs/>
          <w:color w:val="1A1A1A"/>
          <w:sz w:val="21"/>
          <w:szCs w:val="21"/>
        </w:rPr>
        <w:t xml:space="preserve">Purpose: </w:t>
      </w:r>
      <w:r>
        <w:rPr>
          <w:color w:val="1A1A1A"/>
          <w:sz w:val="21"/>
          <w:szCs w:val="21"/>
        </w:rPr>
        <w:t xml:space="preserve">the patient's first-line conversational interface for symptom questions, medication queries and general health education — a triage and drafting layer, never the final clinical authority.</w:t>
      </w:r>
    </w:p>
    <w:p>
      <w:pPr>
        <w:pStyle w:val="ListParagraph"/>
        <w:numPr>
          <w:ilvl w:val="0"/>
          <w:numId w:val="2"/>
        </w:numPr>
        <w:spacing w:after="90" w:line="264"/>
      </w:pPr>
      <w:r>
        <w:rPr>
          <w:color w:val="1A1A1A"/>
          <w:sz w:val="21"/>
          <w:szCs w:val="21"/>
        </w:rPr>
        <w:t xml:space="preserve">Conversational AI (Claude API) handles symptom intake, general health education, and medication questions, in English and Pidgin at minimum.</w:t>
      </w:r>
    </w:p>
    <w:p>
      <w:pPr>
        <w:pStyle w:val="ListParagraph"/>
        <w:numPr>
          <w:ilvl w:val="0"/>
          <w:numId w:val="2"/>
        </w:numPr>
        <w:spacing w:after="90" w:line="264"/>
      </w:pPr>
      <w:r>
        <w:rPr>
          <w:color w:val="1A1A1A"/>
          <w:sz w:val="21"/>
          <w:szCs w:val="21"/>
        </w:rPr>
        <w:t xml:space="preserve">Red-flag/symptom detection routes urgent cases to an immediate human clinician review queue, with clear, direct guidance to seek emergency care where appropriate — the AI never withholds an emergency-care recommendation while waiting for human review.</w:t>
      </w:r>
    </w:p>
    <w:p>
      <w:pPr>
        <w:pStyle w:val="ListParagraph"/>
        <w:numPr>
          <w:ilvl w:val="0"/>
          <w:numId w:val="2"/>
        </w:numPr>
        <w:spacing w:after="90" w:line="264"/>
      </w:pPr>
      <w:r>
        <w:rPr>
          <w:color w:val="1A1A1A"/>
          <w:sz w:val="21"/>
          <w:szCs w:val="21"/>
        </w:rPr>
        <w:t xml:space="preserve">Every AI output that could be read as a diagnosis, a prescription, or a clinical instruction is held as a draft until a doctor signs it (5.6); the AI may deliver general education and logistics ("your next screening is due") directly.</w:t>
      </w:r>
    </w:p>
    <w:p>
      <w:pPr>
        <w:pStyle w:val="ListParagraph"/>
        <w:numPr>
          <w:ilvl w:val="0"/>
          <w:numId w:val="2"/>
        </w:numPr>
        <w:spacing w:after="90" w:line="264"/>
      </w:pPr>
      <w:r>
        <w:rPr>
          <w:color w:val="1A1A1A"/>
          <w:sz w:val="21"/>
          <w:szCs w:val="21"/>
        </w:rPr>
        <w:t xml:space="preserve">The silence/adherence score from 5.3 feeds this layer's prioritisation so the care team, not just the patient, is prompted to reach out.</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never represent any AI output as regulator-approved or as a doctor's independent judgment before it has been signed.</w:t>
      </w:r>
    </w:p>
    <w:p>
      <w:pPr>
        <w:pStyle w:val="Heading2"/>
        <w:spacing w:after="140" w:before="320"/>
      </w:pPr>
      <w:r>
        <w:rPr>
          <w:b/>
          <w:bCs/>
          <w:color w:val="1A1A1A"/>
          <w:sz w:val="25"/>
          <w:szCs w:val="25"/>
        </w:rPr>
        <w:t xml:space="preserve">5.5 Digital Health Passport &amp; Vaccination Registry</w:t>
      </w:r>
    </w:p>
    <w:p>
      <w:pPr>
        <w:spacing w:after="120" w:line="276"/>
      </w:pPr>
      <w:r>
        <w:rPr>
          <w:b/>
          <w:bCs/>
          <w:color w:val="1A1A1A"/>
          <w:sz w:val="21"/>
          <w:szCs w:val="21"/>
        </w:rPr>
        <w:t xml:space="preserve">Purpose: </w:t>
      </w:r>
      <w:r>
        <w:rPr>
          <w:color w:val="1A1A1A"/>
          <w:sz w:val="21"/>
          <w:szCs w:val="21"/>
        </w:rPr>
        <w:t xml:space="preserve">a patient-controlled, portable longitudinal health record usable at any physical facility in a country where patients frequently see multiple, disconnected providers.</w:t>
      </w:r>
    </w:p>
    <w:p>
      <w:pPr>
        <w:pStyle w:val="ListParagraph"/>
        <w:numPr>
          <w:ilvl w:val="0"/>
          <w:numId w:val="2"/>
        </w:numPr>
        <w:spacing w:after="90" w:line="264"/>
      </w:pPr>
      <w:r>
        <w:rPr>
          <w:color w:val="1A1A1A"/>
          <w:sz w:val="21"/>
          <w:szCs w:val="21"/>
        </w:rPr>
        <w:t xml:space="preserve">Structured record: conditions, medications, allergies, past results, vaccination history, screening history.</w:t>
      </w:r>
    </w:p>
    <w:p>
      <w:pPr>
        <w:pStyle w:val="ListParagraph"/>
        <w:numPr>
          <w:ilvl w:val="0"/>
          <w:numId w:val="2"/>
        </w:numPr>
        <w:spacing w:after="90" w:line="264"/>
      </w:pPr>
      <w:r>
        <w:rPr>
          <w:color w:val="1A1A1A"/>
          <w:sz w:val="21"/>
          <w:szCs w:val="21"/>
        </w:rPr>
        <w:t xml:space="preserve">Shareable summary as a QR code and a PDF export, for use at a facility with no system integration to Tarragon at all.</w:t>
      </w:r>
    </w:p>
    <w:p>
      <w:pPr>
        <w:pStyle w:val="ListParagraph"/>
        <w:numPr>
          <w:ilvl w:val="0"/>
          <w:numId w:val="2"/>
        </w:numPr>
        <w:spacing w:after="90" w:line="264"/>
      </w:pPr>
      <w:r>
        <w:rPr>
          <w:color w:val="1A1A1A"/>
          <w:sz w:val="21"/>
          <w:szCs w:val="21"/>
        </w:rPr>
        <w:t xml:space="preserve">Vaccination registry covering the standard Nigerian childhood immunisation schedule plus adult vaccines (HPV, Hepatitis B, tetanus boosters, travel vaccines), with a due-date engine feeding reminders — included free in every account tier, including the free tier.</w:t>
      </w:r>
    </w:p>
    <w:p>
      <w:pPr>
        <w:pStyle w:val="ListParagraph"/>
        <w:numPr>
          <w:ilvl w:val="0"/>
          <w:numId w:val="2"/>
        </w:numPr>
        <w:spacing w:after="90" w:line="264"/>
      </w:pPr>
      <w:r>
        <w:rPr>
          <w:color w:val="1A1A1A"/>
          <w:sz w:val="21"/>
          <w:szCs w:val="21"/>
        </w:rPr>
        <w:t xml:space="preserve">Vaccination itself is administered at any nearby primary care centre; Tarragon stores the record and reminds, it is not a vaccination provider.</w:t>
      </w:r>
    </w:p>
    <w:p>
      <w:pPr>
        <w:pBdr>
          <w:left w:val="single" w:color="2F6F4F" w:sz="18" w:space="8"/>
        </w:pBdr>
        <w:spacing w:after="200" w:before="120" w:line="264"/>
        <w:ind w:left="200"/>
      </w:pPr>
      <w:r>
        <w:rPr>
          <w:b/>
          <w:bCs/>
          <w:color w:val="2F6F4F"/>
          <w:sz w:val="20"/>
          <w:szCs w:val="20"/>
        </w:rPr>
        <w:t xml:space="preserve">Standing rule — build this gate explicitly:  </w:t>
      </w:r>
      <w:r>
        <w:rPr>
          <w:i/>
          <w:iCs/>
          <w:color w:val="5B6B63"/>
          <w:sz w:val="20"/>
          <w:szCs w:val="20"/>
        </w:rPr>
        <w:t xml:space="preserve">the record must not be marketed or labelled as "doctor-verified" until the second clinical/administrative staff hire closes the attestation-governance gap. Put the attestation workflow (a second qualified reviewer counter-signs an entry before it can carry a "verified" badge) behind a config flag the Head of Product (2.2) controls, so the UI copy changes the moment, and only the moment, that gap closes.</w:t>
      </w:r>
    </w:p>
    <w:p>
      <w:pPr>
        <w:pStyle w:val="Heading2"/>
        <w:spacing w:after="140" w:before="320"/>
      </w:pPr>
      <w:r>
        <w:rPr>
          <w:b/>
          <w:bCs/>
          <w:color w:val="1A1A1A"/>
          <w:sz w:val="25"/>
          <w:szCs w:val="25"/>
        </w:rPr>
        <w:t xml:space="preserve">5.6 Care Team / Clinician Web Console</w:t>
      </w:r>
    </w:p>
    <w:p>
      <w:pPr>
        <w:spacing w:after="120" w:line="276"/>
      </w:pPr>
      <w:r>
        <w:rPr>
          <w:b/>
          <w:bCs/>
          <w:color w:val="1A1A1A"/>
          <w:sz w:val="21"/>
          <w:szCs w:val="21"/>
        </w:rPr>
        <w:t xml:space="preserve">Purpose: </w:t>
      </w:r>
      <w:r>
        <w:rPr>
          <w:color w:val="1A1A1A"/>
          <w:sz w:val="21"/>
          <w:szCs w:val="21"/>
        </w:rPr>
        <w:t xml:space="preserve">the working tool for every employed or contracted doctor — this is where AI drafts become clinical actions.</w:t>
      </w:r>
    </w:p>
    <w:p>
      <w:pPr>
        <w:pStyle w:val="ListParagraph"/>
        <w:numPr>
          <w:ilvl w:val="0"/>
          <w:numId w:val="2"/>
        </w:numPr>
        <w:spacing w:after="90" w:line="264"/>
      </w:pPr>
      <w:r>
        <w:rPr>
          <w:color w:val="1A1A1A"/>
          <w:sz w:val="21"/>
          <w:szCs w:val="21"/>
        </w:rPr>
        <w:t xml:space="preserve">Risk-sorted patient panel view, with silence/adherence flags surfaced first.</w:t>
      </w:r>
    </w:p>
    <w:p>
      <w:pPr>
        <w:pStyle w:val="ListParagraph"/>
        <w:numPr>
          <w:ilvl w:val="0"/>
          <w:numId w:val="2"/>
        </w:numPr>
        <w:spacing w:after="90" w:line="264"/>
      </w:pPr>
      <w:r>
        <w:rPr>
          <w:color w:val="1A1A1A"/>
          <w:sz w:val="21"/>
          <w:szCs w:val="21"/>
        </w:rPr>
        <w:t xml:space="preserve">Chart review: vitals trends, screening due-list, current pathway stage, medication list.</w:t>
      </w:r>
    </w:p>
    <w:p>
      <w:pPr>
        <w:pStyle w:val="ListParagraph"/>
        <w:numPr>
          <w:ilvl w:val="0"/>
          <w:numId w:val="2"/>
        </w:numPr>
        <w:spacing w:after="90" w:line="264"/>
      </w:pPr>
      <w:r>
        <w:rPr>
          <w:color w:val="1A1A1A"/>
          <w:sz w:val="21"/>
          <w:szCs w:val="21"/>
        </w:rPr>
        <w:t xml:space="preserve">Draft review &amp; sign: every AI-drafted message, titration proposal and health-passport attestation appears in a queue for one-click approve, edit-then-approve, or reject — each signed action is cryptographically bound to the clinician's identity and MDCN licence number.</w:t>
      </w:r>
    </w:p>
    <w:p>
      <w:pPr>
        <w:pStyle w:val="ListParagraph"/>
        <w:numPr>
          <w:ilvl w:val="0"/>
          <w:numId w:val="2"/>
        </w:numPr>
        <w:spacing w:after="90" w:line="264"/>
      </w:pPr>
      <w:r>
        <w:rPr>
          <w:color w:val="1A1A1A"/>
          <w:sz w:val="21"/>
          <w:szCs w:val="21"/>
        </w:rPr>
        <w:t xml:space="preserve">Secure in-app messaging with the patient — this, not WhatsApp or SMS, is the only clinical conversation channel (see 5.13).</w:t>
      </w:r>
    </w:p>
    <w:p>
      <w:pPr>
        <w:pStyle w:val="ListParagraph"/>
        <w:numPr>
          <w:ilvl w:val="0"/>
          <w:numId w:val="2"/>
        </w:numPr>
        <w:spacing w:after="90" w:line="264"/>
      </w:pPr>
      <w:r>
        <w:rPr>
          <w:color w:val="1A1A1A"/>
          <w:sz w:val="21"/>
          <w:szCs w:val="21"/>
        </w:rPr>
        <w:t xml:space="preserve">An escalation queue that surfaces red-flag/urgent cases ahead of routine ones, with a service-level target Clinical Operations (2.2) can monitor.</w:t>
      </w:r>
    </w:p>
    <w:p>
      <w:pPr>
        <w:pStyle w:val="ListParagraph"/>
        <w:numPr>
          <w:ilvl w:val="0"/>
          <w:numId w:val="2"/>
        </w:numPr>
        <w:spacing w:after="90" w:line="264"/>
      </w:pPr>
      <w:r>
        <w:rPr>
          <w:color w:val="1A1A1A"/>
          <w:sz w:val="21"/>
          <w:szCs w:val="21"/>
        </w:rPr>
        <w:t xml:space="preserve">A roster/shift view for Clinical Operations to balance doctor coverage against panel size, without that ratio ever being published externally.</w:t>
      </w:r>
    </w:p>
    <w:p>
      <w:pPr>
        <w:pStyle w:val="ListParagraph"/>
        <w:numPr>
          <w:ilvl w:val="0"/>
          <w:numId w:val="2"/>
        </w:numPr>
        <w:spacing w:after="90" w:line="264"/>
      </w:pPr>
      <w:r>
        <w:rPr>
          <w:color w:val="1A1A1A"/>
          <w:sz w:val="21"/>
          <w:szCs w:val="21"/>
        </w:rPr>
        <w:t xml:space="preserve">A full, immutable audit trail of every clinical action (who, when, protocol version, what was signed) for Clinical Quality, Safety and Audit.</w:t>
      </w:r>
    </w:p>
    <w:p>
      <w:pPr>
        <w:pStyle w:val="Heading2"/>
        <w:spacing w:after="140" w:before="320"/>
      </w:pPr>
      <w:r>
        <w:rPr>
          <w:b/>
          <w:bCs/>
          <w:color w:val="1A1A1A"/>
          <w:sz w:val="25"/>
          <w:szCs w:val="25"/>
        </w:rPr>
        <w:t xml:space="preserve">5.7 Institutional Console (HMO / Employer / State)</w:t>
      </w:r>
    </w:p>
    <w:p>
      <w:pPr>
        <w:spacing w:after="120" w:line="276"/>
      </w:pPr>
      <w:r>
        <w:rPr>
          <w:b/>
          <w:bCs/>
          <w:color w:val="1A1A1A"/>
          <w:sz w:val="21"/>
          <w:szCs w:val="21"/>
        </w:rPr>
        <w:t xml:space="preserve">Purpose: </w:t>
      </w:r>
      <w:r>
        <w:rPr>
          <w:color w:val="1A1A1A"/>
          <w:sz w:val="21"/>
          <w:szCs w:val="21"/>
        </w:rPr>
        <w:t xml:space="preserve">the interface for the "Control" SKU's actual buyer — an HMO, employer or state government paying per covered life — and the primary path to the margin the roadmap depends on.</w:t>
      </w:r>
    </w:p>
    <w:p>
      <w:pPr>
        <w:pStyle w:val="ListParagraph"/>
        <w:numPr>
          <w:ilvl w:val="0"/>
          <w:numId w:val="2"/>
        </w:numPr>
        <w:spacing w:after="90" w:line="264"/>
      </w:pPr>
      <w:r>
        <w:rPr>
          <w:color w:val="1A1A1A"/>
          <w:sz w:val="21"/>
          <w:szCs w:val="21"/>
        </w:rPr>
        <w:t xml:space="preserve">Covered-lives management: bulk enrolment/upload of eligible members, active/inactive status changes, per-covered-life billing basis.</w:t>
      </w:r>
    </w:p>
    <w:p>
      <w:pPr>
        <w:pStyle w:val="ListParagraph"/>
        <w:numPr>
          <w:ilvl w:val="0"/>
          <w:numId w:val="2"/>
        </w:numPr>
        <w:spacing w:after="90" w:line="264"/>
      </w:pPr>
      <w:r>
        <w:rPr>
          <w:color w:val="1A1A1A"/>
          <w:sz w:val="21"/>
          <w:szCs w:val="21"/>
        </w:rPr>
        <w:t xml:space="preserve">Population health reporting: risk-tier distribution, screening completion rates, chronic-pathway control rates (e.g. percentage of hypertensive members at target blood pressure) — aggregated and statistical only, with minimum cell-size suppression (no reported cell smaller than ten members) so no combination of filters can re-identify an individual.</w:t>
      </w:r>
    </w:p>
    <w:p>
      <w:pPr>
        <w:pStyle w:val="ListParagraph"/>
        <w:numPr>
          <w:ilvl w:val="0"/>
          <w:numId w:val="2"/>
        </w:numPr>
        <w:spacing w:after="90" w:line="264"/>
      </w:pPr>
      <w:r>
        <w:rPr>
          <w:color w:val="1A1A1A"/>
          <w:sz w:val="21"/>
          <w:szCs w:val="21"/>
        </w:rPr>
        <w:t xml:space="preserve">Invoicing view reconciled with Finance (2.2), tied to the per-covered-life billing model.</w:t>
      </w:r>
    </w:p>
    <w:p>
      <w:pPr>
        <w:pStyle w:val="ListParagraph"/>
        <w:numPr>
          <w:ilvl w:val="0"/>
          <w:numId w:val="2"/>
        </w:numPr>
        <w:spacing w:after="90" w:line="264"/>
      </w:pPr>
      <w:r>
        <w:rPr>
          <w:color w:val="1A1A1A"/>
          <w:sz w:val="21"/>
          <w:szCs w:val="21"/>
        </w:rPr>
        <w:t xml:space="preserve">No capitation mechanics anywhere in this console or its billing logic — pricing is a flat per-covered-life subscription fee, never a shared-risk arrangement.</w:t>
      </w:r>
    </w:p>
    <w:p>
      <w:pPr>
        <w:pBdr>
          <w:left w:val="single" w:color="2F6F4F" w:sz="18" w:space="8"/>
        </w:pBdr>
        <w:spacing w:after="200" w:before="120" w:line="264"/>
        <w:ind w:left="200"/>
      </w:pPr>
      <w:r>
        <w:rPr>
          <w:b/>
          <w:bCs/>
          <w:color w:val="2F6F4F"/>
          <w:sz w:val="20"/>
          <w:szCs w:val="20"/>
        </w:rPr>
        <w:t xml:space="preserve">Standing rule, architectural not just contractual:  </w:t>
      </w:r>
      <w:r>
        <w:rPr>
          <w:i/>
          <w:iCs/>
          <w:color w:val="5B6B63"/>
          <w:sz w:val="20"/>
          <w:szCs w:val="20"/>
        </w:rPr>
        <w:t xml:space="preserve">institutions get aggregate-only patient access, ever. This must be enforced by database-level row-level security and separate aggregation views (Section 6), not by simply not building a "view individual patient" button in this console's UI.</w:t>
      </w:r>
    </w:p>
    <w:p>
      <w:pPr>
        <w:pStyle w:val="Heading2"/>
        <w:spacing w:after="140" w:before="320"/>
      </w:pPr>
      <w:r>
        <w:rPr>
          <w:b/>
          <w:bCs/>
          <w:color w:val="1A1A1A"/>
          <w:sz w:val="25"/>
          <w:szCs w:val="25"/>
        </w:rPr>
        <w:t xml:space="preserve">5.8 Device Integration Layer</w:t>
      </w:r>
    </w:p>
    <w:p>
      <w:pPr>
        <w:spacing w:after="120" w:line="276"/>
      </w:pPr>
      <w:r>
        <w:rPr>
          <w:b/>
          <w:bCs/>
          <w:color w:val="1A1A1A"/>
          <w:sz w:val="21"/>
          <w:szCs w:val="21"/>
        </w:rPr>
        <w:t xml:space="preserve">Purpose: </w:t>
      </w:r>
      <w:r>
        <w:rPr>
          <w:color w:val="1A1A1A"/>
          <w:sz w:val="21"/>
          <w:szCs w:val="21"/>
        </w:rPr>
        <w:t xml:space="preserve">get objective, longitudinal vitals data into the pathway engine (5.3) without Tarragon becoming a hardware manufacturer or retailer at a scale it cannot capitalise.</w:t>
      </w:r>
    </w:p>
    <w:p>
      <w:pPr>
        <w:pStyle w:val="ListParagraph"/>
        <w:numPr>
          <w:ilvl w:val="0"/>
          <w:numId w:val="2"/>
        </w:numPr>
        <w:spacing w:after="90" w:line="264"/>
      </w:pPr>
      <w:r>
        <w:rPr>
          <w:color w:val="1A1A1A"/>
          <w:sz w:val="21"/>
          <w:szCs w:val="21"/>
        </w:rPr>
        <w:t xml:space="preserve">Tarragon-branded wearable band (Preventive tier): sourced from a Chinese OEM partner, sold directly by Tarragon as a shop item, paired via Bluetooth LE through a native Expo module bridge (the OEM SDKs evaluated to date have no native React Native/Expo package). Passive metrics: steps, sleep, heart rate.</w:t>
      </w:r>
    </w:p>
    <w:p>
      <w:pPr>
        <w:pStyle w:val="ListParagraph"/>
        <w:numPr>
          <w:ilvl w:val="0"/>
          <w:numId w:val="2"/>
        </w:numPr>
        <w:spacing w:after="90" w:line="264"/>
      </w:pPr>
      <w:r>
        <w:rPr>
          <w:color w:val="1A1A1A"/>
          <w:sz w:val="21"/>
          <w:szCs w:val="21"/>
        </w:rPr>
        <w:t xml:space="preserve">BP cuff, glucometer and body-composition scale: Tarragon does not stock or sell these. The app instead advises and deep-links to vetted official-distributor channels — Omron via New Heights Pharma for BP monitors, Accu-Chek via ISN Products for glucometers — as an informational referral only, with no commission and no booking on the patient's behalf, consistent with how lab and pharmacy referrals work (5.9, 5.10).</w:t>
      </w:r>
    </w:p>
    <w:p>
      <w:pPr>
        <w:pStyle w:val="ListParagraph"/>
        <w:numPr>
          <w:ilvl w:val="0"/>
          <w:numId w:val="2"/>
        </w:numPr>
        <w:spacing w:after="90" w:line="264"/>
      </w:pPr>
      <w:r>
        <w:rPr>
          <w:color w:val="1A1A1A"/>
          <w:sz w:val="21"/>
          <w:szCs w:val="21"/>
        </w:rPr>
        <w:t xml:space="preserve">Manual entry UI for any reading not captured via Bluetooth, with basic outlier/implausible-value flags before a reading enters the clinical record.</w:t>
      </w:r>
    </w:p>
    <w:p>
      <w:pPr>
        <w:pStyle w:val="ListParagraph"/>
        <w:numPr>
          <w:ilvl w:val="0"/>
          <w:numId w:val="2"/>
        </w:numPr>
        <w:spacing w:after="90" w:line="264"/>
      </w:pPr>
      <w:r>
        <w:rPr>
          <w:color w:val="1A1A1A"/>
          <w:sz w:val="21"/>
          <w:szCs w:val="21"/>
        </w:rPr>
        <w:t xml:space="preserve">Device-pairing and firmware-version tracking in the data model (Section 6), since a bad batch or firmware bug on a Bluetooth device is a clinical-safety issue, not just a product one.</w:t>
      </w:r>
    </w:p>
    <w:p>
      <w:pPr>
        <w:pBdr>
          <w:left w:val="single" w:color="2F6F4F" w:sz="18" w:space="8"/>
        </w:pBdr>
        <w:spacing w:after="200" w:before="120" w:line="264"/>
        <w:ind w:left="200"/>
      </w:pPr>
      <w:r>
        <w:rPr>
          <w:b/>
          <w:bCs/>
          <w:color w:val="2F6F4F"/>
          <w:sz w:val="20"/>
          <w:szCs w:val="20"/>
        </w:rPr>
        <w:t xml:space="preserve">Open decision flagged for the founder — see Section 11.1:  </w:t>
      </w:r>
      <w:r>
        <w:rPr>
          <w:i/>
          <w:iCs/>
          <w:color w:val="5B6B63"/>
          <w:sz w:val="20"/>
          <w:szCs w:val="20"/>
        </w:rPr>
        <w:t xml:space="preserve">the standing operating-model rule states "Tarragon sells no hardware." The most recent recorded decisions (Aug 2026) commit Tarragon to sourcing and selling the wearable band directly while explicitly not selling the BP cuff/glucometer/scale. This document builds against the more recent, more specific decision, but the conflict needs a formal Decision Log entry either confirming the exception for the wearable band or reversing it before engineering commits build time to the device-shop and OEM SDK bridge.</w:t>
      </w:r>
    </w:p>
    <w:p>
      <w:pPr>
        <w:pStyle w:val="Heading2"/>
        <w:spacing w:after="140" w:before="320"/>
      </w:pPr>
      <w:r>
        <w:rPr>
          <w:b/>
          <w:bCs/>
          <w:color w:val="1A1A1A"/>
          <w:sz w:val="25"/>
          <w:szCs w:val="25"/>
        </w:rPr>
        <w:t xml:space="preserve">5.9 Lab Integration</w:t>
      </w:r>
    </w:p>
    <w:p>
      <w:pPr>
        <w:spacing w:after="120" w:line="276"/>
      </w:pPr>
      <w:r>
        <w:rPr>
          <w:b/>
          <w:bCs/>
          <w:color w:val="1A1A1A"/>
          <w:sz w:val="21"/>
          <w:szCs w:val="21"/>
        </w:rPr>
        <w:t xml:space="preserve">Purpose: </w:t>
      </w:r>
      <w:r>
        <w:rPr>
          <w:color w:val="1A1A1A"/>
          <w:sz w:val="21"/>
          <w:szCs w:val="21"/>
        </w:rPr>
        <w:t xml:space="preserve">turn a screening or pathway recommendation into an actual completed lab test, with results flowing back into the Health Passport automatically wherever possible.</w:t>
      </w:r>
    </w:p>
    <w:p>
      <w:pPr>
        <w:pStyle w:val="ListParagraph"/>
        <w:numPr>
          <w:ilvl w:val="0"/>
          <w:numId w:val="2"/>
        </w:numPr>
        <w:spacing w:after="90" w:line="264"/>
      </w:pPr>
      <w:r>
        <w:rPr>
          <w:color w:val="1A1A1A"/>
          <w:sz w:val="21"/>
          <w:szCs w:val="21"/>
        </w:rPr>
        <w:t xml:space="preserve">Partner lab directory, starting with SYNLAB Nigeria, listing test menu, price and turnaround time.</w:t>
      </w:r>
    </w:p>
    <w:p>
      <w:pPr>
        <w:pStyle w:val="ListParagraph"/>
        <w:numPr>
          <w:ilvl w:val="0"/>
          <w:numId w:val="2"/>
        </w:numPr>
        <w:spacing w:after="90" w:line="264"/>
      </w:pPr>
      <w:r>
        <w:rPr>
          <w:color w:val="1A1A1A"/>
          <w:sz w:val="21"/>
          <w:szCs w:val="21"/>
        </w:rPr>
        <w:t xml:space="preserve">Order flow: the app generates a digital and printable lab request/referral slip for whatever is due; the patient pays the lab directly at the point of service.</w:t>
      </w:r>
    </w:p>
    <w:p>
      <w:pPr>
        <w:pStyle w:val="ListParagraph"/>
        <w:numPr>
          <w:ilvl w:val="0"/>
          <w:numId w:val="2"/>
        </w:numPr>
        <w:spacing w:after="90" w:line="264"/>
      </w:pPr>
      <w:r>
        <w:rPr>
          <w:color w:val="1A1A1A"/>
          <w:sz w:val="21"/>
          <w:szCs w:val="21"/>
        </w:rPr>
        <w:t xml:space="preserve">Result ingestion: API/portal integration with partner labs to pull results automatically where available, with manual upload or photo/OCR as a fallback where it is not.</w:t>
      </w:r>
    </w:p>
    <w:p>
      <w:pPr>
        <w:pStyle w:val="ListParagraph"/>
        <w:numPr>
          <w:ilvl w:val="0"/>
          <w:numId w:val="2"/>
        </w:numPr>
        <w:spacing w:after="90" w:line="264"/>
      </w:pPr>
      <w:r>
        <w:rPr>
          <w:color w:val="1A1A1A"/>
          <w:sz w:val="21"/>
          <w:szCs w:val="21"/>
        </w:rPr>
        <w:t xml:space="preserve">Commission accrual: roughly 10% of completed, verified order value accrues to Tarragon as partner-lab commission, reconciled by Finance — this must be invisible in the patient-facing price, which shows only what the lab actually charges.</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the customer-facing label for this flow is "YOU PAY THE LAB", never "book &amp; pay" — Tarragon does not book or bill the lab on the patient's behalf, and takes zero naira directly from the patient for any lab test.</w:t>
      </w:r>
    </w:p>
    <w:p>
      <w:pPr>
        <w:pStyle w:val="Heading2"/>
        <w:spacing w:after="140" w:before="320"/>
      </w:pPr>
      <w:r>
        <w:rPr>
          <w:b/>
          <w:bCs/>
          <w:color w:val="1A1A1A"/>
          <w:sz w:val="25"/>
          <w:szCs w:val="25"/>
        </w:rPr>
        <w:t xml:space="preserve">5.10 Pharmacy &amp; Medication Management</w:t>
      </w:r>
    </w:p>
    <w:p>
      <w:pPr>
        <w:spacing w:after="120" w:line="276"/>
      </w:pPr>
      <w:r>
        <w:rPr>
          <w:b/>
          <w:bCs/>
          <w:color w:val="1A1A1A"/>
          <w:sz w:val="21"/>
          <w:szCs w:val="21"/>
        </w:rPr>
        <w:t xml:space="preserve">Purpose: </w:t>
      </w:r>
      <w:r>
        <w:rPr>
          <w:color w:val="1A1A1A"/>
          <w:sz w:val="21"/>
          <w:szCs w:val="21"/>
        </w:rPr>
        <w:t xml:space="preserve">keep a patient's medication list accurate and remind them to take it, without Tarragon operating a pharmacy or a fulfilment/delivery business.</w:t>
      </w:r>
    </w:p>
    <w:p>
      <w:pPr>
        <w:pStyle w:val="ListParagraph"/>
        <w:numPr>
          <w:ilvl w:val="0"/>
          <w:numId w:val="2"/>
        </w:numPr>
        <w:spacing w:after="90" w:line="264"/>
      </w:pPr>
      <w:r>
        <w:rPr>
          <w:color w:val="1A1A1A"/>
          <w:sz w:val="21"/>
          <w:szCs w:val="21"/>
        </w:rPr>
        <w:t xml:space="preserve">Medication list inside the Health Passport: current medicines, doses, prescriber, start date.</w:t>
      </w:r>
    </w:p>
    <w:p>
      <w:pPr>
        <w:pStyle w:val="ListParagraph"/>
        <w:numPr>
          <w:ilvl w:val="0"/>
          <w:numId w:val="2"/>
        </w:numPr>
        <w:spacing w:after="90" w:line="264"/>
      </w:pPr>
      <w:r>
        <w:rPr>
          <w:color w:val="1A1A1A"/>
          <w:sz w:val="21"/>
          <w:szCs w:val="21"/>
        </w:rPr>
        <w:t xml:space="preserve">Dose-reminder engine via the five-rail comms system (5.13), with confirmation taps feeding the adherence score used in 5.3 and 5.4.</w:t>
      </w:r>
    </w:p>
    <w:p>
      <w:pPr>
        <w:pStyle w:val="ListParagraph"/>
        <w:numPr>
          <w:ilvl w:val="0"/>
          <w:numId w:val="2"/>
        </w:numPr>
        <w:spacing w:after="90" w:line="264"/>
      </w:pPr>
      <w:r>
        <w:rPr>
          <w:color w:val="1A1A1A"/>
          <w:sz w:val="21"/>
          <w:szCs w:val="21"/>
        </w:rPr>
        <w:t xml:space="preserve">No Tarragon-run booking, fulfilment or delivery — the patient fills prescriptions at a pharmacy of their own choosing, consistent with the self-arranged-fulfilment model used for labs.</w:t>
      </w:r>
    </w:p>
    <w:p>
      <w:pPr>
        <w:pStyle w:val="ListParagraph"/>
        <w:numPr>
          <w:ilvl w:val="0"/>
          <w:numId w:val="2"/>
        </w:numPr>
        <w:spacing w:after="90" w:line="264"/>
      </w:pPr>
      <w:r>
        <w:rPr>
          <w:color w:val="1A1A1A"/>
          <w:sz w:val="21"/>
          <w:szCs w:val="21"/>
        </w:rPr>
        <w:t xml:space="preserve">Phase 2 (optional): an informational partner-pharmacy directory to help a patient locate the nearest stockist of a prescribed generic — informational only, no transaction and no commission.</w:t>
      </w:r>
    </w:p>
    <w:p>
      <w:pPr>
        <w:pStyle w:val="Heading2"/>
        <w:spacing w:after="140" w:before="320"/>
      </w:pPr>
      <w:r>
        <w:rPr>
          <w:b/>
          <w:bCs/>
          <w:color w:val="1A1A1A"/>
          <w:sz w:val="25"/>
          <w:szCs w:val="25"/>
        </w:rPr>
        <w:t xml:space="preserve">5.11 Payments &amp; Billing</w:t>
      </w:r>
    </w:p>
    <w:p>
      <w:pPr>
        <w:spacing w:after="120" w:line="276"/>
      </w:pPr>
      <w:r>
        <w:rPr>
          <w:b/>
          <w:bCs/>
          <w:color w:val="1A1A1A"/>
          <w:sz w:val="21"/>
          <w:szCs w:val="21"/>
        </w:rPr>
        <w:t xml:space="preserve">Purpose: </w:t>
      </w:r>
      <w:r>
        <w:rPr>
          <w:color w:val="1A1A1A"/>
          <w:sz w:val="21"/>
          <w:szCs w:val="21"/>
        </w:rPr>
        <w:t xml:space="preserve">collect subscription revenue and institutional invoicing on Nigerian-native rails, with one honest price list.</w:t>
      </w:r>
    </w:p>
    <w:p>
      <w:pPr>
        <w:pStyle w:val="ListParagraph"/>
        <w:numPr>
          <w:ilvl w:val="0"/>
          <w:numId w:val="2"/>
        </w:numPr>
        <w:spacing w:after="90" w:line="264"/>
      </w:pPr>
      <w:r>
        <w:rPr>
          <w:color w:val="1A1A1A"/>
          <w:sz w:val="21"/>
          <w:szCs w:val="21"/>
        </w:rPr>
        <w:t xml:space="preserve">Consumer tiers: Free and Control, priced in naira only, with a derived USD reference figure shown for diaspora payers — never a separate, higher diaspora price.</w:t>
      </w:r>
    </w:p>
    <w:p>
      <w:pPr>
        <w:pStyle w:val="ListParagraph"/>
        <w:numPr>
          <w:ilvl w:val="0"/>
          <w:numId w:val="2"/>
        </w:numPr>
        <w:spacing w:after="90" w:line="264"/>
      </w:pPr>
      <w:r>
        <w:rPr>
          <w:color w:val="1A1A1A"/>
          <w:sz w:val="21"/>
          <w:szCs w:val="21"/>
        </w:rPr>
        <w:t xml:space="preserve">Health Wallet: a patient-held balance funded by card, bank transfer or diaspora-friendly remittance rails, used only to pay Tarragon (subscription, screening package fees) — explicitly not a pass-through for paying labs or pharmacies, which the patient pays directly (5.9, 5.10).</w:t>
      </w:r>
    </w:p>
    <w:p>
      <w:pPr>
        <w:pStyle w:val="ListParagraph"/>
        <w:numPr>
          <w:ilvl w:val="0"/>
          <w:numId w:val="2"/>
        </w:numPr>
        <w:spacing w:after="90" w:line="264"/>
      </w:pPr>
      <w:r>
        <w:rPr>
          <w:color w:val="1A1A1A"/>
          <w:sz w:val="21"/>
          <w:szCs w:val="21"/>
        </w:rPr>
        <w:t xml:space="preserve">Institutional billing: per-covered-life invoicing on a monthly or quarterly cycle, with a reconciliation dashboard for Finance (2.2) and a summary view inside the institutional console (5.7).</w:t>
      </w:r>
    </w:p>
    <w:p>
      <w:pPr>
        <w:pStyle w:val="ListParagraph"/>
        <w:numPr>
          <w:ilvl w:val="0"/>
          <w:numId w:val="2"/>
        </w:numPr>
        <w:spacing w:after="90" w:line="264"/>
      </w:pPr>
      <w:r>
        <w:rPr>
          <w:color w:val="1A1A1A"/>
          <w:sz w:val="21"/>
          <w:szCs w:val="21"/>
        </w:rPr>
        <w:t xml:space="preserve">Payment gateway integration via Paystack and/or Flutterwave for card, bank transfer and Nigerian USSD-based payment methods (distinct from Tarragon's own USSD access channel, 5.14).</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one naira price list with a derived USD rate; no currency-based discrimination; every price shown states its currency; no capitation, ever.</w:t>
      </w:r>
    </w:p>
    <w:p>
      <w:pPr>
        <w:pStyle w:val="Heading2"/>
        <w:spacing w:after="140" w:before="320"/>
      </w:pPr>
      <w:r>
        <w:rPr>
          <w:b/>
          <w:bCs/>
          <w:color w:val="1A1A1A"/>
          <w:sz w:val="25"/>
          <w:szCs w:val="25"/>
        </w:rPr>
        <w:t xml:space="preserve">5.12 Facility Directory &amp; Referral Network</w:t>
      </w:r>
    </w:p>
    <w:p>
      <w:pPr>
        <w:spacing w:after="120" w:line="276"/>
      </w:pPr>
      <w:r>
        <w:rPr>
          <w:b/>
          <w:bCs/>
          <w:color w:val="1A1A1A"/>
          <w:sz w:val="21"/>
          <w:szCs w:val="21"/>
        </w:rPr>
        <w:t xml:space="preserve">Purpose: </w:t>
      </w:r>
      <w:r>
        <w:rPr>
          <w:color w:val="1A1A1A"/>
          <w:sz w:val="21"/>
          <w:szCs w:val="21"/>
        </w:rPr>
        <w:t xml:space="preserve">connect the platform's recommendations to real, physical places a patient can go.</w:t>
      </w:r>
    </w:p>
    <w:p>
      <w:pPr>
        <w:pStyle w:val="ListParagraph"/>
        <w:numPr>
          <w:ilvl w:val="0"/>
          <w:numId w:val="2"/>
        </w:numPr>
        <w:spacing w:after="90" w:line="264"/>
      </w:pPr>
      <w:r>
        <w:rPr>
          <w:color w:val="1A1A1A"/>
          <w:sz w:val="21"/>
          <w:szCs w:val="21"/>
        </w:rPr>
        <w:t xml:space="preserve">Searchable directory of primary care centres (for vaccination administration), referral hospitals (for anything leaving protocol), and partner labs, filterable by state/LGA and service type.</w:t>
      </w:r>
    </w:p>
    <w:p>
      <w:pPr>
        <w:pStyle w:val="ListParagraph"/>
        <w:numPr>
          <w:ilvl w:val="0"/>
          <w:numId w:val="2"/>
        </w:numPr>
        <w:spacing w:after="90" w:line="264"/>
      </w:pPr>
      <w:r>
        <w:rPr>
          <w:color w:val="1A1A1A"/>
          <w:sz w:val="21"/>
          <w:szCs w:val="21"/>
        </w:rPr>
        <w:t xml:space="preserve">Automatic referral-letter generation the moment a pathway triggers a refer-out event (5.3), addressed to a named facility type with the reason for referral pre-filled from the protocol.</w:t>
      </w:r>
    </w:p>
    <w:p>
      <w:pPr>
        <w:pStyle w:val="Heading2"/>
        <w:spacing w:after="140" w:before="320"/>
      </w:pPr>
      <w:r>
        <w:rPr>
          <w:b/>
          <w:bCs/>
          <w:color w:val="1A1A1A"/>
          <w:sz w:val="25"/>
          <w:szCs w:val="25"/>
        </w:rPr>
        <w:t xml:space="preserve">5.13 Notifications — the Five-Rail Comms Engine</w:t>
      </w:r>
    </w:p>
    <w:p>
      <w:pPr>
        <w:spacing w:after="120" w:line="276"/>
      </w:pPr>
      <w:r>
        <w:rPr>
          <w:b/>
          <w:bCs/>
          <w:color w:val="1A1A1A"/>
          <w:sz w:val="21"/>
          <w:szCs w:val="21"/>
        </w:rPr>
        <w:t xml:space="preserve">Purpose: </w:t>
      </w:r>
      <w:r>
        <w:rPr>
          <w:color w:val="1A1A1A"/>
          <w:sz w:val="21"/>
          <w:szCs w:val="21"/>
        </w:rPr>
        <w:t xml:space="preserve">reach a patient reliably regardless of their device, connectivity or app-notification settings, while keeping every clinical conversation inside the one channel that is actually secure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cantSplit/>
          <w:tblHeader/>
        </w:trPr>
        <w:tc>
          <w:tcPr>
            <w:tcW w:type="dxa" w:w="2400"/>
            <w:shd w:fill="EDF3EF" w:val="clear"/>
            <w:tcMar>
              <w:top w:type="dxa" w:w="80"/>
              <w:left w:type="dxa" w:w="100"/>
              <w:bottom w:type="dxa" w:w="80"/>
              <w:right w:type="dxa" w:w="100"/>
            </w:tcMar>
          </w:tcPr>
          <w:p>
            <w:r>
              <w:rPr>
                <w:b/>
                <w:bCs/>
                <w:color w:val="1A1A1A"/>
                <w:sz w:val="19"/>
                <w:szCs w:val="19"/>
              </w:rPr>
              <w:t xml:space="preserve">Rail</w:t>
            </w:r>
          </w:p>
        </w:tc>
        <w:tc>
          <w:tcPr>
            <w:tcW w:type="dxa" w:w="4200"/>
            <w:shd w:fill="EDF3EF" w:val="clear"/>
            <w:tcMar>
              <w:top w:type="dxa" w:w="80"/>
              <w:left w:type="dxa" w:w="100"/>
              <w:bottom w:type="dxa" w:w="80"/>
              <w:right w:type="dxa" w:w="100"/>
            </w:tcMar>
          </w:tcPr>
          <w:p>
            <w:r>
              <w:rPr>
                <w:b/>
                <w:bCs/>
                <w:color w:val="1A1A1A"/>
                <w:sz w:val="19"/>
                <w:szCs w:val="19"/>
              </w:rPr>
              <w:t xml:space="preserve">Carries</w:t>
            </w:r>
          </w:p>
        </w:tc>
        <w:tc>
          <w:tcPr>
            <w:tcW w:type="dxa" w:w="2760"/>
            <w:shd w:fill="EDF3EF" w:val="clear"/>
            <w:tcMar>
              <w:top w:type="dxa" w:w="80"/>
              <w:left w:type="dxa" w:w="100"/>
              <w:bottom w:type="dxa" w:w="80"/>
              <w:right w:type="dxa" w:w="100"/>
            </w:tcMar>
          </w:tcPr>
          <w:p>
            <w:r>
              <w:rPr>
                <w:b/>
                <w:bCs/>
                <w:color w:val="1A1A1A"/>
                <w:sz w:val="19"/>
                <w:szCs w:val="19"/>
              </w:rPr>
              <w:t xml:space="preserve">Notes</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1. In-app inbox</w:t>
            </w:r>
          </w:p>
        </w:tc>
        <w:tc>
          <w:tcPr>
            <w:tcW w:type="dxa" w:w="4200"/>
            <w:tcMar>
              <w:top w:type="dxa" w:w="80"/>
              <w:left w:type="dxa" w:w="100"/>
              <w:bottom w:type="dxa" w:w="80"/>
              <w:right w:type="dxa" w:w="100"/>
            </w:tcMar>
          </w:tcPr>
          <w:p>
            <w:r>
              <w:rPr>
                <w:b w:val="false"/>
                <w:bCs w:val="false"/>
                <w:color w:val="1A1A1A"/>
                <w:sz w:val="19"/>
                <w:szCs w:val="19"/>
              </w:rPr>
              <w:t xml:space="preserve">All clinical content, secure messaging, AI drafts, signed clinician messages</w:t>
            </w:r>
          </w:p>
        </w:tc>
        <w:tc>
          <w:tcPr>
            <w:tcW w:type="dxa" w:w="2760"/>
            <w:tcMar>
              <w:top w:type="dxa" w:w="80"/>
              <w:left w:type="dxa" w:w="100"/>
              <w:bottom w:type="dxa" w:w="80"/>
              <w:right w:type="dxa" w:w="100"/>
            </w:tcMar>
          </w:tcPr>
          <w:p>
            <w:r>
              <w:rPr>
                <w:b w:val="false"/>
                <w:bCs w:val="false"/>
                <w:color w:val="1A1A1A"/>
                <w:sz w:val="19"/>
                <w:szCs w:val="19"/>
              </w:rPr>
              <w:t xml:space="preserve">The only rail permitted to carry clinical content</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2. Push notification</w:t>
            </w:r>
          </w:p>
        </w:tc>
        <w:tc>
          <w:tcPr>
            <w:tcW w:type="dxa" w:w="4200"/>
            <w:tcMar>
              <w:top w:type="dxa" w:w="80"/>
              <w:left w:type="dxa" w:w="100"/>
              <w:bottom w:type="dxa" w:w="80"/>
              <w:right w:type="dxa" w:w="100"/>
            </w:tcMar>
          </w:tcPr>
          <w:p>
            <w:r>
              <w:rPr>
                <w:b w:val="false"/>
                <w:bCs w:val="false"/>
                <w:color w:val="1A1A1A"/>
                <w:sz w:val="19"/>
                <w:szCs w:val="19"/>
              </w:rPr>
              <w:t xml:space="preserve">Content-free nudge only ("You have a new message", "Time for your BP check")</w:t>
            </w:r>
          </w:p>
        </w:tc>
        <w:tc>
          <w:tcPr>
            <w:tcW w:type="dxa" w:w="2760"/>
            <w:tcMar>
              <w:top w:type="dxa" w:w="80"/>
              <w:left w:type="dxa" w:w="100"/>
              <w:bottom w:type="dxa" w:w="80"/>
              <w:right w:type="dxa" w:w="100"/>
            </w:tcMar>
          </w:tcPr>
          <w:p>
            <w:r>
              <w:rPr>
                <w:b w:val="false"/>
                <w:bCs w:val="false"/>
                <w:color w:val="1A1A1A"/>
                <w:sz w:val="19"/>
                <w:szCs w:val="19"/>
              </w:rPr>
              <w:t xml:space="preserve">Drives the user into the app; never states a result or instruction</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3. SMS (Termii)</w:t>
            </w:r>
          </w:p>
        </w:tc>
        <w:tc>
          <w:tcPr>
            <w:tcW w:type="dxa" w:w="4200"/>
            <w:tcMar>
              <w:top w:type="dxa" w:w="80"/>
              <w:left w:type="dxa" w:w="100"/>
              <w:bottom w:type="dxa" w:w="80"/>
              <w:right w:type="dxa" w:w="100"/>
            </w:tcMar>
          </w:tcPr>
          <w:p>
            <w:r>
              <w:rPr>
                <w:b w:val="false"/>
                <w:bCs w:val="false"/>
                <w:color w:val="1A1A1A"/>
                <w:sz w:val="19"/>
                <w:szCs w:val="19"/>
              </w:rPr>
              <w:t xml:space="preserve">Login OTP; non-clinical fallback nudge for users without push enabled</w:t>
            </w:r>
          </w:p>
        </w:tc>
        <w:tc>
          <w:tcPr>
            <w:tcW w:type="dxa" w:w="2760"/>
            <w:tcMar>
              <w:top w:type="dxa" w:w="80"/>
              <w:left w:type="dxa" w:w="100"/>
              <w:bottom w:type="dxa" w:w="80"/>
              <w:right w:type="dxa" w:w="100"/>
            </w:tcMar>
          </w:tcPr>
          <w:p>
            <w:r>
              <w:rPr>
                <w:b w:val="false"/>
                <w:bCs w:val="false"/>
                <w:color w:val="1A1A1A"/>
                <w:sz w:val="19"/>
                <w:szCs w:val="19"/>
              </w:rPr>
              <w:t xml:space="preserve">Never clinical content, ever</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4. WhatsApp Business API</w:t>
            </w:r>
          </w:p>
        </w:tc>
        <w:tc>
          <w:tcPr>
            <w:tcW w:type="dxa" w:w="4200"/>
            <w:tcMar>
              <w:top w:type="dxa" w:w="80"/>
              <w:left w:type="dxa" w:w="100"/>
              <w:bottom w:type="dxa" w:w="80"/>
              <w:right w:type="dxa" w:w="100"/>
            </w:tcMar>
          </w:tcPr>
          <w:p>
            <w:r>
              <w:rPr>
                <w:b w:val="false"/>
                <w:bCs w:val="false"/>
                <w:color w:val="1A1A1A"/>
                <w:sz w:val="19"/>
                <w:szCs w:val="19"/>
              </w:rPr>
              <w:t xml:space="preserve">Non-clinical reminders; a one-click "enquiry" entry point from the marketing site</w:t>
            </w:r>
          </w:p>
        </w:tc>
        <w:tc>
          <w:tcPr>
            <w:tcW w:type="dxa" w:w="2760"/>
            <w:tcMar>
              <w:top w:type="dxa" w:w="80"/>
              <w:left w:type="dxa" w:w="100"/>
              <w:bottom w:type="dxa" w:w="80"/>
              <w:right w:type="dxa" w:w="100"/>
            </w:tcMar>
          </w:tcPr>
          <w:p>
            <w:r>
              <w:rPr>
                <w:b w:val="false"/>
                <w:bCs w:val="false"/>
                <w:color w:val="1A1A1A"/>
                <w:sz w:val="19"/>
                <w:szCs w:val="19"/>
              </w:rPr>
              <w:t xml:space="preserve">Never signup, never a transaction, never clinical content</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5. Email</w:t>
            </w:r>
          </w:p>
        </w:tc>
        <w:tc>
          <w:tcPr>
            <w:tcW w:type="dxa" w:w="4200"/>
            <w:tcMar>
              <w:top w:type="dxa" w:w="80"/>
              <w:left w:type="dxa" w:w="100"/>
              <w:bottom w:type="dxa" w:w="80"/>
              <w:right w:type="dxa" w:w="100"/>
            </w:tcMar>
          </w:tcPr>
          <w:p>
            <w:r>
              <w:rPr>
                <w:b w:val="false"/>
                <w:bCs w:val="false"/>
                <w:color w:val="1A1A1A"/>
                <w:sz w:val="19"/>
                <w:szCs w:val="19"/>
              </w:rPr>
              <w:t xml:space="preserve">Receipts, account and security notices</w:t>
            </w:r>
          </w:p>
        </w:tc>
        <w:tc>
          <w:tcPr>
            <w:tcW w:type="dxa" w:w="2760"/>
            <w:tcMar>
              <w:top w:type="dxa" w:w="80"/>
              <w:left w:type="dxa" w:w="100"/>
              <w:bottom w:type="dxa" w:w="80"/>
              <w:right w:type="dxa" w:w="100"/>
            </w:tcMar>
          </w:tcPr>
          <w:p>
            <w:r>
              <w:rPr>
                <w:b w:val="false"/>
                <w:bCs w:val="false"/>
                <w:color w:val="1A1A1A"/>
                <w:sz w:val="19"/>
                <w:szCs w:val="19"/>
              </w:rPr>
              <w:t xml:space="preserve">Non-clinical, administrative only</w:t>
            </w:r>
          </w:p>
        </w:tc>
      </w:tr>
    </w:tbl>
    <w:p>
      <w:pPr>
        <w:pStyle w:val="ListParagraph"/>
        <w:numPr>
          <w:ilvl w:val="0"/>
          <w:numId w:val="2"/>
        </w:numPr>
        <w:spacing w:after="90" w:line="264"/>
      </w:pPr>
      <w:r>
        <w:rPr>
          <w:color w:val="1A1A1A"/>
          <w:sz w:val="21"/>
          <w:szCs w:val="21"/>
        </w:rPr>
        <w:t xml:space="preserve">Escalating cadence for an unacknowledged reminder: in-app → push → SMS → WhatsApp, capped at a sensible frequency to avoid harassment, with per-rail opt-out available to the patient except for OTP.</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WhatsApp and SMS are a notification layer only, never a content or transaction channel, on any platform. Clinical conversation lives in the app.</w:t>
      </w:r>
    </w:p>
    <w:p>
      <w:pPr>
        <w:pStyle w:val="Heading2"/>
        <w:spacing w:after="140" w:before="320"/>
      </w:pPr>
      <w:r>
        <w:rPr>
          <w:b/>
          <w:bCs/>
          <w:color w:val="1A1A1A"/>
          <w:sz w:val="25"/>
          <w:szCs w:val="25"/>
        </w:rPr>
        <w:t xml:space="preserve">5.14 USSD Access Channel</w:t>
      </w:r>
    </w:p>
    <w:p>
      <w:pPr>
        <w:spacing w:after="120" w:line="276"/>
      </w:pPr>
      <w:r>
        <w:rPr>
          <w:b/>
          <w:bCs/>
          <w:color w:val="1A1A1A"/>
          <w:sz w:val="21"/>
          <w:szCs w:val="21"/>
        </w:rPr>
        <w:t xml:space="preserve">Purpose: </w:t>
      </w:r>
      <w:r>
        <w:rPr>
          <w:color w:val="1A1A1A"/>
          <w:sz w:val="21"/>
          <w:szCs w:val="21"/>
        </w:rPr>
        <w:t xml:space="preserve">reach the population segment on a feature phone or with no data — not a scaled-down app, a genuinely separate low-bandwidth surface.</w:t>
      </w:r>
    </w:p>
    <w:p>
      <w:pPr>
        <w:pStyle w:val="ListParagraph"/>
        <w:numPr>
          <w:ilvl w:val="0"/>
          <w:numId w:val="2"/>
        </w:numPr>
        <w:spacing w:after="90" w:line="264"/>
      </w:pPr>
      <w:r>
        <w:rPr>
          <w:color w:val="1A1A1A"/>
          <w:sz w:val="21"/>
          <w:szCs w:val="21"/>
        </w:rPr>
        <w:t xml:space="preserve">Menu-driven flow: check next appointment/reminder, request a human callback, a basic pre-approved self-triage decision tree, subscription/balance status.</w:t>
      </w:r>
    </w:p>
    <w:p>
      <w:pPr>
        <w:pStyle w:val="ListParagraph"/>
        <w:numPr>
          <w:ilvl w:val="0"/>
          <w:numId w:val="2"/>
        </w:numPr>
        <w:spacing w:after="90" w:line="264"/>
      </w:pPr>
      <w:r>
        <w:rPr>
          <w:color w:val="1A1A1A"/>
          <w:sz w:val="21"/>
          <w:szCs w:val="21"/>
        </w:rPr>
        <w:t xml:space="preserve">No open-ended clinical content over USSD — session length and per-screen cost make this impractical and unsafe; anything requiring judgment routes to a human care-team callback instead of an automated answer.</w:t>
      </w:r>
    </w:p>
    <w:p>
      <w:pPr>
        <w:pStyle w:val="ListParagraph"/>
        <w:numPr>
          <w:ilvl w:val="0"/>
          <w:numId w:val="2"/>
        </w:numPr>
        <w:spacing w:after="90" w:line="264"/>
      </w:pPr>
      <w:r>
        <w:rPr>
          <w:color w:val="1A1A1A"/>
          <w:sz w:val="21"/>
          <w:szCs w:val="21"/>
        </w:rPr>
        <w:t xml:space="preserve">Telco short-code integration required; this is a genuine engineering workstream (a USSD gateway provider, session-state management under strict timeouts), not a thin wrapper on existing APIs.</w:t>
      </w:r>
    </w:p>
    <w:p>
      <w:pPr>
        <w:pStyle w:val="Heading2"/>
        <w:spacing w:after="140" w:before="320"/>
      </w:pPr>
      <w:r>
        <w:rPr>
          <w:b/>
          <w:bCs/>
          <w:color w:val="1A1A1A"/>
          <w:sz w:val="25"/>
          <w:szCs w:val="25"/>
        </w:rPr>
        <w:t xml:space="preserve">5.15 Content &amp; Health Literacy Library</w:t>
      </w:r>
    </w:p>
    <w:p>
      <w:pPr>
        <w:spacing w:after="120" w:line="276"/>
      </w:pPr>
      <w:r>
        <w:rPr>
          <w:b/>
          <w:bCs/>
          <w:color w:val="1A1A1A"/>
          <w:sz w:val="21"/>
          <w:szCs w:val="21"/>
        </w:rPr>
        <w:t xml:space="preserve">Purpose: </w:t>
      </w:r>
      <w:r>
        <w:rPr>
          <w:color w:val="1A1A1A"/>
          <w:sz w:val="21"/>
          <w:szCs w:val="21"/>
        </w:rPr>
        <w:t xml:space="preserve">make prevention and adherence something the app teaches, not just tracks.</w:t>
      </w:r>
    </w:p>
    <w:p>
      <w:pPr>
        <w:pStyle w:val="ListParagraph"/>
        <w:numPr>
          <w:ilvl w:val="0"/>
          <w:numId w:val="2"/>
        </w:numPr>
        <w:spacing w:after="90" w:line="264"/>
      </w:pPr>
      <w:r>
        <w:rPr>
          <w:color w:val="1A1A1A"/>
          <w:sz w:val="21"/>
          <w:szCs w:val="21"/>
        </w:rPr>
        <w:t xml:space="preserve">Localised educational content (English and Pidgin at launch) mapped to a user's condition, risk tier and screening due-list.</w:t>
      </w:r>
    </w:p>
    <w:p>
      <w:pPr>
        <w:pStyle w:val="ListParagraph"/>
        <w:numPr>
          <w:ilvl w:val="0"/>
          <w:numId w:val="2"/>
        </w:numPr>
        <w:spacing w:after="90" w:line="264"/>
      </w:pPr>
      <w:r>
        <w:rPr>
          <w:color w:val="1A1A1A"/>
          <w:sz w:val="21"/>
          <w:szCs w:val="21"/>
        </w:rPr>
        <w:t xml:space="preserve">Video- and audio-first content design for lower-literacy users, not text walls — short-form enough to be reused directly by Marketing (2.2) on social channels, so a claim made publicly and a claim made in-app are always the same claim.</w:t>
      </w:r>
    </w:p>
    <w:p>
      <w:pPr>
        <w:pStyle w:val="Heading2"/>
        <w:spacing w:after="140" w:before="320"/>
      </w:pPr>
      <w:r>
        <w:rPr>
          <w:b/>
          <w:bCs/>
          <w:color w:val="1A1A1A"/>
          <w:sz w:val="25"/>
          <w:szCs w:val="25"/>
        </w:rPr>
        <w:t xml:space="preserve">5.16 Family / Dependant Management</w:t>
      </w:r>
    </w:p>
    <w:p>
      <w:pPr>
        <w:spacing w:after="120" w:line="276"/>
      </w:pPr>
      <w:r>
        <w:rPr>
          <w:b/>
          <w:bCs/>
          <w:color w:val="1A1A1A"/>
          <w:sz w:val="21"/>
          <w:szCs w:val="21"/>
        </w:rPr>
        <w:t xml:space="preserve">Purpose: </w:t>
      </w:r>
      <w:r>
        <w:rPr>
          <w:color w:val="1A1A1A"/>
          <w:sz w:val="21"/>
          <w:szCs w:val="21"/>
        </w:rPr>
        <w:t xml:space="preserve">let a guardian manage a child's preventive and vaccination care without creating a household billing structure.</w:t>
      </w:r>
    </w:p>
    <w:p>
      <w:pPr>
        <w:pStyle w:val="ListParagraph"/>
        <w:numPr>
          <w:ilvl w:val="0"/>
          <w:numId w:val="2"/>
        </w:numPr>
        <w:spacing w:after="90" w:line="264"/>
      </w:pPr>
      <w:r>
        <w:rPr>
          <w:color w:val="1A1A1A"/>
          <w:sz w:val="21"/>
          <w:szCs w:val="21"/>
        </w:rPr>
        <w:t xml:space="preserve">A guardian's account can add one or more dependant profiles for under-18s; a dependant has their own Health Passport and vaccination registry entries but no independent login.</w:t>
      </w:r>
    </w:p>
    <w:p>
      <w:pPr>
        <w:pStyle w:val="ListParagraph"/>
        <w:numPr>
          <w:ilvl w:val="0"/>
          <w:numId w:val="2"/>
        </w:numPr>
        <w:spacing w:after="90" w:line="264"/>
      </w:pPr>
      <w:r>
        <w:rPr>
          <w:color w:val="1A1A1A"/>
          <w:sz w:val="21"/>
          <w:szCs w:val="21"/>
        </w:rPr>
        <w:t xml:space="preserve">Billing remains per enrolled life — there is no family-bundle discount structure.</w:t>
      </w:r>
    </w:p>
    <w:p>
      <w:pPr>
        <w:pBdr>
          <w:left w:val="single" w:color="2F6F4F" w:sz="18" w:space="8"/>
        </w:pBdr>
        <w:spacing w:after="200" w:before="120" w:line="264"/>
        <w:ind w:left="200"/>
      </w:pPr>
      <w:r>
        <w:rPr>
          <w:b/>
          <w:bCs/>
          <w:color w:val="2F6F4F"/>
          <w:sz w:val="20"/>
          <w:szCs w:val="20"/>
        </w:rPr>
        <w:t xml:space="preserve">Standing rule:  </w:t>
      </w:r>
      <w:r>
        <w:rPr>
          <w:i/>
          <w:iCs/>
          <w:color w:val="5B6B63"/>
          <w:sz w:val="20"/>
          <w:szCs w:val="20"/>
        </w:rPr>
        <w:t xml:space="preserve">family billing is removed; individual enrolment only, under-18s as dependants, the Health Wallet handles any third-party payment.</w:t>
      </w:r>
    </w:p>
    <w:p>
      <w:pPr>
        <w:pStyle w:val="Heading2"/>
        <w:spacing w:after="140" w:before="320"/>
      </w:pPr>
      <w:r>
        <w:rPr>
          <w:b/>
          <w:bCs/>
          <w:color w:val="1A1A1A"/>
          <w:sz w:val="25"/>
          <w:szCs w:val="25"/>
        </w:rPr>
        <w:t xml:space="preserve">5.17 Customer Support Tooling</w:t>
      </w:r>
    </w:p>
    <w:p>
      <w:pPr>
        <w:spacing w:after="120" w:line="276"/>
      </w:pPr>
      <w:r>
        <w:rPr>
          <w:b/>
          <w:bCs/>
          <w:color w:val="1A1A1A"/>
          <w:sz w:val="21"/>
          <w:szCs w:val="21"/>
        </w:rPr>
        <w:t xml:space="preserve">Purpose: </w:t>
      </w:r>
      <w:r>
        <w:rPr>
          <w:color w:val="1A1A1A"/>
          <w:sz w:val="21"/>
          <w:szCs w:val="21"/>
        </w:rPr>
        <w:t xml:space="preserve">resolve account and product questions fast, and route anything clinical to the care team instead of a support agent guessing.</w:t>
      </w:r>
    </w:p>
    <w:p>
      <w:pPr>
        <w:pStyle w:val="ListParagraph"/>
        <w:numPr>
          <w:ilvl w:val="0"/>
          <w:numId w:val="2"/>
        </w:numPr>
        <w:spacing w:after="90" w:line="264"/>
      </w:pPr>
      <w:r>
        <w:rPr>
          <w:color w:val="1A1A1A"/>
          <w:sz w:val="21"/>
          <w:szCs w:val="21"/>
        </w:rPr>
        <w:t xml:space="preserve">In-app help centre, FAQ, and ticket submission.</w:t>
      </w:r>
    </w:p>
    <w:p>
      <w:pPr>
        <w:pStyle w:val="ListParagraph"/>
        <w:numPr>
          <w:ilvl w:val="0"/>
          <w:numId w:val="2"/>
        </w:numPr>
        <w:spacing w:after="90" w:line="264"/>
      </w:pPr>
      <w:r>
        <w:rPr>
          <w:color w:val="1A1A1A"/>
          <w:sz w:val="21"/>
          <w:szCs w:val="21"/>
        </w:rPr>
        <w:t xml:space="preserve">Internal support console: ticket queue, canned responses (never used to answer a clinical question), a complaint-handling workflow with SLA tracking owned by Customer Success (2.2).</w:t>
      </w:r>
    </w:p>
    <w:p>
      <w:pPr>
        <w:pStyle w:val="ListParagraph"/>
        <w:numPr>
          <w:ilvl w:val="0"/>
          <w:numId w:val="2"/>
        </w:numPr>
        <w:spacing w:after="90" w:line="264"/>
      </w:pPr>
      <w:r>
        <w:rPr>
          <w:color w:val="1A1A1A"/>
          <w:sz w:val="21"/>
          <w:szCs w:val="21"/>
        </w:rPr>
        <w:t xml:space="preserve">A feedback loop that routes product bugs to Product and safety-relevant complaints to Clinical Quality, Safety and Audit automatically, not by an agent remembering to forward them.</w:t>
      </w:r>
    </w:p>
    <w:p>
      <w:pPr>
        <w:pStyle w:val="Heading2"/>
        <w:spacing w:after="140" w:before="320"/>
      </w:pPr>
      <w:r>
        <w:rPr>
          <w:b/>
          <w:bCs/>
          <w:color w:val="1A1A1A"/>
          <w:sz w:val="25"/>
          <w:szCs w:val="25"/>
        </w:rPr>
        <w:t xml:space="preserve">5.18 Admin / Back-Office Console</w:t>
      </w:r>
    </w:p>
    <w:p>
      <w:pPr>
        <w:spacing w:after="120" w:line="276"/>
      </w:pPr>
      <w:r>
        <w:rPr>
          <w:b/>
          <w:bCs/>
          <w:color w:val="1A1A1A"/>
          <w:sz w:val="21"/>
          <w:szCs w:val="21"/>
        </w:rPr>
        <w:t xml:space="preserve">Purpose: </w:t>
      </w:r>
      <w:r>
        <w:rPr>
          <w:color w:val="1A1A1A"/>
          <w:sz w:val="21"/>
          <w:szCs w:val="21"/>
        </w:rPr>
        <w:t xml:space="preserve">let a two-person team run the operational and compliance load of what will eventually be a multi-department company.</w:t>
      </w:r>
    </w:p>
    <w:p>
      <w:pPr>
        <w:pStyle w:val="ListParagraph"/>
        <w:numPr>
          <w:ilvl w:val="0"/>
          <w:numId w:val="2"/>
        </w:numPr>
        <w:spacing w:after="90" w:line="264"/>
      </w:pPr>
      <w:r>
        <w:rPr>
          <w:color w:val="1A1A1A"/>
          <w:sz w:val="21"/>
          <w:szCs w:val="21"/>
        </w:rPr>
        <w:t xml:space="preserve">Role-based access mirroring the twenty-role structure (Section 2), so access can be handed to a real hire department-by-department without a re-architecture.</w:t>
      </w:r>
    </w:p>
    <w:p>
      <w:pPr>
        <w:pStyle w:val="ListParagraph"/>
        <w:numPr>
          <w:ilvl w:val="0"/>
          <w:numId w:val="2"/>
        </w:numPr>
        <w:spacing w:after="90" w:line="264"/>
      </w:pPr>
      <w:r>
        <w:rPr>
          <w:color w:val="1A1A1A"/>
          <w:sz w:val="21"/>
          <w:szCs w:val="21"/>
        </w:rPr>
        <w:t xml:space="preserve">User management, KYC review queue, content moderation for any user-generated content, and a feature-flag / runtime config layer (`app_config`).</w:t>
      </w:r>
    </w:p>
    <w:p>
      <w:pPr>
        <w:pStyle w:val="ListParagraph"/>
        <w:numPr>
          <w:ilvl w:val="0"/>
          <w:numId w:val="2"/>
        </w:numPr>
        <w:spacing w:after="90" w:line="264"/>
      </w:pPr>
      <w:r>
        <w:rPr>
          <w:color w:val="1A1A1A"/>
          <w:sz w:val="21"/>
          <w:szCs w:val="21"/>
        </w:rPr>
        <w:t xml:space="preserve">That config layer must include the go-live guards already identified as legal/clinical-safety conditions: NDPC registration confirmed, indemnity cover in place, the second clinical/admin hire closing the attestation gap (5.5), and Nigerian counsel sign-off — each a switch, not a hardcoded assumption, so the platform can truthfully represent its own compliance state at any moment.</w:t>
      </w:r>
    </w:p>
    <w:p>
      <w:pPr>
        <w:pStyle w:val="ListParagraph"/>
        <w:numPr>
          <w:ilvl w:val="0"/>
          <w:numId w:val="2"/>
        </w:numPr>
        <w:spacing w:after="90" w:line="264"/>
      </w:pPr>
      <w:r>
        <w:rPr>
          <w:color w:val="1A1A1A"/>
          <w:sz w:val="21"/>
          <w:szCs w:val="21"/>
        </w:rPr>
        <w:t xml:space="preserve">A full, immutable audit log across the platform, satisfying the NDPR accountability principle and giving Clinical Quality, Safety and Audit (2.2) a single place to investigate any incident.</w:t>
      </w:r>
    </w:p>
    <w:p>
      <w:pPr>
        <w:pStyle w:val="Heading2"/>
        <w:spacing w:after="140" w:before="320"/>
      </w:pPr>
      <w:r>
        <w:rPr>
          <w:b/>
          <w:bCs/>
          <w:color w:val="1A1A1A"/>
          <w:sz w:val="25"/>
          <w:szCs w:val="25"/>
        </w:rPr>
        <w:t xml:space="preserve">5.19 Data &amp; Analytics Layer</w:t>
      </w:r>
    </w:p>
    <w:p>
      <w:pPr>
        <w:spacing w:after="120" w:line="276"/>
      </w:pPr>
      <w:r>
        <w:rPr>
          <w:b/>
          <w:bCs/>
          <w:color w:val="1A1A1A"/>
          <w:sz w:val="21"/>
          <w:szCs w:val="21"/>
        </w:rPr>
        <w:t xml:space="preserve">Purpose: </w:t>
      </w:r>
      <w:r>
        <w:rPr>
          <w:color w:val="1A1A1A"/>
          <w:sz w:val="21"/>
          <w:szCs w:val="21"/>
        </w:rPr>
        <w:t xml:space="preserve">give the company the numbers it needs to run itself and to prove the product works, without ever compromising an individual patient's privacy.</w:t>
      </w:r>
    </w:p>
    <w:p>
      <w:pPr>
        <w:pStyle w:val="ListParagraph"/>
        <w:numPr>
          <w:ilvl w:val="0"/>
          <w:numId w:val="2"/>
        </w:numPr>
        <w:spacing w:after="90" w:line="264"/>
      </w:pPr>
      <w:r>
        <w:rPr>
          <w:color w:val="1A1A1A"/>
          <w:sz w:val="21"/>
          <w:szCs w:val="21"/>
        </w:rPr>
        <w:t xml:space="preserve">Internal BI covering activation and retention funnels, pathway control rates, screening completion, adherence rates, churn, and unit economics — fed from the same Supabase warehouse as the product, not a separate manual spreadsheet exercise.</w:t>
      </w:r>
    </w:p>
    <w:p>
      <w:pPr>
        <w:pStyle w:val="ListParagraph"/>
        <w:numPr>
          <w:ilvl w:val="0"/>
          <w:numId w:val="2"/>
        </w:numPr>
        <w:spacing w:after="90" w:line="264"/>
      </w:pPr>
      <w:r>
        <w:rPr>
          <w:color w:val="1A1A1A"/>
          <w:sz w:val="21"/>
          <w:szCs w:val="21"/>
        </w:rPr>
        <w:t xml:space="preserve">A research/analytics export governance gate: any dataset leaving the platform for research use passes through a de-identification pipeline and an internal review step before export, logged in the audit trail.</w:t>
      </w:r>
    </w:p>
    <w:p>
      <w:pPr>
        <w:pStyle w:val="ListParagraph"/>
        <w:numPr>
          <w:ilvl w:val="0"/>
          <w:numId w:val="2"/>
        </w:numPr>
        <w:spacing w:after="90" w:line="264"/>
      </w:pPr>
      <w:r>
        <w:rPr>
          <w:color w:val="1A1A1A"/>
          <w:sz w:val="21"/>
          <w:szCs w:val="21"/>
        </w:rPr>
        <w:t xml:space="preserve">Query-layer exclusion of every `@tarragon.test` account from every metric, everywhere, by construction — implemented as a view or a row-security policy, not a per-dashboard manual filter someone can forget to apply.</w:t>
      </w:r>
    </w:p>
    <w:p>
      <w:pPr>
        <w:pStyle w:val="Heading2"/>
        <w:spacing w:after="140" w:before="320"/>
      </w:pPr>
      <w:r>
        <w:rPr>
          <w:b/>
          <w:bCs/>
          <w:color w:val="1A1A1A"/>
          <w:sz w:val="25"/>
          <w:szCs w:val="25"/>
        </w:rPr>
        <w:t xml:space="preserve">5.20 Security, Privacy &amp; Compliance (cross-cutting)</w:t>
      </w:r>
    </w:p>
    <w:p>
      <w:pPr>
        <w:spacing w:after="120" w:line="276"/>
      </w:pPr>
      <w:r>
        <w:rPr>
          <w:b/>
          <w:bCs/>
          <w:color w:val="1A1A1A"/>
          <w:sz w:val="21"/>
          <w:szCs w:val="21"/>
        </w:rPr>
        <w:t xml:space="preserve">Purpose: </w:t>
      </w:r>
      <w:r>
        <w:rPr>
          <w:color w:val="1A1A1A"/>
          <w:sz w:val="21"/>
          <w:szCs w:val="21"/>
        </w:rPr>
        <w:t xml:space="preserve">this is not a screen — it is the set of engineering requirements that make every rule above actually true rather than aspirational.</w:t>
      </w:r>
    </w:p>
    <w:p>
      <w:pPr>
        <w:pStyle w:val="ListParagraph"/>
        <w:numPr>
          <w:ilvl w:val="0"/>
          <w:numId w:val="2"/>
        </w:numPr>
        <w:spacing w:after="90" w:line="264"/>
      </w:pPr>
      <w:r>
        <w:rPr>
          <w:color w:val="1A1A1A"/>
          <w:sz w:val="21"/>
          <w:szCs w:val="21"/>
        </w:rPr>
        <w:t xml:space="preserve">NDPR/NDPC compliance: documented lawful basis and consent management (5.1), data-subject-rights tooling (access, correction, erasure, portability requests handled inside the admin console), a breach-notification workflow, and a Data Protection Officer sign-off gate before any new data flow ships.</w:t>
      </w:r>
    </w:p>
    <w:p>
      <w:pPr>
        <w:pStyle w:val="ListParagraph"/>
        <w:numPr>
          <w:ilvl w:val="0"/>
          <w:numId w:val="2"/>
        </w:numPr>
        <w:spacing w:after="90" w:line="264"/>
      </w:pPr>
      <w:r>
        <w:rPr>
          <w:color w:val="1A1A1A"/>
          <w:sz w:val="21"/>
          <w:szCs w:val="21"/>
        </w:rPr>
        <w:t xml:space="preserve">Row-Level Security enforcing "institutions get aggregate-only access" and "no identifiable patient data leaves the platform boundary" at the database layer — the same guarantee the company folder's own hard rule ("no identifiable patient data ever enters the company folder") depends on when a session exports anything for internal use.</w:t>
      </w:r>
    </w:p>
    <w:p>
      <w:pPr>
        <w:pStyle w:val="ListParagraph"/>
        <w:numPr>
          <w:ilvl w:val="0"/>
          <w:numId w:val="2"/>
        </w:numPr>
        <w:spacing w:after="90" w:line="264"/>
      </w:pPr>
      <w:r>
        <w:rPr>
          <w:color w:val="1A1A1A"/>
          <w:sz w:val="21"/>
          <w:szCs w:val="21"/>
        </w:rPr>
        <w:t xml:space="preserve">Encryption at rest and in transit; a secrets-management system for every API key (Termii, WhatsApp BSP, Paystack/Flutterwave, Anthropic); biometric app-lock and session timeout on the patient app.</w:t>
      </w:r>
    </w:p>
    <w:p>
      <w:pPr>
        <w:pStyle w:val="ListParagraph"/>
        <w:numPr>
          <w:ilvl w:val="0"/>
          <w:numId w:val="2"/>
        </w:numPr>
        <w:spacing w:after="90" w:line="264"/>
      </w:pPr>
      <w:r>
        <w:rPr>
          <w:color w:val="1A1A1A"/>
          <w:sz w:val="21"/>
          <w:szCs w:val="21"/>
        </w:rPr>
        <w:t xml:space="preserve">MDCN clinical accountability: every clinical action is attributable to a named, licensed doctor, with a config-switchable liability model ("tech layer", where doctors sign under their own MDCN licence, versus "provider", where Tarragon itself carries the clinical relationship) so the business model can evolve without a platform rebuild.</w:t>
      </w:r>
    </w:p>
    <w:p>
      <w:pPr>
        <w:pStyle w:val="ListParagraph"/>
        <w:numPr>
          <w:ilvl w:val="0"/>
          <w:numId w:val="2"/>
        </w:numPr>
        <w:spacing w:after="90" w:line="264"/>
      </w:pPr>
      <w:r>
        <w:rPr>
          <w:color w:val="1A1A1A"/>
          <w:sz w:val="21"/>
          <w:szCs w:val="21"/>
        </w:rPr>
        <w:t xml:space="preserve">An incident and adverse-event reporting workflow wired directly to Clinical Quality, Safety and Audit, and an immutable, append-only clinical action log.</w:t>
      </w:r>
    </w:p>
    <w:p>
      <w:r>
        <w:br w:type="page"/>
      </w:r>
    </w:p>
    <w:p>
      <w:pPr>
        <w:pStyle w:val="Heading1"/>
        <w:pBdr>
          <w:bottom w:val="single" w:color="C9D4CE" w:sz="6" w:space="4"/>
        </w:pBdr>
        <w:spacing w:after="200" w:before="480"/>
      </w:pPr>
      <w:r>
        <w:rPr>
          <w:b/>
          <w:bCs/>
          <w:color w:val="2F6F4F"/>
          <w:sz w:val="30"/>
          <w:szCs w:val="30"/>
        </w:rPr>
        <w:t xml:space="preserve">6. Data Model — Core Entities</w:t>
      </w:r>
    </w:p>
    <w:p>
      <w:pPr>
        <w:spacing w:after="160" w:line="276"/>
      </w:pPr>
      <w:r>
        <w:rPr>
          <w:color w:val="1A1A1A"/>
          <w:sz w:val="21"/>
          <w:szCs w:val="21"/>
        </w:rPr>
        <w:t xml:space="preserve">A high-level entity list for the engineering team to normalise into an actual Postgres schema. The access-boundary column is what should drive the Row-Level Security policy for each table — it is the most important column in this table, not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cantSplit/>
          <w:tblHeader/>
        </w:trPr>
        <w:tc>
          <w:tcPr>
            <w:tcW w:type="dxa" w:w="1800"/>
            <w:shd w:fill="EDF3EF" w:val="clear"/>
            <w:tcMar>
              <w:top w:type="dxa" w:w="80"/>
              <w:left w:type="dxa" w:w="100"/>
              <w:bottom w:type="dxa" w:w="80"/>
              <w:right w:type="dxa" w:w="100"/>
            </w:tcMar>
          </w:tcPr>
          <w:p>
            <w:r>
              <w:rPr>
                <w:b/>
                <w:bCs/>
                <w:color w:val="1A1A1A"/>
                <w:sz w:val="19"/>
                <w:szCs w:val="19"/>
              </w:rPr>
              <w:t xml:space="preserve">Entity group</w:t>
            </w:r>
          </w:p>
        </w:tc>
        <w:tc>
          <w:tcPr>
            <w:tcW w:type="dxa" w:w="4200"/>
            <w:shd w:fill="EDF3EF" w:val="clear"/>
            <w:tcMar>
              <w:top w:type="dxa" w:w="80"/>
              <w:left w:type="dxa" w:w="100"/>
              <w:bottom w:type="dxa" w:w="80"/>
              <w:right w:type="dxa" w:w="100"/>
            </w:tcMar>
          </w:tcPr>
          <w:p>
            <w:r>
              <w:rPr>
                <w:b/>
                <w:bCs/>
                <w:color w:val="1A1A1A"/>
                <w:sz w:val="19"/>
                <w:szCs w:val="19"/>
              </w:rPr>
              <w:t xml:space="preserve">Key entities</w:t>
            </w:r>
          </w:p>
        </w:tc>
        <w:tc>
          <w:tcPr>
            <w:tcW w:type="dxa" w:w="3360"/>
            <w:shd w:fill="EDF3EF" w:val="clear"/>
            <w:tcMar>
              <w:top w:type="dxa" w:w="80"/>
              <w:left w:type="dxa" w:w="100"/>
              <w:bottom w:type="dxa" w:w="80"/>
              <w:right w:type="dxa" w:w="100"/>
            </w:tcMar>
          </w:tcPr>
          <w:p>
            <w:r>
              <w:rPr>
                <w:b/>
                <w:bCs/>
                <w:color w:val="1A1A1A"/>
                <w:sz w:val="19"/>
                <w:szCs w:val="19"/>
              </w:rPr>
              <w:t xml:space="preserve">Access boundary</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Identity</w:t>
            </w:r>
          </w:p>
        </w:tc>
        <w:tc>
          <w:tcPr>
            <w:tcW w:type="dxa" w:w="4200"/>
            <w:tcMar>
              <w:top w:type="dxa" w:w="80"/>
              <w:left w:type="dxa" w:w="100"/>
              <w:bottom w:type="dxa" w:w="80"/>
              <w:right w:type="dxa" w:w="100"/>
            </w:tcMar>
          </w:tcPr>
          <w:p>
            <w:r>
              <w:rPr>
                <w:b w:val="false"/>
                <w:bCs w:val="false"/>
                <w:color w:val="1A1A1A"/>
                <w:sz w:val="19"/>
                <w:szCs w:val="19"/>
              </w:rPr>
              <w:t xml:space="preserve">User, Guardian, Dependant, Consent, DeviceRegistration</w:t>
            </w:r>
          </w:p>
        </w:tc>
        <w:tc>
          <w:tcPr>
            <w:tcW w:type="dxa" w:w="3360"/>
            <w:tcMar>
              <w:top w:type="dxa" w:w="80"/>
              <w:left w:type="dxa" w:w="100"/>
              <w:bottom w:type="dxa" w:w="80"/>
              <w:right w:type="dxa" w:w="100"/>
            </w:tcMar>
          </w:tcPr>
          <w:p>
            <w:r>
              <w:rPr>
                <w:b w:val="false"/>
                <w:bCs w:val="false"/>
                <w:color w:val="1A1A1A"/>
                <w:sz w:val="19"/>
                <w:szCs w:val="19"/>
              </w:rPr>
              <w:t xml:space="preserve">Owner-only; guardian extends to their dependants</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Screening</w:t>
            </w:r>
          </w:p>
        </w:tc>
        <w:tc>
          <w:tcPr>
            <w:tcW w:type="dxa" w:w="4200"/>
            <w:tcMar>
              <w:top w:type="dxa" w:w="80"/>
              <w:left w:type="dxa" w:w="100"/>
              <w:bottom w:type="dxa" w:w="80"/>
              <w:right w:type="dxa" w:w="100"/>
            </w:tcMar>
          </w:tcPr>
          <w:p>
            <w:r>
              <w:rPr>
                <w:b w:val="false"/>
                <w:bCs w:val="false"/>
                <w:color w:val="1A1A1A"/>
                <w:sz w:val="19"/>
                <w:szCs w:val="19"/>
              </w:rPr>
              <w:t xml:space="preserve">RiskAssessment, ScreeningPackage, ScreeningOrder, ScreeningResult</w:t>
            </w:r>
          </w:p>
        </w:tc>
        <w:tc>
          <w:tcPr>
            <w:tcW w:type="dxa" w:w="3360"/>
            <w:tcMar>
              <w:top w:type="dxa" w:w="80"/>
              <w:left w:type="dxa" w:w="100"/>
              <w:bottom w:type="dxa" w:w="80"/>
              <w:right w:type="dxa" w:w="100"/>
            </w:tcMar>
          </w:tcPr>
          <w:p>
            <w:r>
              <w:rPr>
                <w:b w:val="false"/>
                <w:bCs w:val="false"/>
                <w:color w:val="1A1A1A"/>
                <w:sz w:val="19"/>
                <w:szCs w:val="19"/>
              </w:rPr>
              <w:t xml:space="preserve">Owner + assigned care team</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Chronic care</w:t>
            </w:r>
          </w:p>
        </w:tc>
        <w:tc>
          <w:tcPr>
            <w:tcW w:type="dxa" w:w="4200"/>
            <w:tcMar>
              <w:top w:type="dxa" w:w="80"/>
              <w:left w:type="dxa" w:w="100"/>
              <w:bottom w:type="dxa" w:w="80"/>
              <w:right w:type="dxa" w:w="100"/>
            </w:tcMar>
          </w:tcPr>
          <w:p>
            <w:r>
              <w:rPr>
                <w:b w:val="false"/>
                <w:bCs w:val="false"/>
                <w:color w:val="1A1A1A"/>
                <w:sz w:val="19"/>
                <w:szCs w:val="19"/>
              </w:rPr>
              <w:t xml:space="preserve">ChronicPathway, PathwayEvent, VitalReading, TitrationProposal (draft/signed)</w:t>
            </w:r>
          </w:p>
        </w:tc>
        <w:tc>
          <w:tcPr>
            <w:tcW w:type="dxa" w:w="3360"/>
            <w:tcMar>
              <w:top w:type="dxa" w:w="80"/>
              <w:left w:type="dxa" w:w="100"/>
              <w:bottom w:type="dxa" w:w="80"/>
              <w:right w:type="dxa" w:w="100"/>
            </w:tcMar>
          </w:tcPr>
          <w:p>
            <w:r>
              <w:rPr>
                <w:b w:val="false"/>
                <w:bCs w:val="false"/>
                <w:color w:val="1A1A1A"/>
                <w:sz w:val="19"/>
                <w:szCs w:val="19"/>
              </w:rPr>
              <w:t xml:space="preserve">Owner + assigned care team; signed clinician identity always attached</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Medication</w:t>
            </w:r>
          </w:p>
        </w:tc>
        <w:tc>
          <w:tcPr>
            <w:tcW w:type="dxa" w:w="4200"/>
            <w:tcMar>
              <w:top w:type="dxa" w:w="80"/>
              <w:left w:type="dxa" w:w="100"/>
              <w:bottom w:type="dxa" w:w="80"/>
              <w:right w:type="dxa" w:w="100"/>
            </w:tcMar>
          </w:tcPr>
          <w:p>
            <w:r>
              <w:rPr>
                <w:b w:val="false"/>
                <w:bCs w:val="false"/>
                <w:color w:val="1A1A1A"/>
                <w:sz w:val="19"/>
                <w:szCs w:val="19"/>
              </w:rPr>
              <w:t xml:space="preserve">Medication, AdherenceEvent, PharmacyReferral (informational)</w:t>
            </w:r>
          </w:p>
        </w:tc>
        <w:tc>
          <w:tcPr>
            <w:tcW w:type="dxa" w:w="3360"/>
            <w:tcMar>
              <w:top w:type="dxa" w:w="80"/>
              <w:left w:type="dxa" w:w="100"/>
              <w:bottom w:type="dxa" w:w="80"/>
              <w:right w:type="dxa" w:w="100"/>
            </w:tcMar>
          </w:tcPr>
          <w:p>
            <w:r>
              <w:rPr>
                <w:b w:val="false"/>
                <w:bCs w:val="false"/>
                <w:color w:val="1A1A1A"/>
                <w:sz w:val="19"/>
                <w:szCs w:val="19"/>
              </w:rPr>
              <w:t xml:space="preserve">Owner + assigned care team</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AI &amp; clinical actions</w:t>
            </w:r>
          </w:p>
        </w:tc>
        <w:tc>
          <w:tcPr>
            <w:tcW w:type="dxa" w:w="4200"/>
            <w:tcMar>
              <w:top w:type="dxa" w:w="80"/>
              <w:left w:type="dxa" w:w="100"/>
              <w:bottom w:type="dxa" w:w="80"/>
              <w:right w:type="dxa" w:w="100"/>
            </w:tcMar>
          </w:tcPr>
          <w:p>
            <w:r>
              <w:rPr>
                <w:b w:val="false"/>
                <w:bCs w:val="false"/>
                <w:color w:val="1A1A1A"/>
                <w:sz w:val="19"/>
                <w:szCs w:val="19"/>
              </w:rPr>
              <w:t xml:space="preserve">TriageSession, AIMessage (draft), ClinicianAction (signed), AuditLogEntry</w:t>
            </w:r>
          </w:p>
        </w:tc>
        <w:tc>
          <w:tcPr>
            <w:tcW w:type="dxa" w:w="3360"/>
            <w:tcMar>
              <w:top w:type="dxa" w:w="80"/>
              <w:left w:type="dxa" w:w="100"/>
              <w:bottom w:type="dxa" w:w="80"/>
              <w:right w:type="dxa" w:w="100"/>
            </w:tcMar>
          </w:tcPr>
          <w:p>
            <w:r>
              <w:rPr>
                <w:b w:val="false"/>
                <w:bCs w:val="false"/>
                <w:color w:val="1A1A1A"/>
                <w:sz w:val="19"/>
                <w:szCs w:val="19"/>
              </w:rPr>
              <w:t xml:space="preserve">Owner + assigned care team; AuditLogEntry additionally visible to Clinical Quality, Safety and Audit and to internal compliance roles</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Health Passport</w:t>
            </w:r>
          </w:p>
        </w:tc>
        <w:tc>
          <w:tcPr>
            <w:tcW w:type="dxa" w:w="4200"/>
            <w:tcMar>
              <w:top w:type="dxa" w:w="80"/>
              <w:left w:type="dxa" w:w="100"/>
              <w:bottom w:type="dxa" w:w="80"/>
              <w:right w:type="dxa" w:w="100"/>
            </w:tcMar>
          </w:tcPr>
          <w:p>
            <w:r>
              <w:rPr>
                <w:b w:val="false"/>
                <w:bCs w:val="false"/>
                <w:color w:val="1A1A1A"/>
                <w:sz w:val="19"/>
                <w:szCs w:val="19"/>
              </w:rPr>
              <w:t xml:space="preserve">HealthPassportEntry, VaccinationRecord, AttestationRecord</w:t>
            </w:r>
          </w:p>
        </w:tc>
        <w:tc>
          <w:tcPr>
            <w:tcW w:type="dxa" w:w="3360"/>
            <w:tcMar>
              <w:top w:type="dxa" w:w="80"/>
              <w:left w:type="dxa" w:w="100"/>
              <w:bottom w:type="dxa" w:w="80"/>
              <w:right w:type="dxa" w:w="100"/>
            </w:tcMar>
          </w:tcPr>
          <w:p>
            <w:r>
              <w:rPr>
                <w:b w:val="false"/>
                <w:bCs w:val="false"/>
                <w:color w:val="1A1A1A"/>
                <w:sz w:val="19"/>
                <w:szCs w:val="19"/>
              </w:rPr>
              <w:t xml:space="preserve">Owner-controlled sharing (QR/PDF export); attestation status gated per 5.5</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Partners</w:t>
            </w:r>
          </w:p>
        </w:tc>
        <w:tc>
          <w:tcPr>
            <w:tcW w:type="dxa" w:w="4200"/>
            <w:tcMar>
              <w:top w:type="dxa" w:w="80"/>
              <w:left w:type="dxa" w:w="100"/>
              <w:bottom w:type="dxa" w:w="80"/>
              <w:right w:type="dxa" w:w="100"/>
            </w:tcMar>
          </w:tcPr>
          <w:p>
            <w:r>
              <w:rPr>
                <w:b w:val="false"/>
                <w:bCs w:val="false"/>
                <w:color w:val="1A1A1A"/>
                <w:sz w:val="19"/>
                <w:szCs w:val="19"/>
              </w:rPr>
              <w:t xml:space="preserve">LabPartner, LabOrder, LabResult, Facility, ReferralLetter, DeviceDistributorPartner</w:t>
            </w:r>
          </w:p>
        </w:tc>
        <w:tc>
          <w:tcPr>
            <w:tcW w:type="dxa" w:w="3360"/>
            <w:tcMar>
              <w:top w:type="dxa" w:w="80"/>
              <w:left w:type="dxa" w:w="100"/>
              <w:bottom w:type="dxa" w:w="80"/>
              <w:right w:type="dxa" w:w="100"/>
            </w:tcMar>
          </w:tcPr>
          <w:p>
            <w:r>
              <w:rPr>
                <w:b w:val="false"/>
                <w:bCs w:val="false"/>
                <w:color w:val="1A1A1A"/>
                <w:sz w:val="19"/>
                <w:szCs w:val="19"/>
              </w:rPr>
              <w:t xml:space="preserve">Scoped strictly to the specific order/referral being fulfilled</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Commercial</w:t>
            </w:r>
          </w:p>
        </w:tc>
        <w:tc>
          <w:tcPr>
            <w:tcW w:type="dxa" w:w="4200"/>
            <w:tcMar>
              <w:top w:type="dxa" w:w="80"/>
              <w:left w:type="dxa" w:w="100"/>
              <w:bottom w:type="dxa" w:w="80"/>
              <w:right w:type="dxa" w:w="100"/>
            </w:tcMar>
          </w:tcPr>
          <w:p>
            <w:r>
              <w:rPr>
                <w:b w:val="false"/>
                <w:bCs w:val="false"/>
                <w:color w:val="1A1A1A"/>
                <w:sz w:val="19"/>
                <w:szCs w:val="19"/>
              </w:rPr>
              <w:t xml:space="preserve">Subscription, HealthWalletTransaction, InstitutionalContract, CoveredLife, Invoice, CommissionLedgerEntry</w:t>
            </w:r>
          </w:p>
        </w:tc>
        <w:tc>
          <w:tcPr>
            <w:tcW w:type="dxa" w:w="3360"/>
            <w:tcMar>
              <w:top w:type="dxa" w:w="80"/>
              <w:left w:type="dxa" w:w="100"/>
              <w:bottom w:type="dxa" w:w="80"/>
              <w:right w:type="dxa" w:w="100"/>
            </w:tcMar>
          </w:tcPr>
          <w:p>
            <w:r>
              <w:rPr>
                <w:b w:val="false"/>
                <w:bCs w:val="false"/>
                <w:color w:val="1A1A1A"/>
                <w:sz w:val="19"/>
                <w:szCs w:val="19"/>
              </w:rPr>
              <w:t xml:space="preserve">Owner (consumer) or institutional-admin aggregate view only (never an individual CoveredLife's clinical data)</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Comms</w:t>
            </w:r>
          </w:p>
        </w:tc>
        <w:tc>
          <w:tcPr>
            <w:tcW w:type="dxa" w:w="4200"/>
            <w:tcMar>
              <w:top w:type="dxa" w:w="80"/>
              <w:left w:type="dxa" w:w="100"/>
              <w:bottom w:type="dxa" w:w="80"/>
              <w:right w:type="dxa" w:w="100"/>
            </w:tcMar>
          </w:tcPr>
          <w:p>
            <w:r>
              <w:rPr>
                <w:b w:val="false"/>
                <w:bCs w:val="false"/>
                <w:color w:val="1A1A1A"/>
                <w:sz w:val="19"/>
                <w:szCs w:val="19"/>
              </w:rPr>
              <w:t xml:space="preserve">NotificationLog (per rail), SupportTicket</w:t>
            </w:r>
          </w:p>
        </w:tc>
        <w:tc>
          <w:tcPr>
            <w:tcW w:type="dxa" w:w="3360"/>
            <w:tcMar>
              <w:top w:type="dxa" w:w="80"/>
              <w:left w:type="dxa" w:w="100"/>
              <w:bottom w:type="dxa" w:w="80"/>
              <w:right w:type="dxa" w:w="100"/>
            </w:tcMar>
          </w:tcPr>
          <w:p>
            <w:r>
              <w:rPr>
                <w:b w:val="false"/>
                <w:bCs w:val="false"/>
                <w:color w:val="1A1A1A"/>
                <w:sz w:val="19"/>
                <w:szCs w:val="19"/>
              </w:rPr>
              <w:t xml:space="preserve">Owner + Customer Success</w:t>
            </w:r>
          </w:p>
        </w:tc>
      </w:tr>
      <w:tr>
        <w:trPr>
          <w:cantSplit/>
        </w:trPr>
        <w:tc>
          <w:tcPr>
            <w:tcW w:type="dxa" w:w="1800"/>
            <w:tcMar>
              <w:top w:type="dxa" w:w="80"/>
              <w:left w:type="dxa" w:w="100"/>
              <w:bottom w:type="dxa" w:w="80"/>
              <w:right w:type="dxa" w:w="100"/>
            </w:tcMar>
          </w:tcPr>
          <w:p>
            <w:r>
              <w:rPr>
                <w:b w:val="false"/>
                <w:bCs w:val="false"/>
                <w:color w:val="1A1A1A"/>
                <w:sz w:val="19"/>
                <w:szCs w:val="19"/>
              </w:rPr>
              <w:t xml:space="preserve">Platform</w:t>
            </w:r>
          </w:p>
        </w:tc>
        <w:tc>
          <w:tcPr>
            <w:tcW w:type="dxa" w:w="4200"/>
            <w:tcMar>
              <w:top w:type="dxa" w:w="80"/>
              <w:left w:type="dxa" w:w="100"/>
              <w:bottom w:type="dxa" w:w="80"/>
              <w:right w:type="dxa" w:w="100"/>
            </w:tcMar>
          </w:tcPr>
          <w:p>
            <w:r>
              <w:rPr>
                <w:b w:val="false"/>
                <w:bCs w:val="false"/>
                <w:color w:val="1A1A1A"/>
                <w:sz w:val="19"/>
                <w:szCs w:val="19"/>
              </w:rPr>
              <w:t xml:space="preserve">ConfigFlag (`app_config`), DecisionLogReference</w:t>
            </w:r>
          </w:p>
        </w:tc>
        <w:tc>
          <w:tcPr>
            <w:tcW w:type="dxa" w:w="3360"/>
            <w:tcMar>
              <w:top w:type="dxa" w:w="80"/>
              <w:left w:type="dxa" w:w="100"/>
              <w:bottom w:type="dxa" w:w="80"/>
              <w:right w:type="dxa" w:w="100"/>
            </w:tcMar>
          </w:tcPr>
          <w:p>
            <w:r>
              <w:rPr>
                <w:b w:val="false"/>
                <w:bCs w:val="false"/>
                <w:color w:val="1A1A1A"/>
                <w:sz w:val="19"/>
                <w:szCs w:val="19"/>
              </w:rPr>
              <w:t xml:space="preserve">Internal admin roles only, per Section 2's role-gating</w:t>
            </w:r>
          </w:p>
        </w:tc>
      </w:tr>
    </w:tbl>
    <w:p>
      <w:pPr>
        <w:pBdr>
          <w:left w:val="single" w:color="2F6F4F" w:sz="18" w:space="8"/>
        </w:pBdr>
        <w:spacing w:after="200" w:before="120" w:line="264"/>
        <w:ind w:left="200"/>
      </w:pPr>
      <w:r>
        <w:rPr>
          <w:b/>
          <w:bCs/>
          <w:color w:val="2F6F4F"/>
          <w:sz w:val="20"/>
          <w:szCs w:val="20"/>
        </w:rPr>
        <w:t xml:space="preserve">Institutional aggregation, specifically:  </w:t>
      </w:r>
      <w:r>
        <w:rPr>
          <w:i/>
          <w:iCs/>
          <w:color w:val="5B6B63"/>
          <w:sz w:val="20"/>
          <w:szCs w:val="20"/>
        </w:rPr>
        <w:t xml:space="preserve">population-health figures shown in the institutional console (5.7) should be served from materialised aggregate views computed server-side with minimum cell-size suppression — never computed client-side from a query that could, even accidentally, return row-level records to an institutional-admin session.</w:t>
      </w:r>
    </w:p>
    <w:p>
      <w:r>
        <w:br w:type="page"/>
      </w:r>
    </w:p>
    <w:p>
      <w:pPr>
        <w:pStyle w:val="Heading1"/>
        <w:pBdr>
          <w:bottom w:val="single" w:color="C9D4CE" w:sz="6" w:space="4"/>
        </w:pBdr>
        <w:spacing w:after="200" w:before="480"/>
      </w:pPr>
      <w:r>
        <w:rPr>
          <w:b/>
          <w:bCs/>
          <w:color w:val="2F6F4F"/>
          <w:sz w:val="30"/>
          <w:szCs w:val="30"/>
        </w:rPr>
        <w:t xml:space="preserve">7. Non-Functional Requirements</w:t>
      </w:r>
    </w:p>
    <w:p>
      <w:pPr>
        <w:spacing w:after="160" w:line="276"/>
      </w:pPr>
      <w:r>
        <w:rPr>
          <w:color w:val="1A1A1A"/>
          <w:sz w:val="21"/>
          <w:szCs w:val="21"/>
        </w:rPr>
        <w:t xml:space="preserve">Treat these as release-blocking acceptance criteria, not aspirational goals — several exist specifically because the target user is not the Lagos tech-worker persona it is tempting to design for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EDF3EF" w:val="clear"/>
            <w:tcMar>
              <w:top w:type="dxa" w:w="80"/>
              <w:left w:type="dxa" w:w="100"/>
              <w:bottom w:type="dxa" w:w="80"/>
              <w:right w:type="dxa" w:w="100"/>
            </w:tcMar>
          </w:tcPr>
          <w:p>
            <w:r>
              <w:rPr>
                <w:b/>
                <w:bCs/>
                <w:color w:val="1A1A1A"/>
                <w:sz w:val="19"/>
                <w:szCs w:val="19"/>
              </w:rPr>
              <w:t xml:space="preserve">Area</w:t>
            </w:r>
          </w:p>
        </w:tc>
        <w:tc>
          <w:tcPr>
            <w:tcW w:type="dxa" w:w="6960"/>
            <w:shd w:fill="EDF3EF" w:val="clear"/>
            <w:tcMar>
              <w:top w:type="dxa" w:w="80"/>
              <w:left w:type="dxa" w:w="100"/>
              <w:bottom w:type="dxa" w:w="80"/>
              <w:right w:type="dxa" w:w="100"/>
            </w:tcMar>
          </w:tcPr>
          <w:p>
            <w:r>
              <w:rPr>
                <w:b/>
                <w:bCs/>
                <w:color w:val="1A1A1A"/>
                <w:sz w:val="19"/>
                <w:szCs w:val="19"/>
              </w:rPr>
              <w:t xml:space="preserve">Requirement</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Performance</w:t>
            </w:r>
          </w:p>
        </w:tc>
        <w:tc>
          <w:tcPr>
            <w:tcW w:type="dxa" w:w="6960"/>
            <w:tcMar>
              <w:top w:type="dxa" w:w="80"/>
              <w:left w:type="dxa" w:w="100"/>
              <w:bottom w:type="dxa" w:w="80"/>
              <w:right w:type="dxa" w:w="100"/>
            </w:tcMar>
          </w:tcPr>
          <w:p>
            <w:r>
              <w:rPr>
                <w:b w:val="false"/>
                <w:bCs w:val="false"/>
                <w:color w:val="1A1A1A"/>
                <w:sz w:val="19"/>
                <w:szCs w:val="19"/>
              </w:rPr>
              <w:t xml:space="preserve">Patient app cold start under 3 seconds on a mid-range Android device; API p95 latency under 500ms</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Availability</w:t>
            </w:r>
          </w:p>
        </w:tc>
        <w:tc>
          <w:tcPr>
            <w:tcW w:type="dxa" w:w="6960"/>
            <w:tcMar>
              <w:top w:type="dxa" w:w="80"/>
              <w:left w:type="dxa" w:w="100"/>
              <w:bottom w:type="dxa" w:w="80"/>
              <w:right w:type="dxa" w:w="100"/>
            </w:tcMar>
          </w:tcPr>
          <w:p>
            <w:r>
              <w:rPr>
                <w:b w:val="false"/>
                <w:bCs w:val="false"/>
                <w:color w:val="1A1A1A"/>
                <w:sz w:val="19"/>
                <w:szCs w:val="19"/>
              </w:rPr>
              <w:t xml:space="preserve">99.5% for patient app core flows (login, Health Passport, messaging); the clinician and institutional consoles can tolerate more planned downtime</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Low-bandwidth design</w:t>
            </w:r>
          </w:p>
        </w:tc>
        <w:tc>
          <w:tcPr>
            <w:tcW w:type="dxa" w:w="6960"/>
            <w:tcMar>
              <w:top w:type="dxa" w:w="80"/>
              <w:left w:type="dxa" w:w="100"/>
              <w:bottom w:type="dxa" w:w="80"/>
              <w:right w:type="dxa" w:w="100"/>
            </w:tcMar>
          </w:tcPr>
          <w:p>
            <w:r>
              <w:rPr>
                <w:b w:val="false"/>
                <w:bCs w:val="false"/>
                <w:color w:val="1A1A1A"/>
                <w:sz w:val="19"/>
                <w:szCs w:val="19"/>
              </w:rPr>
              <w:t xml:space="preserve">Usable on 3G/EDGE: compressed images, paginated lists, minimal payloads, and the offline tolerance described in Section 4.3</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Accessibility</w:t>
            </w:r>
          </w:p>
        </w:tc>
        <w:tc>
          <w:tcPr>
            <w:tcW w:type="dxa" w:w="6960"/>
            <w:tcMar>
              <w:top w:type="dxa" w:w="80"/>
              <w:left w:type="dxa" w:w="100"/>
              <w:bottom w:type="dxa" w:w="80"/>
              <w:right w:type="dxa" w:w="100"/>
            </w:tcMar>
          </w:tcPr>
          <w:p>
            <w:r>
              <w:rPr>
                <w:b w:val="false"/>
                <w:bCs w:val="false"/>
                <w:color w:val="1A1A1A"/>
                <w:sz w:val="19"/>
                <w:szCs w:val="19"/>
              </w:rPr>
              <w:t xml:space="preserve">Screen-reader support, a large-text mode, and audio narration of key screens for low-literacy users, not just larger fonts</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Localisation architecture</w:t>
            </w:r>
          </w:p>
        </w:tc>
        <w:tc>
          <w:tcPr>
            <w:tcW w:type="dxa" w:w="6960"/>
            <w:tcMar>
              <w:top w:type="dxa" w:w="80"/>
              <w:left w:type="dxa" w:w="100"/>
              <w:bottom w:type="dxa" w:w="80"/>
              <w:right w:type="dxa" w:w="100"/>
            </w:tcMar>
          </w:tcPr>
          <w:p>
            <w:r>
              <w:rPr>
                <w:b w:val="false"/>
                <w:bCs w:val="false"/>
                <w:color w:val="1A1A1A"/>
                <w:sz w:val="19"/>
                <w:szCs w:val="19"/>
              </w:rPr>
              <w:t xml:space="preserve">Every user-facing string externalised for translation from the first commit — English and Pidgin at launch, Yoruba/Hausa/Igbo added without touching application code</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Scalability</w:t>
            </w:r>
          </w:p>
        </w:tc>
        <w:tc>
          <w:tcPr>
            <w:tcW w:type="dxa" w:w="6960"/>
            <w:tcMar>
              <w:top w:type="dxa" w:w="80"/>
              <w:left w:type="dxa" w:w="100"/>
              <w:bottom w:type="dxa" w:w="80"/>
              <w:right w:type="dxa" w:w="100"/>
            </w:tcMar>
          </w:tcPr>
          <w:p>
            <w:r>
              <w:rPr>
                <w:b w:val="false"/>
                <w:bCs w:val="false"/>
                <w:color w:val="1A1A1A"/>
                <w:sz w:val="19"/>
                <w:szCs w:val="19"/>
              </w:rPr>
              <w:t xml:space="preserve">Architected to serve at least 10x the roadmap's Stage-target of roughly 12,000 consumer subscribers plus 35,000 institutional covered lives without a re-platform</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Observability</w:t>
            </w:r>
          </w:p>
        </w:tc>
        <w:tc>
          <w:tcPr>
            <w:tcW w:type="dxa" w:w="6960"/>
            <w:tcMar>
              <w:top w:type="dxa" w:w="80"/>
              <w:left w:type="dxa" w:w="100"/>
              <w:bottom w:type="dxa" w:w="80"/>
              <w:right w:type="dxa" w:w="100"/>
            </w:tcMar>
          </w:tcPr>
          <w:p>
            <w:r>
              <w:rPr>
                <w:b w:val="false"/>
                <w:bCs w:val="false"/>
                <w:color w:val="1A1A1A"/>
                <w:sz w:val="19"/>
                <w:szCs w:val="19"/>
              </w:rPr>
              <w:t xml:space="preserve">Error tracking, structured logging, uptime monitoring, and a specific clinical-safety alert: the escalation queue (5.6) paging an on-call clinician if it backs up beyond an agreed threshold</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Security testing</w:t>
            </w:r>
          </w:p>
        </w:tc>
        <w:tc>
          <w:tcPr>
            <w:tcW w:type="dxa" w:w="6960"/>
            <w:tcMar>
              <w:top w:type="dxa" w:w="80"/>
              <w:left w:type="dxa" w:w="100"/>
              <w:bottom w:type="dxa" w:w="80"/>
              <w:right w:type="dxa" w:w="100"/>
            </w:tcMar>
          </w:tcPr>
          <w:p>
            <w:r>
              <w:rPr>
                <w:b w:val="false"/>
                <w:bCs w:val="false"/>
                <w:color w:val="1A1A1A"/>
                <w:sz w:val="19"/>
                <w:szCs w:val="19"/>
              </w:rPr>
              <w:t xml:space="preserve">Independent penetration test before the first institutional pilot goes live, and before any claim of readiness for HMO/state data is made externally</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Data residency</w:t>
            </w:r>
          </w:p>
        </w:tc>
        <w:tc>
          <w:tcPr>
            <w:tcW w:type="dxa" w:w="6960"/>
            <w:tcMar>
              <w:top w:type="dxa" w:w="80"/>
              <w:left w:type="dxa" w:w="100"/>
              <w:bottom w:type="dxa" w:w="80"/>
              <w:right w:type="dxa" w:w="100"/>
            </w:tcMar>
          </w:tcPr>
          <w:p>
            <w:r>
              <w:rPr>
                <w:b w:val="false"/>
                <w:bCs w:val="false"/>
                <w:color w:val="1A1A1A"/>
                <w:sz w:val="19"/>
                <w:szCs w:val="19"/>
              </w:rPr>
              <w:t xml:space="preserve">Hosting region choice signed off jointly by Regulatory Affairs and the Data Protection Officer (Section 2), balancing latency against NDPR data-residency expectations — flagged again in Section 11 as an open decision, not a default the engineering team should make alone</w:t>
            </w:r>
          </w:p>
        </w:tc>
      </w:tr>
    </w:tbl>
    <w:p>
      <w:r>
        <w:br w:type="page"/>
      </w:r>
    </w:p>
    <w:p>
      <w:pPr>
        <w:pStyle w:val="Heading1"/>
        <w:pBdr>
          <w:bottom w:val="single" w:color="C9D4CE" w:sz="6" w:space="4"/>
        </w:pBdr>
        <w:spacing w:after="200" w:before="480"/>
      </w:pPr>
      <w:r>
        <w:rPr>
          <w:b/>
          <w:bCs/>
          <w:color w:val="2F6F4F"/>
          <w:sz w:val="30"/>
          <w:szCs w:val="30"/>
        </w:rPr>
        <w:t xml:space="preserve">8. Phased Build Roadmap</w:t>
      </w:r>
    </w:p>
    <w:p>
      <w:pPr>
        <w:spacing w:after="160" w:line="276"/>
      </w:pPr>
      <w:r>
        <w:rPr>
          <w:color w:val="1A1A1A"/>
          <w:sz w:val="21"/>
          <w:szCs w:val="21"/>
        </w:rPr>
        <w:t xml:space="preserve">Phase 1 and Phase 2 are built in parallel with no hard build gate between them — the standing decision already made is that the four legal/clinical-safety conditions (Section 11.2) become runtime go-live guards in `app_config`, not blockers on writing code. The milestone table below is a consolidation to plan sprints against; reconcile the detail against the company folder's own eight-milestone Build Specification v3 and Phase 2 build spec, which carry the authoritative schema-level detail.</w:t>
      </w:r>
    </w:p>
    <w:p>
      <w:pPr>
        <w:pStyle w:val="Heading2"/>
        <w:spacing w:after="140" w:before="320"/>
      </w:pPr>
      <w:r>
        <w:rPr>
          <w:b/>
          <w:bCs/>
          <w:color w:val="1A1A1A"/>
          <w:sz w:val="25"/>
          <w:szCs w:val="25"/>
        </w:rPr>
        <w:t xml:space="preserve">8.1 Phase 1 — Core Protocol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cantSplit/>
          <w:tblHeader/>
        </w:trPr>
        <w:tc>
          <w:tcPr>
            <w:tcW w:type="dxa" w:w="2400"/>
            <w:shd w:fill="EDF3EF" w:val="clear"/>
            <w:tcMar>
              <w:top w:type="dxa" w:w="80"/>
              <w:left w:type="dxa" w:w="100"/>
              <w:bottom w:type="dxa" w:w="80"/>
              <w:right w:type="dxa" w:w="100"/>
            </w:tcMar>
          </w:tcPr>
          <w:p>
            <w:r>
              <w:rPr>
                <w:b/>
                <w:bCs/>
                <w:color w:val="1A1A1A"/>
                <w:sz w:val="19"/>
                <w:szCs w:val="19"/>
              </w:rPr>
              <w:t xml:space="preserve">Milestone</w:t>
            </w:r>
          </w:p>
        </w:tc>
        <w:tc>
          <w:tcPr>
            <w:tcW w:type="dxa" w:w="3960"/>
            <w:shd w:fill="EDF3EF" w:val="clear"/>
            <w:tcMar>
              <w:top w:type="dxa" w:w="80"/>
              <w:left w:type="dxa" w:w="100"/>
              <w:bottom w:type="dxa" w:w="80"/>
              <w:right w:type="dxa" w:w="100"/>
            </w:tcMar>
          </w:tcPr>
          <w:p>
            <w:r>
              <w:rPr>
                <w:b/>
                <w:bCs/>
                <w:color w:val="1A1A1A"/>
                <w:sz w:val="19"/>
                <w:szCs w:val="19"/>
              </w:rPr>
              <w:t xml:space="preserve">Scope</w:t>
            </w:r>
          </w:p>
        </w:tc>
        <w:tc>
          <w:tcPr>
            <w:tcW w:type="dxa" w:w="3000"/>
            <w:shd w:fill="EDF3EF" w:val="clear"/>
            <w:tcMar>
              <w:top w:type="dxa" w:w="80"/>
              <w:left w:type="dxa" w:w="100"/>
              <w:bottom w:type="dxa" w:w="80"/>
              <w:right w:type="dxa" w:w="100"/>
            </w:tcMar>
          </w:tcPr>
          <w:p>
            <w:r>
              <w:rPr>
                <w:b/>
                <w:bCs/>
                <w:color w:val="1A1A1A"/>
                <w:sz w:val="19"/>
                <w:szCs w:val="19"/>
              </w:rPr>
              <w:t xml:space="preserve">Exit criteria</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M1 — Identity &amp; onboarding</w:t>
            </w:r>
          </w:p>
        </w:tc>
        <w:tc>
          <w:tcPr>
            <w:tcW w:type="dxa" w:w="3960"/>
            <w:tcMar>
              <w:top w:type="dxa" w:w="80"/>
              <w:left w:type="dxa" w:w="100"/>
              <w:bottom w:type="dxa" w:w="80"/>
              <w:right w:type="dxa" w:w="100"/>
            </w:tcMar>
          </w:tcPr>
          <w:p>
            <w:r>
              <w:rPr>
                <w:b w:val="false"/>
                <w:bCs w:val="false"/>
                <w:color w:val="1A1A1A"/>
                <w:sz w:val="19"/>
                <w:szCs w:val="19"/>
              </w:rPr>
              <w:t xml:space="preserve">5.1: phone/OTP signup, consent capture, free-tier account</w:t>
            </w:r>
          </w:p>
        </w:tc>
        <w:tc>
          <w:tcPr>
            <w:tcW w:type="dxa" w:w="3000"/>
            <w:tcMar>
              <w:top w:type="dxa" w:w="80"/>
              <w:left w:type="dxa" w:w="100"/>
              <w:bottom w:type="dxa" w:w="80"/>
              <w:right w:type="dxa" w:w="100"/>
            </w:tcMar>
          </w:tcPr>
          <w:p>
            <w:r>
              <w:rPr>
                <w:b w:val="false"/>
                <w:bCs w:val="false"/>
                <w:color w:val="1A1A1A"/>
                <w:sz w:val="19"/>
                <w:szCs w:val="19"/>
              </w:rPr>
              <w:t xml:space="preserve">A real phone number can create an account and reach a completed risk assessment</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M2 — Screening engine</w:t>
            </w:r>
          </w:p>
        </w:tc>
        <w:tc>
          <w:tcPr>
            <w:tcW w:type="dxa" w:w="3960"/>
            <w:tcMar>
              <w:top w:type="dxa" w:w="80"/>
              <w:left w:type="dxa" w:w="100"/>
              <w:bottom w:type="dxa" w:w="80"/>
              <w:right w:type="dxa" w:w="100"/>
            </w:tcMar>
          </w:tcPr>
          <w:p>
            <w:r>
              <w:rPr>
                <w:b w:val="false"/>
                <w:bCs w:val="false"/>
                <w:color w:val="1A1A1A"/>
                <w:sz w:val="19"/>
                <w:szCs w:val="19"/>
              </w:rPr>
              <w:t xml:space="preserve">5.2: risk tiering, three screening packages, pathway-suppression logic</w:t>
            </w:r>
          </w:p>
        </w:tc>
        <w:tc>
          <w:tcPr>
            <w:tcW w:type="dxa" w:w="3000"/>
            <w:tcMar>
              <w:top w:type="dxa" w:w="80"/>
              <w:left w:type="dxa" w:w="100"/>
              <w:bottom w:type="dxa" w:w="80"/>
              <w:right w:type="dxa" w:w="100"/>
            </w:tcMar>
          </w:tcPr>
          <w:p>
            <w:r>
              <w:rPr>
                <w:b w:val="false"/>
                <w:bCs w:val="false"/>
                <w:color w:val="1A1A1A"/>
                <w:sz w:val="19"/>
                <w:szCs w:val="19"/>
              </w:rPr>
              <w:t xml:space="preserve">A user receives a correct, personalised screening calendar</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M3 — Hypertension pathway v1</w:t>
            </w:r>
          </w:p>
        </w:tc>
        <w:tc>
          <w:tcPr>
            <w:tcW w:type="dxa" w:w="3960"/>
            <w:tcMar>
              <w:top w:type="dxa" w:w="80"/>
              <w:left w:type="dxa" w:w="100"/>
              <w:bottom w:type="dxa" w:w="80"/>
              <w:right w:type="dxa" w:w="100"/>
            </w:tcMar>
          </w:tcPr>
          <w:p>
            <w:r>
              <w:rPr>
                <w:b w:val="false"/>
                <w:bCs w:val="false"/>
                <w:color w:val="1A1A1A"/>
                <w:sz w:val="19"/>
                <w:szCs w:val="19"/>
              </w:rPr>
              <w:t xml:space="preserve">5.3: WHO HEARTS state machine, manual vitals entry, medication list</w:t>
            </w:r>
          </w:p>
        </w:tc>
        <w:tc>
          <w:tcPr>
            <w:tcW w:type="dxa" w:w="3000"/>
            <w:tcMar>
              <w:top w:type="dxa" w:w="80"/>
              <w:left w:type="dxa" w:w="100"/>
              <w:bottom w:type="dxa" w:w="80"/>
              <w:right w:type="dxa" w:w="100"/>
            </w:tcMar>
          </w:tcPr>
          <w:p>
            <w:r>
              <w:rPr>
                <w:b w:val="false"/>
                <w:bCs w:val="false"/>
                <w:color w:val="1A1A1A"/>
                <w:sz w:val="19"/>
                <w:szCs w:val="19"/>
              </w:rPr>
              <w:t xml:space="preserve">A diagnosed hypertensive patient can be tracked start to review under protocol</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M4 — Health Passport &amp; vaccination registry</w:t>
            </w:r>
          </w:p>
        </w:tc>
        <w:tc>
          <w:tcPr>
            <w:tcW w:type="dxa" w:w="3960"/>
            <w:tcMar>
              <w:top w:type="dxa" w:w="80"/>
              <w:left w:type="dxa" w:w="100"/>
              <w:bottom w:type="dxa" w:w="80"/>
              <w:right w:type="dxa" w:w="100"/>
            </w:tcMar>
          </w:tcPr>
          <w:p>
            <w:r>
              <w:rPr>
                <w:b w:val="false"/>
                <w:bCs w:val="false"/>
                <w:color w:val="1A1A1A"/>
                <w:sz w:val="19"/>
                <w:szCs w:val="19"/>
              </w:rPr>
              <w:t xml:space="preserve">5.5: record structure, QR/PDF export, due-date engine</w:t>
            </w:r>
          </w:p>
        </w:tc>
        <w:tc>
          <w:tcPr>
            <w:tcW w:type="dxa" w:w="3000"/>
            <w:tcMar>
              <w:top w:type="dxa" w:w="80"/>
              <w:left w:type="dxa" w:w="100"/>
              <w:bottom w:type="dxa" w:w="80"/>
              <w:right w:type="dxa" w:w="100"/>
            </w:tcMar>
          </w:tcPr>
          <w:p>
            <w:r>
              <w:rPr>
                <w:b w:val="false"/>
                <w:bCs w:val="false"/>
                <w:color w:val="1A1A1A"/>
                <w:sz w:val="19"/>
                <w:szCs w:val="19"/>
              </w:rPr>
              <w:t xml:space="preserve">A patient's record is portable and shareable outside the platform</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M5 — Clinician console v1</w:t>
            </w:r>
          </w:p>
        </w:tc>
        <w:tc>
          <w:tcPr>
            <w:tcW w:type="dxa" w:w="3960"/>
            <w:tcMar>
              <w:top w:type="dxa" w:w="80"/>
              <w:left w:type="dxa" w:w="100"/>
              <w:bottom w:type="dxa" w:w="80"/>
              <w:right w:type="dxa" w:w="100"/>
            </w:tcMar>
          </w:tcPr>
          <w:p>
            <w:r>
              <w:rPr>
                <w:b w:val="false"/>
                <w:bCs w:val="false"/>
                <w:color w:val="1A1A1A"/>
                <w:sz w:val="19"/>
                <w:szCs w:val="19"/>
              </w:rPr>
              <w:t xml:space="preserve">5.6: panel view, chart review, manual clinical messaging</w:t>
            </w:r>
          </w:p>
        </w:tc>
        <w:tc>
          <w:tcPr>
            <w:tcW w:type="dxa" w:w="3000"/>
            <w:tcMar>
              <w:top w:type="dxa" w:w="80"/>
              <w:left w:type="dxa" w:w="100"/>
              <w:bottom w:type="dxa" w:w="80"/>
              <w:right w:type="dxa" w:w="100"/>
            </w:tcMar>
          </w:tcPr>
          <w:p>
            <w:r>
              <w:rPr>
                <w:b w:val="false"/>
                <w:bCs w:val="false"/>
                <w:color w:val="1A1A1A"/>
                <w:sz w:val="19"/>
                <w:szCs w:val="19"/>
              </w:rPr>
              <w:t xml:space="preserve">A doctor can manage an assigned panel without touching the database directly</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M6 — Five-rail comms v1</w:t>
            </w:r>
          </w:p>
        </w:tc>
        <w:tc>
          <w:tcPr>
            <w:tcW w:type="dxa" w:w="3960"/>
            <w:tcMar>
              <w:top w:type="dxa" w:w="80"/>
              <w:left w:type="dxa" w:w="100"/>
              <w:bottom w:type="dxa" w:w="80"/>
              <w:right w:type="dxa" w:w="100"/>
            </w:tcMar>
          </w:tcPr>
          <w:p>
            <w:r>
              <w:rPr>
                <w:b w:val="false"/>
                <w:bCs w:val="false"/>
                <w:color w:val="1A1A1A"/>
                <w:sz w:val="19"/>
                <w:szCs w:val="19"/>
              </w:rPr>
              <w:t xml:space="preserve">5.13: in-app, push, SMS (OTP + fallback), email</w:t>
            </w:r>
          </w:p>
        </w:tc>
        <w:tc>
          <w:tcPr>
            <w:tcW w:type="dxa" w:w="3000"/>
            <w:tcMar>
              <w:top w:type="dxa" w:w="80"/>
              <w:left w:type="dxa" w:w="100"/>
              <w:bottom w:type="dxa" w:w="80"/>
              <w:right w:type="dxa" w:w="100"/>
            </w:tcMar>
          </w:tcPr>
          <w:p>
            <w:r>
              <w:rPr>
                <w:b w:val="false"/>
                <w:bCs w:val="false"/>
                <w:color w:val="1A1A1A"/>
                <w:sz w:val="19"/>
                <w:szCs w:val="19"/>
              </w:rPr>
              <w:t xml:space="preserve">A reminder reaches a patient through at least two independent rails</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M7 — Payments v1</w:t>
            </w:r>
          </w:p>
        </w:tc>
        <w:tc>
          <w:tcPr>
            <w:tcW w:type="dxa" w:w="3960"/>
            <w:tcMar>
              <w:top w:type="dxa" w:w="80"/>
              <w:left w:type="dxa" w:w="100"/>
              <w:bottom w:type="dxa" w:w="80"/>
              <w:right w:type="dxa" w:w="100"/>
            </w:tcMar>
          </w:tcPr>
          <w:p>
            <w:r>
              <w:rPr>
                <w:b w:val="false"/>
                <w:bCs w:val="false"/>
                <w:color w:val="1A1A1A"/>
                <w:sz w:val="19"/>
                <w:szCs w:val="19"/>
              </w:rPr>
              <w:t xml:space="preserve">5.11: Free/Control billing, Paystack/Flutterwave integration</w:t>
            </w:r>
          </w:p>
        </w:tc>
        <w:tc>
          <w:tcPr>
            <w:tcW w:type="dxa" w:w="3000"/>
            <w:tcMar>
              <w:top w:type="dxa" w:w="80"/>
              <w:left w:type="dxa" w:w="100"/>
              <w:bottom w:type="dxa" w:w="80"/>
              <w:right w:type="dxa" w:w="100"/>
            </w:tcMar>
          </w:tcPr>
          <w:p>
            <w:r>
              <w:rPr>
                <w:b w:val="false"/>
                <w:bCs w:val="false"/>
                <w:color w:val="1A1A1A"/>
                <w:sz w:val="19"/>
                <w:szCs w:val="19"/>
              </w:rPr>
              <w:t xml:space="preserve">A patient can upgrade to Control and be billed correctly in naira</w:t>
            </w:r>
          </w:p>
        </w:tc>
      </w:tr>
      <w:tr>
        <w:trPr>
          <w:cantSplit/>
        </w:trPr>
        <w:tc>
          <w:tcPr>
            <w:tcW w:type="dxa" w:w="2400"/>
            <w:tcMar>
              <w:top w:type="dxa" w:w="80"/>
              <w:left w:type="dxa" w:w="100"/>
              <w:bottom w:type="dxa" w:w="80"/>
              <w:right w:type="dxa" w:w="100"/>
            </w:tcMar>
          </w:tcPr>
          <w:p>
            <w:r>
              <w:rPr>
                <w:b w:val="false"/>
                <w:bCs w:val="false"/>
                <w:color w:val="1A1A1A"/>
                <w:sz w:val="19"/>
                <w:szCs w:val="19"/>
              </w:rPr>
              <w:t xml:space="preserve">M8 — Institutional MVP</w:t>
            </w:r>
          </w:p>
        </w:tc>
        <w:tc>
          <w:tcPr>
            <w:tcW w:type="dxa" w:w="3960"/>
            <w:tcMar>
              <w:top w:type="dxa" w:w="80"/>
              <w:left w:type="dxa" w:w="100"/>
              <w:bottom w:type="dxa" w:w="80"/>
              <w:right w:type="dxa" w:w="100"/>
            </w:tcMar>
          </w:tcPr>
          <w:p>
            <w:r>
              <w:rPr>
                <w:b w:val="false"/>
                <w:bCs w:val="false"/>
                <w:color w:val="1A1A1A"/>
                <w:sz w:val="19"/>
                <w:szCs w:val="19"/>
              </w:rPr>
              <w:t xml:space="preserve">5.7: covered-life upload, aggregate reporting v1, invoicing</w:t>
            </w:r>
          </w:p>
        </w:tc>
        <w:tc>
          <w:tcPr>
            <w:tcW w:type="dxa" w:w="3000"/>
            <w:tcMar>
              <w:top w:type="dxa" w:w="80"/>
              <w:left w:type="dxa" w:w="100"/>
              <w:bottom w:type="dxa" w:w="80"/>
              <w:right w:type="dxa" w:w="100"/>
            </w:tcMar>
          </w:tcPr>
          <w:p>
            <w:r>
              <w:rPr>
                <w:b w:val="false"/>
                <w:bCs w:val="false"/>
                <w:color w:val="1A1A1A"/>
                <w:sz w:val="19"/>
                <w:szCs w:val="19"/>
              </w:rPr>
              <w:t xml:space="preserve">A single institutional pilot can be onboarded and billed with zero individual-record leakage</w:t>
            </w:r>
          </w:p>
        </w:tc>
      </w:tr>
    </w:tbl>
    <w:p>
      <w:pPr>
        <w:pStyle w:val="Heading2"/>
        <w:spacing w:after="140" w:before="320"/>
      </w:pPr>
      <w:r>
        <w:rPr>
          <w:b/>
          <w:bCs/>
          <w:color w:val="1A1A1A"/>
          <w:sz w:val="25"/>
          <w:szCs w:val="25"/>
        </w:rPr>
        <w:t xml:space="preserve">8.2 Phase 2 — Evidence, Automation &amp;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EDF3EF" w:val="clear"/>
            <w:tcMar>
              <w:top w:type="dxa" w:w="80"/>
              <w:left w:type="dxa" w:w="100"/>
              <w:bottom w:type="dxa" w:w="80"/>
              <w:right w:type="dxa" w:w="100"/>
            </w:tcMar>
          </w:tcPr>
          <w:p>
            <w:r>
              <w:rPr>
                <w:b/>
                <w:bCs/>
                <w:color w:val="1A1A1A"/>
                <w:sz w:val="19"/>
                <w:szCs w:val="19"/>
              </w:rPr>
              <w:t xml:space="preserve">Milestone</w:t>
            </w:r>
          </w:p>
        </w:tc>
        <w:tc>
          <w:tcPr>
            <w:tcW w:type="dxa" w:w="6760"/>
            <w:shd w:fill="EDF3EF" w:val="clear"/>
            <w:tcMar>
              <w:top w:type="dxa" w:w="80"/>
              <w:left w:type="dxa" w:w="100"/>
              <w:bottom w:type="dxa" w:w="80"/>
              <w:right w:type="dxa" w:w="100"/>
            </w:tcMar>
          </w:tcPr>
          <w:p>
            <w:r>
              <w:rPr>
                <w:b/>
                <w:bCs/>
                <w:color w:val="1A1A1A"/>
                <w:sz w:val="19"/>
                <w:szCs w:val="19"/>
              </w:rPr>
              <w:t xml:space="preserve">Scope</w:t>
            </w:r>
          </w:p>
        </w:tc>
      </w:tr>
      <w:tr>
        <w:trPr>
          <w:cantSplit/>
        </w:trPr>
        <w:tc>
          <w:tcPr>
            <w:tcW w:type="dxa" w:w="2600"/>
            <w:tcMar>
              <w:top w:type="dxa" w:w="80"/>
              <w:left w:type="dxa" w:w="100"/>
              <w:bottom w:type="dxa" w:w="80"/>
              <w:right w:type="dxa" w:w="100"/>
            </w:tcMar>
          </w:tcPr>
          <w:p>
            <w:r>
              <w:rPr>
                <w:b w:val="false"/>
                <w:bCs w:val="false"/>
                <w:color w:val="1A1A1A"/>
                <w:sz w:val="19"/>
                <w:szCs w:val="19"/>
              </w:rPr>
              <w:t xml:space="preserve">P2.1 — Evidence layer</w:t>
            </w:r>
          </w:p>
        </w:tc>
        <w:tc>
          <w:tcPr>
            <w:tcW w:type="dxa" w:w="6760"/>
            <w:tcMar>
              <w:top w:type="dxa" w:w="80"/>
              <w:left w:type="dxa" w:w="100"/>
              <w:bottom w:type="dxa" w:w="80"/>
              <w:right w:type="dxa" w:w="100"/>
            </w:tcMar>
          </w:tcPr>
          <w:p>
            <w:r>
              <w:rPr>
                <w:b w:val="false"/>
                <w:bCs w:val="false"/>
                <w:color w:val="1A1A1A"/>
                <w:sz w:val="19"/>
                <w:szCs w:val="19"/>
              </w:rPr>
              <w:t xml:space="preserve">Baselines, outcome snapshots, and structured clinical-event logging feeding pathway-control reporting (5.19)</w:t>
            </w:r>
          </w:p>
        </w:tc>
      </w:tr>
      <w:tr>
        <w:trPr>
          <w:cantSplit/>
        </w:trPr>
        <w:tc>
          <w:tcPr>
            <w:tcW w:type="dxa" w:w="2600"/>
            <w:tcMar>
              <w:top w:type="dxa" w:w="80"/>
              <w:left w:type="dxa" w:w="100"/>
              <w:bottom w:type="dxa" w:w="80"/>
              <w:right w:type="dxa" w:w="100"/>
            </w:tcMar>
          </w:tcPr>
          <w:p>
            <w:r>
              <w:rPr>
                <w:b w:val="false"/>
                <w:bCs w:val="false"/>
                <w:color w:val="1A1A1A"/>
                <w:sz w:val="19"/>
                <w:szCs w:val="19"/>
              </w:rPr>
              <w:t xml:space="preserve">P2.2 — Triage v2</w:t>
            </w:r>
          </w:p>
        </w:tc>
        <w:tc>
          <w:tcPr>
            <w:tcW w:type="dxa" w:w="6760"/>
            <w:tcMar>
              <w:top w:type="dxa" w:w="80"/>
              <w:left w:type="dxa" w:w="100"/>
              <w:bottom w:type="dxa" w:w="80"/>
              <w:right w:type="dxa" w:w="100"/>
            </w:tcMar>
          </w:tcPr>
          <w:p>
            <w:r>
              <w:rPr>
                <w:b w:val="false"/>
                <w:bCs w:val="false"/>
                <w:color w:val="1A1A1A"/>
                <w:sz w:val="19"/>
                <w:szCs w:val="19"/>
              </w:rPr>
              <w:t xml:space="preserve">Adherence/silence signal detection (5.3, 5.4), AI-drafted titration proposals with mandatory clinician signature (5.6)</w:t>
            </w:r>
          </w:p>
        </w:tc>
      </w:tr>
      <w:tr>
        <w:trPr>
          <w:cantSplit/>
        </w:trPr>
        <w:tc>
          <w:tcPr>
            <w:tcW w:type="dxa" w:w="2600"/>
            <w:tcMar>
              <w:top w:type="dxa" w:w="80"/>
              <w:left w:type="dxa" w:w="100"/>
              <w:bottom w:type="dxa" w:w="80"/>
              <w:right w:type="dxa" w:w="100"/>
            </w:tcMar>
          </w:tcPr>
          <w:p>
            <w:r>
              <w:rPr>
                <w:b w:val="false"/>
                <w:bCs w:val="false"/>
                <w:color w:val="1A1A1A"/>
                <w:sz w:val="19"/>
                <w:szCs w:val="19"/>
              </w:rPr>
              <w:t xml:space="preserve">P2.3 — Device integration</w:t>
            </w:r>
          </w:p>
        </w:tc>
        <w:tc>
          <w:tcPr>
            <w:tcW w:type="dxa" w:w="6760"/>
            <w:tcMar>
              <w:top w:type="dxa" w:w="80"/>
              <w:left w:type="dxa" w:w="100"/>
              <w:bottom w:type="dxa" w:w="80"/>
              <w:right w:type="dxa" w:w="100"/>
            </w:tcMar>
          </w:tcPr>
          <w:p>
            <w:r>
              <w:rPr>
                <w:b w:val="false"/>
                <w:bCs w:val="false"/>
                <w:color w:val="1A1A1A"/>
                <w:sz w:val="19"/>
                <w:szCs w:val="19"/>
              </w:rPr>
              <w:t xml:space="preserve">Bluetooth pairing for the wearable band (5.8), OEM SDK bridge, manual-entry validation for third-party devices</w:t>
            </w:r>
          </w:p>
        </w:tc>
      </w:tr>
      <w:tr>
        <w:trPr>
          <w:cantSplit/>
        </w:trPr>
        <w:tc>
          <w:tcPr>
            <w:tcW w:type="dxa" w:w="2600"/>
            <w:tcMar>
              <w:top w:type="dxa" w:w="80"/>
              <w:left w:type="dxa" w:w="100"/>
              <w:bottom w:type="dxa" w:w="80"/>
              <w:right w:type="dxa" w:w="100"/>
            </w:tcMar>
          </w:tcPr>
          <w:p>
            <w:r>
              <w:rPr>
                <w:b w:val="false"/>
                <w:bCs w:val="false"/>
                <w:color w:val="1A1A1A"/>
                <w:sz w:val="19"/>
                <w:szCs w:val="19"/>
              </w:rPr>
              <w:t xml:space="preserve">P2.4 — Lab automation</w:t>
            </w:r>
          </w:p>
        </w:tc>
        <w:tc>
          <w:tcPr>
            <w:tcW w:type="dxa" w:w="6760"/>
            <w:tcMar>
              <w:top w:type="dxa" w:w="80"/>
              <w:left w:type="dxa" w:w="100"/>
              <w:bottom w:type="dxa" w:w="80"/>
              <w:right w:type="dxa" w:w="100"/>
            </w:tcMar>
          </w:tcPr>
          <w:p>
            <w:r>
              <w:rPr>
                <w:b w:val="false"/>
                <w:bCs w:val="false"/>
                <w:color w:val="1A1A1A"/>
                <w:sz w:val="19"/>
                <w:szCs w:val="19"/>
              </w:rPr>
              <w:t xml:space="preserve">Partner lab result ingestion API (5.9), automatic referral-letter generation (5.12)</w:t>
            </w:r>
          </w:p>
        </w:tc>
      </w:tr>
      <w:tr>
        <w:trPr>
          <w:cantSplit/>
        </w:trPr>
        <w:tc>
          <w:tcPr>
            <w:tcW w:type="dxa" w:w="2600"/>
            <w:tcMar>
              <w:top w:type="dxa" w:w="80"/>
              <w:left w:type="dxa" w:w="100"/>
              <w:bottom w:type="dxa" w:w="80"/>
              <w:right w:type="dxa" w:w="100"/>
            </w:tcMar>
          </w:tcPr>
          <w:p>
            <w:r>
              <w:rPr>
                <w:b w:val="false"/>
                <w:bCs w:val="false"/>
                <w:color w:val="1A1A1A"/>
                <w:sz w:val="19"/>
                <w:szCs w:val="19"/>
              </w:rPr>
              <w:t xml:space="preserve">P2.5 — USSD + Pidgin</w:t>
            </w:r>
          </w:p>
        </w:tc>
        <w:tc>
          <w:tcPr>
            <w:tcW w:type="dxa" w:w="6760"/>
            <w:tcMar>
              <w:top w:type="dxa" w:w="80"/>
              <w:left w:type="dxa" w:w="100"/>
              <w:bottom w:type="dxa" w:w="80"/>
              <w:right w:type="dxa" w:w="100"/>
            </w:tcMar>
          </w:tcPr>
          <w:p>
            <w:r>
              <w:rPr>
                <w:b w:val="false"/>
                <w:bCs w:val="false"/>
                <w:color w:val="1A1A1A"/>
                <w:sz w:val="19"/>
                <w:szCs w:val="19"/>
              </w:rPr>
              <w:t xml:space="preserve">USSD gateway integration (5.14), Pidgin localisation across app, AI coach and comms templates (4.3)</w:t>
            </w:r>
          </w:p>
        </w:tc>
      </w:tr>
      <w:tr>
        <w:trPr>
          <w:cantSplit/>
        </w:trPr>
        <w:tc>
          <w:tcPr>
            <w:tcW w:type="dxa" w:w="2600"/>
            <w:tcMar>
              <w:top w:type="dxa" w:w="80"/>
              <w:left w:type="dxa" w:w="100"/>
              <w:bottom w:type="dxa" w:w="80"/>
              <w:right w:type="dxa" w:w="100"/>
            </w:tcMar>
          </w:tcPr>
          <w:p>
            <w:r>
              <w:rPr>
                <w:b w:val="false"/>
                <w:bCs w:val="false"/>
                <w:color w:val="1A1A1A"/>
                <w:sz w:val="19"/>
                <w:szCs w:val="19"/>
              </w:rPr>
              <w:t xml:space="preserve">P2.6 — Research export governance</w:t>
            </w:r>
          </w:p>
        </w:tc>
        <w:tc>
          <w:tcPr>
            <w:tcW w:type="dxa" w:w="6760"/>
            <w:tcMar>
              <w:top w:type="dxa" w:w="80"/>
              <w:left w:type="dxa" w:w="100"/>
              <w:bottom w:type="dxa" w:w="80"/>
              <w:right w:type="dxa" w:w="100"/>
            </w:tcMar>
          </w:tcPr>
          <w:p>
            <w:r>
              <w:rPr>
                <w:b w:val="false"/>
                <w:bCs w:val="false"/>
                <w:color w:val="1A1A1A"/>
                <w:sz w:val="19"/>
                <w:szCs w:val="19"/>
              </w:rPr>
              <w:t xml:space="preserve">De-identification pipeline and internal review gate (5.19)</w:t>
            </w:r>
          </w:p>
        </w:tc>
      </w:tr>
      <w:tr>
        <w:trPr>
          <w:cantSplit/>
        </w:trPr>
        <w:tc>
          <w:tcPr>
            <w:tcW w:type="dxa" w:w="2600"/>
            <w:tcMar>
              <w:top w:type="dxa" w:w="80"/>
              <w:left w:type="dxa" w:w="100"/>
              <w:bottom w:type="dxa" w:w="80"/>
              <w:right w:type="dxa" w:w="100"/>
            </w:tcMar>
          </w:tcPr>
          <w:p>
            <w:r>
              <w:rPr>
                <w:b w:val="false"/>
                <w:bCs w:val="false"/>
                <w:color w:val="1A1A1A"/>
                <w:sz w:val="19"/>
                <w:szCs w:val="19"/>
              </w:rPr>
              <w:t xml:space="preserve">P2.7 — Multi-condition pathway library</w:t>
            </w:r>
          </w:p>
        </w:tc>
        <w:tc>
          <w:tcPr>
            <w:tcW w:type="dxa" w:w="6760"/>
            <w:tcMar>
              <w:top w:type="dxa" w:w="80"/>
              <w:left w:type="dxa" w:w="100"/>
              <w:bottom w:type="dxa" w:w="80"/>
              <w:right w:type="dxa" w:w="100"/>
            </w:tcMar>
          </w:tcPr>
          <w:p>
            <w:r>
              <w:rPr>
                <w:b w:val="false"/>
                <w:bCs w:val="false"/>
                <w:color w:val="1A1A1A"/>
                <w:sz w:val="19"/>
                <w:szCs w:val="19"/>
              </w:rPr>
              <w:t xml:space="preserve">Diabetes pathway, then CKD and asthma, each against a named existing guideline (5.3)</w:t>
            </w:r>
          </w:p>
        </w:tc>
      </w:tr>
    </w:tbl>
    <w:p>
      <w:r>
        <w:br w:type="page"/>
      </w:r>
    </w:p>
    <w:p>
      <w:pPr>
        <w:pStyle w:val="Heading1"/>
        <w:pBdr>
          <w:bottom w:val="single" w:color="C9D4CE" w:sz="6" w:space="4"/>
        </w:pBdr>
        <w:spacing w:after="200" w:before="480"/>
      </w:pPr>
      <w:r>
        <w:rPr>
          <w:b/>
          <w:bCs/>
          <w:color w:val="2F6F4F"/>
          <w:sz w:val="30"/>
          <w:szCs w:val="30"/>
        </w:rPr>
        <w:t xml:space="preserve">9. The Team Needed to Build This</w:t>
      </w:r>
    </w:p>
    <w:p>
      <w:pPr>
        <w:spacing w:after="160" w:line="276"/>
      </w:pPr>
      <w:r>
        <w:rPr>
          <w:color w:val="1A1A1A"/>
          <w:sz w:val="21"/>
          <w:szCs w:val="21"/>
        </w:rPr>
        <w:t xml:space="preserve">Roles below are listed in the order they earn their keep against the Phase 1 milestones in Section 8 — this is a hiring/contracting sequence, not a flat headcount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400"/>
        <w:gridCol w:w="2160"/>
      </w:tblGrid>
      <w:tr>
        <w:trPr>
          <w:cantSplit/>
          <w:tblHeader/>
        </w:trPr>
        <w:tc>
          <w:tcPr>
            <w:tcW w:type="dxa" w:w="1900"/>
            <w:shd w:fill="EDF3EF" w:val="clear"/>
            <w:tcMar>
              <w:top w:type="dxa" w:w="80"/>
              <w:left w:type="dxa" w:w="100"/>
              <w:bottom w:type="dxa" w:w="80"/>
              <w:right w:type="dxa" w:w="100"/>
            </w:tcMar>
          </w:tcPr>
          <w:p>
            <w:r>
              <w:rPr>
                <w:b/>
                <w:bCs/>
                <w:color w:val="1A1A1A"/>
                <w:sz w:val="19"/>
                <w:szCs w:val="19"/>
              </w:rPr>
              <w:t xml:space="preserve">Role</w:t>
            </w:r>
          </w:p>
        </w:tc>
        <w:tc>
          <w:tcPr>
            <w:tcW w:type="dxa" w:w="2900"/>
            <w:shd w:fill="EDF3EF" w:val="clear"/>
            <w:tcMar>
              <w:top w:type="dxa" w:w="80"/>
              <w:left w:type="dxa" w:w="100"/>
              <w:bottom w:type="dxa" w:w="80"/>
              <w:right w:type="dxa" w:w="100"/>
            </w:tcMar>
          </w:tcPr>
          <w:p>
            <w:r>
              <w:rPr>
                <w:b/>
                <w:bCs/>
                <w:color w:val="1A1A1A"/>
                <w:sz w:val="19"/>
                <w:szCs w:val="19"/>
              </w:rPr>
              <w:t xml:space="preserve">Mandate</w:t>
            </w:r>
          </w:p>
        </w:tc>
        <w:tc>
          <w:tcPr>
            <w:tcW w:type="dxa" w:w="2400"/>
            <w:shd w:fill="EDF3EF" w:val="clear"/>
            <w:tcMar>
              <w:top w:type="dxa" w:w="80"/>
              <w:left w:type="dxa" w:w="100"/>
              <w:bottom w:type="dxa" w:w="80"/>
              <w:right w:type="dxa" w:w="100"/>
            </w:tcMar>
          </w:tcPr>
          <w:p>
            <w:r>
              <w:rPr>
                <w:b/>
                <w:bCs/>
                <w:color w:val="1A1A1A"/>
                <w:sz w:val="19"/>
                <w:szCs w:val="19"/>
              </w:rPr>
              <w:t xml:space="preserve">First deliverable</w:t>
            </w:r>
          </w:p>
        </w:tc>
        <w:tc>
          <w:tcPr>
            <w:tcW w:type="dxa" w:w="2160"/>
            <w:shd w:fill="EDF3EF" w:val="clear"/>
            <w:tcMar>
              <w:top w:type="dxa" w:w="80"/>
              <w:left w:type="dxa" w:w="100"/>
              <w:bottom w:type="dxa" w:w="80"/>
              <w:right w:type="dxa" w:w="100"/>
            </w:tcMar>
          </w:tcPr>
          <w:p>
            <w:r>
              <w:rPr>
                <w:b/>
                <w:bCs/>
                <w:color w:val="1A1A1A"/>
                <w:sz w:val="19"/>
                <w:szCs w:val="19"/>
              </w:rPr>
              <w:t xml:space="preserve">Interfaces with</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Technical Lead / Solutions Architect</w:t>
            </w:r>
          </w:p>
        </w:tc>
        <w:tc>
          <w:tcPr>
            <w:tcW w:type="dxa" w:w="2900"/>
            <w:tcMar>
              <w:top w:type="dxa" w:w="80"/>
              <w:left w:type="dxa" w:w="100"/>
              <w:bottom w:type="dxa" w:w="80"/>
              <w:right w:type="dxa" w:w="100"/>
            </w:tcMar>
          </w:tcPr>
          <w:p>
            <w:r>
              <w:rPr>
                <w:b w:val="false"/>
                <w:bCs w:val="false"/>
                <w:color w:val="1A1A1A"/>
                <w:sz w:val="19"/>
                <w:szCs w:val="19"/>
              </w:rPr>
              <w:t xml:space="preserve">Owns the whole architecture in Section 4; the first hire, before any feature engineer</w:t>
            </w:r>
          </w:p>
        </w:tc>
        <w:tc>
          <w:tcPr>
            <w:tcW w:type="dxa" w:w="2400"/>
            <w:tcMar>
              <w:top w:type="dxa" w:w="80"/>
              <w:left w:type="dxa" w:w="100"/>
              <w:bottom w:type="dxa" w:w="80"/>
              <w:right w:type="dxa" w:w="100"/>
            </w:tcMar>
          </w:tcPr>
          <w:p>
            <w:r>
              <w:rPr>
                <w:b w:val="false"/>
                <w:bCs w:val="false"/>
                <w:color w:val="1A1A1A"/>
                <w:sz w:val="19"/>
                <w:szCs w:val="19"/>
              </w:rPr>
              <w:t xml:space="preserve">Signed-off schema (Section 6) and RLS policy design</w:t>
            </w:r>
          </w:p>
        </w:tc>
        <w:tc>
          <w:tcPr>
            <w:tcW w:type="dxa" w:w="2160"/>
            <w:tcMar>
              <w:top w:type="dxa" w:w="80"/>
              <w:left w:type="dxa" w:w="100"/>
              <w:bottom w:type="dxa" w:w="80"/>
              <w:right w:type="dxa" w:w="100"/>
            </w:tcMar>
          </w:tcPr>
          <w:p>
            <w:r>
              <w:rPr>
                <w:b w:val="false"/>
                <w:bCs w:val="false"/>
                <w:color w:val="1A1A1A"/>
                <w:sz w:val="19"/>
                <w:szCs w:val="19"/>
              </w:rPr>
              <w:t xml:space="preserve">Head of Product (R11), DPO (R07)</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Backend Engineer(s) — Supabase/Postgres</w:t>
            </w:r>
          </w:p>
        </w:tc>
        <w:tc>
          <w:tcPr>
            <w:tcW w:type="dxa" w:w="2900"/>
            <w:tcMar>
              <w:top w:type="dxa" w:w="80"/>
              <w:left w:type="dxa" w:w="100"/>
              <w:bottom w:type="dxa" w:w="80"/>
              <w:right w:type="dxa" w:w="100"/>
            </w:tcMar>
          </w:tcPr>
          <w:p>
            <w:r>
              <w:rPr>
                <w:b w:val="false"/>
                <w:bCs w:val="false"/>
                <w:color w:val="1A1A1A"/>
                <w:sz w:val="19"/>
                <w:szCs w:val="19"/>
              </w:rPr>
              <w:t xml:space="preserve">Data model, RLS, Edge Functions, the commission ledger and aggregation views</w:t>
            </w:r>
          </w:p>
        </w:tc>
        <w:tc>
          <w:tcPr>
            <w:tcW w:type="dxa" w:w="2400"/>
            <w:tcMar>
              <w:top w:type="dxa" w:w="80"/>
              <w:left w:type="dxa" w:w="100"/>
              <w:bottom w:type="dxa" w:w="80"/>
              <w:right w:type="dxa" w:w="100"/>
            </w:tcMar>
          </w:tcPr>
          <w:p>
            <w:r>
              <w:rPr>
                <w:b w:val="false"/>
                <w:bCs w:val="false"/>
                <w:color w:val="1A1A1A"/>
                <w:sz w:val="19"/>
                <w:szCs w:val="19"/>
              </w:rPr>
              <w:t xml:space="preserve">M1–M2 backend</w:t>
            </w:r>
          </w:p>
        </w:tc>
        <w:tc>
          <w:tcPr>
            <w:tcW w:type="dxa" w:w="2160"/>
            <w:tcMar>
              <w:top w:type="dxa" w:w="80"/>
              <w:left w:type="dxa" w:w="100"/>
              <w:bottom w:type="dxa" w:w="80"/>
              <w:right w:type="dxa" w:w="100"/>
            </w:tcMar>
          </w:tcPr>
          <w:p>
            <w:r>
              <w:rPr>
                <w:b w:val="false"/>
                <w:bCs w:val="false"/>
                <w:color w:val="1A1A1A"/>
                <w:sz w:val="19"/>
                <w:szCs w:val="19"/>
              </w:rPr>
              <w:t xml:space="preserve">Head of Finance (R03), DPO (R07)</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Mobile Engineer(s) — Expo/React Native</w:t>
            </w:r>
          </w:p>
        </w:tc>
        <w:tc>
          <w:tcPr>
            <w:tcW w:type="dxa" w:w="2900"/>
            <w:tcMar>
              <w:top w:type="dxa" w:w="80"/>
              <w:left w:type="dxa" w:w="100"/>
              <w:bottom w:type="dxa" w:w="80"/>
              <w:right w:type="dxa" w:w="100"/>
            </w:tcMar>
          </w:tcPr>
          <w:p>
            <w:r>
              <w:rPr>
                <w:b w:val="false"/>
                <w:bCs w:val="false"/>
                <w:color w:val="1A1A1A"/>
                <w:sz w:val="19"/>
                <w:szCs w:val="19"/>
              </w:rPr>
              <w:t xml:space="preserve">The patient app end to end</w:t>
            </w:r>
          </w:p>
        </w:tc>
        <w:tc>
          <w:tcPr>
            <w:tcW w:type="dxa" w:w="2400"/>
            <w:tcMar>
              <w:top w:type="dxa" w:w="80"/>
              <w:left w:type="dxa" w:w="100"/>
              <w:bottom w:type="dxa" w:w="80"/>
              <w:right w:type="dxa" w:w="100"/>
            </w:tcMar>
          </w:tcPr>
          <w:p>
            <w:r>
              <w:rPr>
                <w:b w:val="false"/>
                <w:bCs w:val="false"/>
                <w:color w:val="1A1A1A"/>
                <w:sz w:val="19"/>
                <w:szCs w:val="19"/>
              </w:rPr>
              <w:t xml:space="preserve">M1 signup flow through M4 Health Passport</w:t>
            </w:r>
          </w:p>
        </w:tc>
        <w:tc>
          <w:tcPr>
            <w:tcW w:type="dxa" w:w="2160"/>
            <w:tcMar>
              <w:top w:type="dxa" w:w="80"/>
              <w:left w:type="dxa" w:w="100"/>
              <w:bottom w:type="dxa" w:w="80"/>
              <w:right w:type="dxa" w:w="100"/>
            </w:tcMar>
          </w:tcPr>
          <w:p>
            <w:r>
              <w:rPr>
                <w:b w:val="false"/>
                <w:bCs w:val="false"/>
                <w:color w:val="1A1A1A"/>
                <w:sz w:val="19"/>
                <w:szCs w:val="19"/>
              </w:rPr>
              <w:t xml:space="preserve">Head of Product (R11)</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Web Engineer — Next.js</w:t>
            </w:r>
          </w:p>
        </w:tc>
        <w:tc>
          <w:tcPr>
            <w:tcW w:type="dxa" w:w="2900"/>
            <w:tcMar>
              <w:top w:type="dxa" w:w="80"/>
              <w:left w:type="dxa" w:w="100"/>
              <w:bottom w:type="dxa" w:w="80"/>
              <w:right w:type="dxa" w:w="100"/>
            </w:tcMar>
          </w:tcPr>
          <w:p>
            <w:r>
              <w:rPr>
                <w:b w:val="false"/>
                <w:bCs w:val="false"/>
                <w:color w:val="1A1A1A"/>
                <w:sz w:val="19"/>
                <w:szCs w:val="19"/>
              </w:rPr>
              <w:t xml:space="preserve">Clinician, institutional and admin consoles from one codebase, role-gated</w:t>
            </w:r>
          </w:p>
        </w:tc>
        <w:tc>
          <w:tcPr>
            <w:tcW w:type="dxa" w:w="2400"/>
            <w:tcMar>
              <w:top w:type="dxa" w:w="80"/>
              <w:left w:type="dxa" w:w="100"/>
              <w:bottom w:type="dxa" w:w="80"/>
              <w:right w:type="dxa" w:w="100"/>
            </w:tcMar>
          </w:tcPr>
          <w:p>
            <w:r>
              <w:rPr>
                <w:b w:val="false"/>
                <w:bCs w:val="false"/>
                <w:color w:val="1A1A1A"/>
                <w:sz w:val="19"/>
                <w:szCs w:val="19"/>
              </w:rPr>
              <w:t xml:space="preserve">M5 clinician console v1</w:t>
            </w:r>
          </w:p>
        </w:tc>
        <w:tc>
          <w:tcPr>
            <w:tcW w:type="dxa" w:w="2160"/>
            <w:tcMar>
              <w:top w:type="dxa" w:w="80"/>
              <w:left w:type="dxa" w:w="100"/>
              <w:bottom w:type="dxa" w:w="80"/>
              <w:right w:type="dxa" w:w="100"/>
            </w:tcMar>
          </w:tcPr>
          <w:p>
            <w:r>
              <w:rPr>
                <w:b w:val="false"/>
                <w:bCs w:val="false"/>
                <w:color w:val="1A1A1A"/>
                <w:sz w:val="19"/>
                <w:szCs w:val="19"/>
              </w:rPr>
              <w:t xml:space="preserve">Clinical Operations (R09), B2B Sales (R18)</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AI/ML Engineer</w:t>
            </w:r>
          </w:p>
        </w:tc>
        <w:tc>
          <w:tcPr>
            <w:tcW w:type="dxa" w:w="2900"/>
            <w:tcMar>
              <w:top w:type="dxa" w:w="80"/>
              <w:left w:type="dxa" w:w="100"/>
              <w:bottom w:type="dxa" w:w="80"/>
              <w:right w:type="dxa" w:w="100"/>
            </w:tcMar>
          </w:tcPr>
          <w:p>
            <w:r>
              <w:rPr>
                <w:b w:val="false"/>
                <w:bCs w:val="false"/>
                <w:color w:val="1A1A1A"/>
                <w:sz w:val="19"/>
                <w:szCs w:val="19"/>
              </w:rPr>
              <w:t xml:space="preserve">Claude API integration, prompt design for triage/drafting, safety guardrails, cost management via prompt caching</w:t>
            </w:r>
          </w:p>
        </w:tc>
        <w:tc>
          <w:tcPr>
            <w:tcW w:type="dxa" w:w="2400"/>
            <w:tcMar>
              <w:top w:type="dxa" w:w="80"/>
              <w:left w:type="dxa" w:w="100"/>
              <w:bottom w:type="dxa" w:w="80"/>
              <w:right w:type="dxa" w:w="100"/>
            </w:tcMar>
          </w:tcPr>
          <w:p>
            <w:r>
              <w:rPr>
                <w:b w:val="false"/>
                <w:bCs w:val="false"/>
                <w:color w:val="1A1A1A"/>
                <w:sz w:val="19"/>
                <w:szCs w:val="19"/>
              </w:rPr>
              <w:t xml:space="preserve">M3's titration-proposal draft flow (drafted here, signed in the clinician console)</w:t>
            </w:r>
          </w:p>
        </w:tc>
        <w:tc>
          <w:tcPr>
            <w:tcW w:type="dxa" w:w="2160"/>
            <w:tcMar>
              <w:top w:type="dxa" w:w="80"/>
              <w:left w:type="dxa" w:w="100"/>
              <w:bottom w:type="dxa" w:w="80"/>
              <w:right w:type="dxa" w:w="100"/>
            </w:tcMar>
          </w:tcPr>
          <w:p>
            <w:r>
              <w:rPr>
                <w:b w:val="false"/>
                <w:bCs w:val="false"/>
                <w:color w:val="1A1A1A"/>
                <w:sz w:val="19"/>
                <w:szCs w:val="19"/>
              </w:rPr>
              <w:t xml:space="preserve">Clinical Governance (R08)</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QA / Test Engineer</w:t>
            </w:r>
          </w:p>
        </w:tc>
        <w:tc>
          <w:tcPr>
            <w:tcW w:type="dxa" w:w="2900"/>
            <w:tcMar>
              <w:top w:type="dxa" w:w="80"/>
              <w:left w:type="dxa" w:w="100"/>
              <w:bottom w:type="dxa" w:w="80"/>
              <w:right w:type="dxa" w:w="100"/>
            </w:tcMar>
          </w:tcPr>
          <w:p>
            <w:r>
              <w:rPr>
                <w:b w:val="false"/>
                <w:bCs w:val="false"/>
                <w:color w:val="1A1A1A"/>
                <w:sz w:val="19"/>
                <w:szCs w:val="19"/>
              </w:rPr>
              <w:t xml:space="preserve">Test plans against every acceptance criterion in Section 7 and every standing rule in this document</w:t>
            </w:r>
          </w:p>
        </w:tc>
        <w:tc>
          <w:tcPr>
            <w:tcW w:type="dxa" w:w="2400"/>
            <w:tcMar>
              <w:top w:type="dxa" w:w="80"/>
              <w:left w:type="dxa" w:w="100"/>
              <w:bottom w:type="dxa" w:w="80"/>
              <w:right w:type="dxa" w:w="100"/>
            </w:tcMar>
          </w:tcPr>
          <w:p>
            <w:r>
              <w:rPr>
                <w:b w:val="false"/>
                <w:bCs w:val="false"/>
                <w:color w:val="1A1A1A"/>
                <w:sz w:val="19"/>
                <w:szCs w:val="19"/>
              </w:rPr>
              <w:t xml:space="preserve">A regression suite that fails the build if a standing rule (e.g. no clinical content on SMS) is violated</w:t>
            </w:r>
          </w:p>
        </w:tc>
        <w:tc>
          <w:tcPr>
            <w:tcW w:type="dxa" w:w="2160"/>
            <w:tcMar>
              <w:top w:type="dxa" w:w="80"/>
              <w:left w:type="dxa" w:w="100"/>
              <w:bottom w:type="dxa" w:w="80"/>
              <w:right w:type="dxa" w:w="100"/>
            </w:tcMar>
          </w:tcPr>
          <w:p>
            <w:r>
              <w:rPr>
                <w:b w:val="false"/>
                <w:bCs w:val="false"/>
                <w:color w:val="1A1A1A"/>
                <w:sz w:val="19"/>
                <w:szCs w:val="19"/>
              </w:rPr>
              <w:t xml:space="preserve">Engineering Delivery (R12)</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DevOps / Infrastructure</w:t>
            </w:r>
          </w:p>
        </w:tc>
        <w:tc>
          <w:tcPr>
            <w:tcW w:type="dxa" w:w="2900"/>
            <w:tcMar>
              <w:top w:type="dxa" w:w="80"/>
              <w:left w:type="dxa" w:w="100"/>
              <w:bottom w:type="dxa" w:w="80"/>
              <w:right w:type="dxa" w:w="100"/>
            </w:tcMar>
          </w:tcPr>
          <w:p>
            <w:r>
              <w:rPr>
                <w:b w:val="false"/>
                <w:bCs w:val="false"/>
                <w:color w:val="1A1A1A"/>
                <w:sz w:val="19"/>
                <w:szCs w:val="19"/>
              </w:rPr>
              <w:t xml:space="preserve">CI/CD, hosting/data-residency implementation once decided (Section 11.3), observability stack</w:t>
            </w:r>
          </w:p>
        </w:tc>
        <w:tc>
          <w:tcPr>
            <w:tcW w:type="dxa" w:w="2400"/>
            <w:tcMar>
              <w:top w:type="dxa" w:w="80"/>
              <w:left w:type="dxa" w:w="100"/>
              <w:bottom w:type="dxa" w:w="80"/>
              <w:right w:type="dxa" w:w="100"/>
            </w:tcMar>
          </w:tcPr>
          <w:p>
            <w:r>
              <w:rPr>
                <w:b w:val="false"/>
                <w:bCs w:val="false"/>
                <w:color w:val="1A1A1A"/>
                <w:sz w:val="19"/>
                <w:szCs w:val="19"/>
              </w:rPr>
              <w:t xml:space="preserve">A staging environment matching production's RLS configuration</w:t>
            </w:r>
          </w:p>
        </w:tc>
        <w:tc>
          <w:tcPr>
            <w:tcW w:type="dxa" w:w="2160"/>
            <w:tcMar>
              <w:top w:type="dxa" w:w="80"/>
              <w:left w:type="dxa" w:w="100"/>
              <w:bottom w:type="dxa" w:w="80"/>
              <w:right w:type="dxa" w:w="100"/>
            </w:tcMar>
          </w:tcPr>
          <w:p>
            <w:r>
              <w:rPr>
                <w:b w:val="false"/>
                <w:bCs w:val="false"/>
                <w:color w:val="1A1A1A"/>
                <w:sz w:val="19"/>
                <w:szCs w:val="19"/>
              </w:rPr>
              <w:t xml:space="preserve">DPO (R07)</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UX/UI Designer</w:t>
            </w:r>
          </w:p>
        </w:tc>
        <w:tc>
          <w:tcPr>
            <w:tcW w:type="dxa" w:w="2900"/>
            <w:tcMar>
              <w:top w:type="dxa" w:w="80"/>
              <w:left w:type="dxa" w:w="100"/>
              <w:bottom w:type="dxa" w:w="80"/>
              <w:right w:type="dxa" w:w="100"/>
            </w:tcMar>
          </w:tcPr>
          <w:p>
            <w:r>
              <w:rPr>
                <w:b w:val="false"/>
                <w:bCs w:val="false"/>
                <w:color w:val="1A1A1A"/>
                <w:sz w:val="19"/>
                <w:szCs w:val="19"/>
              </w:rPr>
              <w:t xml:space="preserve">Low-literacy, low-bandwidth, accessibility-first design system; Pidgin and eventual multilingual layout testing</w:t>
            </w:r>
          </w:p>
        </w:tc>
        <w:tc>
          <w:tcPr>
            <w:tcW w:type="dxa" w:w="2400"/>
            <w:tcMar>
              <w:top w:type="dxa" w:w="80"/>
              <w:left w:type="dxa" w:w="100"/>
              <w:bottom w:type="dxa" w:w="80"/>
              <w:right w:type="dxa" w:w="100"/>
            </w:tcMar>
          </w:tcPr>
          <w:p>
            <w:r>
              <w:rPr>
                <w:b w:val="false"/>
                <w:bCs w:val="false"/>
                <w:color w:val="1A1A1A"/>
                <w:sz w:val="19"/>
                <w:szCs w:val="19"/>
              </w:rPr>
              <w:t xml:space="preserve">Design system + the onboarding and risk-assessment flows</w:t>
            </w:r>
          </w:p>
        </w:tc>
        <w:tc>
          <w:tcPr>
            <w:tcW w:type="dxa" w:w="2160"/>
            <w:tcMar>
              <w:top w:type="dxa" w:w="80"/>
              <w:left w:type="dxa" w:w="100"/>
              <w:bottom w:type="dxa" w:w="80"/>
              <w:right w:type="dxa" w:w="100"/>
            </w:tcMar>
          </w:tcPr>
          <w:p>
            <w:r>
              <w:rPr>
                <w:b w:val="false"/>
                <w:bCs w:val="false"/>
                <w:color w:val="1A1A1A"/>
                <w:sz w:val="19"/>
                <w:szCs w:val="19"/>
              </w:rPr>
              <w:t xml:space="preserve">Head of Product (R11), Head of Marketing (R14)</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Clinical Safety Officer (embedded)</w:t>
            </w:r>
          </w:p>
        </w:tc>
        <w:tc>
          <w:tcPr>
            <w:tcW w:type="dxa" w:w="2900"/>
            <w:tcMar>
              <w:top w:type="dxa" w:w="80"/>
              <w:left w:type="dxa" w:w="100"/>
              <w:bottom w:type="dxa" w:w="80"/>
              <w:right w:type="dxa" w:w="100"/>
            </w:tcMar>
          </w:tcPr>
          <w:p>
            <w:r>
              <w:rPr>
                <w:b w:val="false"/>
                <w:bCs w:val="false"/>
                <w:color w:val="1A1A1A"/>
                <w:sz w:val="19"/>
                <w:szCs w:val="19"/>
              </w:rPr>
              <w:t xml:space="preserve">Reviews every clinical-facing feature and AI prompt before release; owns the incident workflow</w:t>
            </w:r>
          </w:p>
        </w:tc>
        <w:tc>
          <w:tcPr>
            <w:tcW w:type="dxa" w:w="2400"/>
            <w:tcMar>
              <w:top w:type="dxa" w:w="80"/>
              <w:left w:type="dxa" w:w="100"/>
              <w:bottom w:type="dxa" w:w="80"/>
              <w:right w:type="dxa" w:w="100"/>
            </w:tcMar>
          </w:tcPr>
          <w:p>
            <w:r>
              <w:rPr>
                <w:b w:val="false"/>
                <w:bCs w:val="false"/>
                <w:color w:val="1A1A1A"/>
                <w:sz w:val="19"/>
                <w:szCs w:val="19"/>
              </w:rPr>
              <w:t xml:space="preserve">Sign-off checklist gating any clinical feature's release</w:t>
            </w:r>
          </w:p>
        </w:tc>
        <w:tc>
          <w:tcPr>
            <w:tcW w:type="dxa" w:w="2160"/>
            <w:tcMar>
              <w:top w:type="dxa" w:w="80"/>
              <w:left w:type="dxa" w:w="100"/>
              <w:bottom w:type="dxa" w:w="80"/>
              <w:right w:type="dxa" w:w="100"/>
            </w:tcMar>
          </w:tcPr>
          <w:p>
            <w:r>
              <w:rPr>
                <w:b w:val="false"/>
                <w:bCs w:val="false"/>
                <w:color w:val="1A1A1A"/>
                <w:sz w:val="19"/>
                <w:szCs w:val="19"/>
              </w:rPr>
              <w:t xml:space="preserve">Clinical Quality, Safety and Audit (R10)</w:t>
            </w:r>
          </w:p>
        </w:tc>
      </w:tr>
      <w:tr>
        <w:trPr>
          <w:cantSplit/>
        </w:trPr>
        <w:tc>
          <w:tcPr>
            <w:tcW w:type="dxa" w:w="1900"/>
            <w:tcMar>
              <w:top w:type="dxa" w:w="80"/>
              <w:left w:type="dxa" w:w="100"/>
              <w:bottom w:type="dxa" w:w="80"/>
              <w:right w:type="dxa" w:w="100"/>
            </w:tcMar>
          </w:tcPr>
          <w:p>
            <w:r>
              <w:rPr>
                <w:b w:val="false"/>
                <w:bCs w:val="false"/>
                <w:color w:val="1A1A1A"/>
                <w:sz w:val="19"/>
                <w:szCs w:val="19"/>
              </w:rPr>
              <w:t xml:space="preserve">Product Manager</w:t>
            </w:r>
          </w:p>
        </w:tc>
        <w:tc>
          <w:tcPr>
            <w:tcW w:type="dxa" w:w="2900"/>
            <w:tcMar>
              <w:top w:type="dxa" w:w="80"/>
              <w:left w:type="dxa" w:w="100"/>
              <w:bottom w:type="dxa" w:w="80"/>
              <w:right w:type="dxa" w:w="100"/>
            </w:tcMar>
          </w:tcPr>
          <w:p>
            <w:r>
              <w:rPr>
                <w:b w:val="false"/>
                <w:bCs w:val="false"/>
                <w:color w:val="1A1A1A"/>
                <w:sz w:val="19"/>
                <w:szCs w:val="19"/>
              </w:rPr>
              <w:t xml:space="preserve">Owns this specification's evolution and the roadmap in Section 8</w:t>
            </w:r>
          </w:p>
        </w:tc>
        <w:tc>
          <w:tcPr>
            <w:tcW w:type="dxa" w:w="2400"/>
            <w:tcMar>
              <w:top w:type="dxa" w:w="80"/>
              <w:left w:type="dxa" w:w="100"/>
              <w:bottom w:type="dxa" w:w="80"/>
              <w:right w:type="dxa" w:w="100"/>
            </w:tcMar>
          </w:tcPr>
          <w:p>
            <w:r>
              <w:rPr>
                <w:b w:val="false"/>
                <w:bCs w:val="false"/>
                <w:color w:val="1A1A1A"/>
                <w:sz w:val="19"/>
                <w:szCs w:val="19"/>
              </w:rPr>
              <w:t xml:space="preserve">Sprint plan against Phase 1 milestones</w:t>
            </w:r>
          </w:p>
        </w:tc>
        <w:tc>
          <w:tcPr>
            <w:tcW w:type="dxa" w:w="2160"/>
            <w:tcMar>
              <w:top w:type="dxa" w:w="80"/>
              <w:left w:type="dxa" w:w="100"/>
              <w:bottom w:type="dxa" w:w="80"/>
              <w:right w:type="dxa" w:w="100"/>
            </w:tcMar>
          </w:tcPr>
          <w:p>
            <w:r>
              <w:rPr>
                <w:b w:val="false"/>
                <w:bCs w:val="false"/>
                <w:color w:val="1A1A1A"/>
                <w:sz w:val="19"/>
                <w:szCs w:val="19"/>
              </w:rPr>
              <w:t xml:space="preserve">Founder, all engineering roles</w:t>
            </w:r>
          </w:p>
        </w:tc>
      </w:tr>
    </w:tbl>
    <w:p>
      <w:r>
        <w:br w:type="page"/>
      </w:r>
    </w:p>
    <w:p>
      <w:pPr>
        <w:pStyle w:val="Heading1"/>
        <w:pBdr>
          <w:bottom w:val="single" w:color="C9D4CE" w:sz="6" w:space="4"/>
        </w:pBdr>
        <w:spacing w:after="200" w:before="480"/>
      </w:pPr>
      <w:r>
        <w:rPr>
          <w:b/>
          <w:bCs/>
          <w:color w:val="2F6F4F"/>
          <w:sz w:val="30"/>
          <w:szCs w:val="30"/>
        </w:rPr>
        <w:t xml:space="preserve">10. Success Metrics the Platform Must Report</w:t>
      </w:r>
    </w:p>
    <w:p>
      <w:pPr>
        <w:spacing w:after="160" w:line="276"/>
      </w:pPr>
      <w:r>
        <w:rPr>
          <w:color w:val="1A1A1A"/>
          <w:sz w:val="21"/>
          <w:szCs w:val="21"/>
        </w:rPr>
        <w:t xml:space="preserve">Owned by Data &amp; Analytics (2.2); every metric below must be queryable from the platform's own data, excluding `@tarragon.test` accounts by construction, without a manual spreadsheet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EDF3EF" w:val="clear"/>
            <w:tcMar>
              <w:top w:type="dxa" w:w="80"/>
              <w:left w:type="dxa" w:w="100"/>
              <w:bottom w:type="dxa" w:w="80"/>
              <w:right w:type="dxa" w:w="100"/>
            </w:tcMar>
          </w:tcPr>
          <w:p>
            <w:r>
              <w:rPr>
                <w:b/>
                <w:bCs/>
                <w:color w:val="1A1A1A"/>
                <w:sz w:val="19"/>
                <w:szCs w:val="19"/>
              </w:rPr>
              <w:t xml:space="preserve">Metric</w:t>
            </w:r>
          </w:p>
        </w:tc>
        <w:tc>
          <w:tcPr>
            <w:tcW w:type="dxa" w:w="5960"/>
            <w:shd w:fill="EDF3EF" w:val="clear"/>
            <w:tcMar>
              <w:top w:type="dxa" w:w="80"/>
              <w:left w:type="dxa" w:w="100"/>
              <w:bottom w:type="dxa" w:w="80"/>
              <w:right w:type="dxa" w:w="100"/>
            </w:tcMar>
          </w:tcPr>
          <w:p>
            <w:r>
              <w:rPr>
                <w:b/>
                <w:bCs/>
                <w:color w:val="1A1A1A"/>
                <w:sz w:val="19"/>
                <w:szCs w:val="19"/>
              </w:rPr>
              <w:t xml:space="preserve">Why it matters</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Activation rate (signup → completed risk assessment)</w:t>
            </w:r>
          </w:p>
        </w:tc>
        <w:tc>
          <w:tcPr>
            <w:tcW w:type="dxa" w:w="5960"/>
            <w:tcMar>
              <w:top w:type="dxa" w:w="80"/>
              <w:left w:type="dxa" w:w="100"/>
              <w:bottom w:type="dxa" w:w="80"/>
              <w:right w:type="dxa" w:w="100"/>
            </w:tcMar>
          </w:tcPr>
          <w:p>
            <w:r>
              <w:rPr>
                <w:b w:val="false"/>
                <w:bCs w:val="false"/>
                <w:color w:val="1A1A1A"/>
                <w:sz w:val="19"/>
                <w:szCs w:val="19"/>
              </w:rPr>
              <w:t xml:space="preserve">The first real measure of onboarding quality (5.1, 5.2)</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Screening completion rate by package</w:t>
            </w:r>
          </w:p>
        </w:tc>
        <w:tc>
          <w:tcPr>
            <w:tcW w:type="dxa" w:w="5960"/>
            <w:tcMar>
              <w:top w:type="dxa" w:w="80"/>
              <w:left w:type="dxa" w:w="100"/>
              <w:bottom w:type="dxa" w:w="80"/>
              <w:right w:type="dxa" w:w="100"/>
            </w:tcMar>
          </w:tcPr>
          <w:p>
            <w:r>
              <w:rPr>
                <w:b w:val="false"/>
                <w:bCs w:val="false"/>
                <w:color w:val="1A1A1A"/>
                <w:sz w:val="19"/>
                <w:szCs w:val="19"/>
              </w:rPr>
              <w:t xml:space="preserve">Whether the preventive product is actually being used, not just recommended (5.2)</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Chronic pathway control rate (e.g. % of hypertensive patients at target BP)</w:t>
            </w:r>
          </w:p>
        </w:tc>
        <w:tc>
          <w:tcPr>
            <w:tcW w:type="dxa" w:w="5960"/>
            <w:tcMar>
              <w:top w:type="dxa" w:w="80"/>
              <w:left w:type="dxa" w:w="100"/>
              <w:bottom w:type="dxa" w:w="80"/>
              <w:right w:type="dxa" w:w="100"/>
            </w:tcMar>
          </w:tcPr>
          <w:p>
            <w:r>
              <w:rPr>
                <w:b w:val="false"/>
                <w:bCs w:val="false"/>
                <w:color w:val="1A1A1A"/>
                <w:sz w:val="19"/>
                <w:szCs w:val="19"/>
              </w:rPr>
              <w:t xml:space="preserve">The core clinical outcome the whole product exists to move (5.3)</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Medication and check-in adherence rate</w:t>
            </w:r>
          </w:p>
        </w:tc>
        <w:tc>
          <w:tcPr>
            <w:tcW w:type="dxa" w:w="5960"/>
            <w:tcMar>
              <w:top w:type="dxa" w:w="80"/>
              <w:left w:type="dxa" w:w="100"/>
              <w:bottom w:type="dxa" w:w="80"/>
              <w:right w:type="dxa" w:w="100"/>
            </w:tcMar>
          </w:tcPr>
          <w:p>
            <w:r>
              <w:rPr>
                <w:b w:val="false"/>
                <w:bCs w:val="false"/>
                <w:color w:val="1A1A1A"/>
                <w:sz w:val="19"/>
                <w:szCs w:val="19"/>
              </w:rPr>
              <w:t xml:space="preserve">Leading indicator for pathway control and for the silence/triage signal (5.3, 5.4)</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30/90-day retention and churn</w:t>
            </w:r>
          </w:p>
        </w:tc>
        <w:tc>
          <w:tcPr>
            <w:tcW w:type="dxa" w:w="5960"/>
            <w:tcMar>
              <w:top w:type="dxa" w:w="80"/>
              <w:left w:type="dxa" w:w="100"/>
              <w:bottom w:type="dxa" w:w="80"/>
              <w:right w:type="dxa" w:w="100"/>
            </w:tcMar>
          </w:tcPr>
          <w:p>
            <w:r>
              <w:rPr>
                <w:b w:val="false"/>
                <w:bCs w:val="false"/>
                <w:color w:val="1A1A1A"/>
                <w:sz w:val="19"/>
                <w:szCs w:val="19"/>
              </w:rPr>
              <w:t xml:space="preserve">Whether the product earns a renewal, not just a signup</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Institutional covered-life utilisation rate</w:t>
            </w:r>
          </w:p>
        </w:tc>
        <w:tc>
          <w:tcPr>
            <w:tcW w:type="dxa" w:w="5960"/>
            <w:tcMar>
              <w:top w:type="dxa" w:w="80"/>
              <w:left w:type="dxa" w:w="100"/>
              <w:bottom w:type="dxa" w:w="80"/>
              <w:right w:type="dxa" w:w="100"/>
            </w:tcMar>
          </w:tcPr>
          <w:p>
            <w:r>
              <w:rPr>
                <w:b w:val="false"/>
                <w:bCs w:val="false"/>
                <w:color w:val="1A1A1A"/>
                <w:sz w:val="19"/>
                <w:szCs w:val="19"/>
              </w:rPr>
              <w:t xml:space="preserve">Whether an HMO/employer contract is actually being used by its members, the number that renews or kills institutional deals (5.7)</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Unit economics per subscriber and per covered life</w:t>
            </w:r>
          </w:p>
        </w:tc>
        <w:tc>
          <w:tcPr>
            <w:tcW w:type="dxa" w:w="5960"/>
            <w:tcMar>
              <w:top w:type="dxa" w:w="80"/>
              <w:left w:type="dxa" w:w="100"/>
              <w:bottom w:type="dxa" w:w="80"/>
              <w:right w:type="dxa" w:w="100"/>
            </w:tcMar>
          </w:tcPr>
          <w:p>
            <w:r>
              <w:rPr>
                <w:b w:val="false"/>
                <w:bCs w:val="false"/>
                <w:color w:val="1A1A1A"/>
                <w:sz w:val="19"/>
                <w:szCs w:val="19"/>
              </w:rPr>
              <w:t xml:space="preserve">Feeds directly into the roadmap-to-first-million model Finance and Strategy own</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Lab referral commission accrued</w:t>
            </w:r>
          </w:p>
        </w:tc>
        <w:tc>
          <w:tcPr>
            <w:tcW w:type="dxa" w:w="5960"/>
            <w:tcMar>
              <w:top w:type="dxa" w:w="80"/>
              <w:left w:type="dxa" w:w="100"/>
              <w:bottom w:type="dxa" w:w="80"/>
              <w:right w:type="dxa" w:w="100"/>
            </w:tcMar>
          </w:tcPr>
          <w:p>
            <w:r>
              <w:rPr>
                <w:b w:val="false"/>
                <w:bCs w:val="false"/>
                <w:color w:val="1A1A1A"/>
                <w:sz w:val="19"/>
                <w:szCs w:val="19"/>
              </w:rPr>
              <w:t xml:space="preserve">Direct revenue-line visibility for Finance (5.9)</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Net Promoter Score / patient satisfaction</w:t>
            </w:r>
          </w:p>
        </w:tc>
        <w:tc>
          <w:tcPr>
            <w:tcW w:type="dxa" w:w="5960"/>
            <w:tcMar>
              <w:top w:type="dxa" w:w="80"/>
              <w:left w:type="dxa" w:w="100"/>
              <w:bottom w:type="dxa" w:w="80"/>
              <w:right w:type="dxa" w:w="100"/>
            </w:tcMar>
          </w:tcPr>
          <w:p>
            <w:r>
              <w:rPr>
                <w:b w:val="false"/>
                <w:bCs w:val="false"/>
                <w:color w:val="1A1A1A"/>
                <w:sz w:val="19"/>
                <w:szCs w:val="19"/>
              </w:rPr>
              <w:t xml:space="preserve">Qualitative signal Customer Success and Clinical Governance both need</w:t>
            </w:r>
          </w:p>
        </w:tc>
      </w:tr>
      <w:tr>
        <w:trPr>
          <w:cantSplit/>
        </w:trPr>
        <w:tc>
          <w:tcPr>
            <w:tcW w:type="dxa" w:w="3400"/>
            <w:tcMar>
              <w:top w:type="dxa" w:w="80"/>
              <w:left w:type="dxa" w:w="100"/>
              <w:bottom w:type="dxa" w:w="80"/>
              <w:right w:type="dxa" w:w="100"/>
            </w:tcMar>
          </w:tcPr>
          <w:p>
            <w:r>
              <w:rPr>
                <w:b w:val="false"/>
                <w:bCs w:val="false"/>
                <w:color w:val="1A1A1A"/>
                <w:sz w:val="19"/>
                <w:szCs w:val="19"/>
              </w:rPr>
              <w:t xml:space="preserve">Escalation queue service level</w:t>
            </w:r>
          </w:p>
        </w:tc>
        <w:tc>
          <w:tcPr>
            <w:tcW w:type="dxa" w:w="5960"/>
            <w:tcMar>
              <w:top w:type="dxa" w:w="80"/>
              <w:left w:type="dxa" w:w="100"/>
              <w:bottom w:type="dxa" w:w="80"/>
              <w:right w:type="dxa" w:w="100"/>
            </w:tcMar>
          </w:tcPr>
          <w:p>
            <w:r>
              <w:rPr>
                <w:b w:val="false"/>
                <w:bCs w:val="false"/>
                <w:color w:val="1A1A1A"/>
                <w:sz w:val="19"/>
                <w:szCs w:val="19"/>
              </w:rPr>
              <w:t xml:space="preserve">A clinical-safety metric, not just an operational one (5.6)</w:t>
            </w:r>
          </w:p>
        </w:tc>
      </w:tr>
    </w:tbl>
    <w:p>
      <w:r>
        <w:br w:type="page"/>
      </w:r>
    </w:p>
    <w:p>
      <w:pPr>
        <w:pStyle w:val="Heading1"/>
        <w:pBdr>
          <w:bottom w:val="single" w:color="C9D4CE" w:sz="6" w:space="4"/>
        </w:pBdr>
        <w:spacing w:after="200" w:before="480"/>
      </w:pPr>
      <w:r>
        <w:rPr>
          <w:b/>
          <w:bCs/>
          <w:color w:val="2F6F4F"/>
          <w:sz w:val="30"/>
          <w:szCs w:val="30"/>
        </w:rPr>
        <w:t xml:space="preserve">11. Open Decisions &amp; Risks Flagged for the Founder</w:t>
      </w:r>
    </w:p>
    <w:p>
      <w:pPr>
        <w:spacing w:after="160" w:line="276"/>
      </w:pPr>
      <w:r>
        <w:rPr>
          <w:color w:val="1A1A1A"/>
          <w:sz w:val="21"/>
          <w:szCs w:val="21"/>
        </w:rPr>
        <w:t xml:space="preserve">These are the points where this specification had to choose between two things Tarragon has said at different times, or where a decision genuinely needs a signature, a payment, or acceptance of liability and therefore cannot be delegated. Each needs a Decision Log entry, not a silent default.</w:t>
      </w:r>
    </w:p>
    <w:p>
      <w:pPr>
        <w:pStyle w:val="Heading2"/>
        <w:spacing w:after="140" w:before="320"/>
      </w:pPr>
      <w:r>
        <w:rPr>
          <w:b/>
          <w:bCs/>
          <w:color w:val="1A1A1A"/>
          <w:sz w:val="25"/>
          <w:szCs w:val="25"/>
        </w:rPr>
        <w:t xml:space="preserve">11.1 Hardware policy conflict</w:t>
      </w:r>
    </w:p>
    <w:p>
      <w:pPr>
        <w:spacing w:after="160" w:line="276"/>
      </w:pPr>
      <w:r>
        <w:rPr>
          <w:color w:val="1A1A1A"/>
          <w:sz w:val="21"/>
          <w:szCs w:val="21"/>
        </w:rPr>
        <w:t xml:space="preserve">The operating model's standing business rules state "Tarragon sells no hardware," marked never to be reversed without explicit founder direction. The most recent recorded product decisions (August 2026) have Tarragon sourcing a wearable band from a Chinese OEM and selling it directly as a shop item, while explicitly choosing not to stock the BP cuff, glucometer or scale. This specification is built on the more recent, more specific decision because it is the one with real supplier RFQs and SDK evaluation behind it — but the standing rule and the practice now disagree, and engineering should not commit sprint time to the device-shop and Bluetooth SDK bridge (5.8) until that is resolved one way or the other in the Decision Log.</w:t>
      </w:r>
    </w:p>
    <w:p>
      <w:pPr>
        <w:pStyle w:val="Heading2"/>
        <w:spacing w:after="140" w:before="320"/>
      </w:pPr>
      <w:r>
        <w:rPr>
          <w:b/>
          <w:bCs/>
          <w:color w:val="1A1A1A"/>
          <w:sz w:val="25"/>
          <w:szCs w:val="25"/>
        </w:rPr>
        <w:t xml:space="preserve">11.2 The four legal/clinical-safety go-live guards</w:t>
      </w:r>
    </w:p>
    <w:p>
      <w:pPr>
        <w:pStyle w:val="ListParagraph"/>
        <w:numPr>
          <w:ilvl w:val="0"/>
          <w:numId w:val="2"/>
        </w:numPr>
        <w:spacing w:after="90" w:line="264"/>
      </w:pPr>
      <w:r>
        <w:rPr>
          <w:color w:val="1A1A1A"/>
          <w:sz w:val="21"/>
          <w:szCs w:val="21"/>
        </w:rPr>
        <w:t xml:space="preserve">NDPC data controller registration — submitted 12 August 2026, not yet confirmed. No user-facing surface may say "NDPC registered" until the Commission confirms it.</w:t>
      </w:r>
    </w:p>
    <w:p>
      <w:pPr>
        <w:pStyle w:val="ListParagraph"/>
        <w:numPr>
          <w:ilvl w:val="0"/>
          <w:numId w:val="2"/>
        </w:numPr>
        <w:spacing w:after="90" w:line="264"/>
      </w:pPr>
      <w:r>
        <w:rPr>
          <w:color w:val="1A1A1A"/>
          <w:sz w:val="21"/>
          <w:szCs w:val="21"/>
        </w:rPr>
        <w:t xml:space="preserve">Indemnity cover — not yet purchased; blocks any clinician activation and therefore blocks Milestone M3 (5.3) going live with real patients, not just being built.</w:t>
      </w:r>
    </w:p>
    <w:p>
      <w:pPr>
        <w:pStyle w:val="ListParagraph"/>
        <w:numPr>
          <w:ilvl w:val="0"/>
          <w:numId w:val="2"/>
        </w:numPr>
        <w:spacing w:after="90" w:line="264"/>
      </w:pPr>
      <w:r>
        <w:rPr>
          <w:color w:val="1A1A1A"/>
          <w:sz w:val="21"/>
          <w:szCs w:val="21"/>
        </w:rPr>
        <w:t xml:space="preserve">A second verified clinical or administrative staff member — unblocks the Health Passport attestation workflow (5.5); until then, no "doctor-verified" claim anywhere.</w:t>
      </w:r>
    </w:p>
    <w:p>
      <w:pPr>
        <w:pStyle w:val="ListParagraph"/>
        <w:numPr>
          <w:ilvl w:val="0"/>
          <w:numId w:val="2"/>
        </w:numPr>
        <w:spacing w:after="90" w:line="264"/>
      </w:pPr>
      <w:r>
        <w:rPr>
          <w:color w:val="1A1A1A"/>
          <w:sz w:val="21"/>
          <w:szCs w:val="21"/>
        </w:rPr>
        <w:t xml:space="preserve">Nigerian counsel engaged and paid — unblocks the fintech opinion needed for Health Wallet (5.11) and terms-of-service review.</w:t>
      </w:r>
    </w:p>
    <w:p>
      <w:pPr>
        <w:spacing w:after="160" w:line="276"/>
      </w:pPr>
      <w:r>
        <w:rPr>
          <w:color w:val="1A1A1A"/>
          <w:sz w:val="21"/>
          <w:szCs w:val="21"/>
        </w:rPr>
        <w:t xml:space="preserve">None of these are delegable; they are explicitly on the founder's own critical path. The engineering implication is architectural, not just organisational: each must be a runtime `app_config` flag (5.18) the product can flip the moment it clears, rather than a hardcoded assumption baked into the build.</w:t>
      </w:r>
    </w:p>
    <w:p>
      <w:pPr>
        <w:pStyle w:val="Heading2"/>
        <w:spacing w:after="140" w:before="320"/>
      </w:pPr>
      <w:r>
        <w:rPr>
          <w:b/>
          <w:bCs/>
          <w:color w:val="1A1A1A"/>
          <w:sz w:val="25"/>
          <w:szCs w:val="25"/>
        </w:rPr>
        <w:t xml:space="preserve">11.3 Data residency and hosting region</w:t>
      </w:r>
    </w:p>
    <w:p>
      <w:pPr>
        <w:spacing w:after="160" w:line="276"/>
      </w:pPr>
      <w:r>
        <w:rPr>
          <w:color w:val="1A1A1A"/>
          <w:sz w:val="21"/>
          <w:szCs w:val="21"/>
        </w:rPr>
        <w:t xml:space="preserve">Supabase's managed hosting regions must be weighed against NDPR data-residency expectations and against latency for a Nigerian user base — a decision Regulatory Affairs and the Data Protection Officer (Section 2) should sign off jointly before DevOps provisions production infrastructure, not one Engineering Delivery should default on its own.</w:t>
      </w:r>
    </w:p>
    <w:p>
      <w:pPr>
        <w:pStyle w:val="Heading2"/>
        <w:spacing w:after="140" w:before="320"/>
      </w:pPr>
      <w:r>
        <w:rPr>
          <w:b/>
          <w:bCs/>
          <w:color w:val="1A1A1A"/>
          <w:sz w:val="25"/>
          <w:szCs w:val="25"/>
        </w:rPr>
        <w:t xml:space="preserve">11.4 Clinical liability model</w:t>
      </w:r>
    </w:p>
    <w:p>
      <w:pPr>
        <w:spacing w:after="160" w:line="276"/>
      </w:pPr>
      <w:r>
        <w:rPr>
          <w:color w:val="1A1A1A"/>
          <w:sz w:val="21"/>
          <w:szCs w:val="21"/>
        </w:rPr>
        <w:t xml:space="preserve">The "tech layer" (doctors sign under their own MDCN licence) versus "provider" (Tarragon itself carries the clinical relationship) models are both designed for in Section 5.20 as a config switch, but which one the company actually operates under at launch is a decision tied directly to the indemnity-cover purchase in 11.2 and should be made once, not discovered mid-build.</w:t>
      </w:r>
    </w:p>
    <w:p>
      <w:pPr>
        <w:pStyle w:val="Heading2"/>
        <w:spacing w:after="140" w:before="320"/>
      </w:pPr>
      <w:r>
        <w:rPr>
          <w:b/>
          <w:bCs/>
          <w:color w:val="1A1A1A"/>
          <w:sz w:val="25"/>
          <w:szCs w:val="25"/>
        </w:rPr>
        <w:t xml:space="preserve">11.5 Named risks to design against, not just build around</w:t>
      </w:r>
    </w:p>
    <w:p>
      <w:pPr>
        <w:pStyle w:val="ListParagraph"/>
        <w:numPr>
          <w:ilvl w:val="0"/>
          <w:numId w:val="2"/>
        </w:numPr>
        <w:spacing w:after="90" w:line="264"/>
      </w:pPr>
      <w:r>
        <w:rPr>
          <w:color w:val="1A1A1A"/>
          <w:sz w:val="21"/>
          <w:szCs w:val="21"/>
        </w:rPr>
        <w:t xml:space="preserve">Founder capacity — a six-hour working week means every feature in this document must ship in a state that needs no ongoing manual preparation from the founder to operate (this is why the config-flag approach in 11.2 matters as much as the feature itself).</w:t>
      </w:r>
    </w:p>
    <w:p>
      <w:pPr>
        <w:pStyle w:val="ListParagraph"/>
        <w:numPr>
          <w:ilvl w:val="0"/>
          <w:numId w:val="2"/>
        </w:numPr>
        <w:spacing w:after="90" w:line="264"/>
      </w:pPr>
      <w:r>
        <w:rPr>
          <w:color w:val="1A1A1A"/>
          <w:sz w:val="21"/>
          <w:szCs w:val="21"/>
        </w:rPr>
        <w:t xml:space="preserve">The consumer-versus-institutional trap — the roadmap's own modelling shows margin is only reachable through institutional channels; if engineering prioritises consumer-only features ahead of the institutional console (5.7), the platform can succeed on activation and still fail commercially.</w:t>
      </w:r>
    </w:p>
    <w:p>
      <w:pPr>
        <w:pStyle w:val="ListParagraph"/>
        <w:numPr>
          <w:ilvl w:val="0"/>
          <w:numId w:val="2"/>
        </w:numPr>
        <w:spacing w:after="90" w:line="264"/>
      </w:pPr>
      <w:r>
        <w:rPr>
          <w:color w:val="1A1A1A"/>
          <w:sz w:val="21"/>
          <w:szCs w:val="21"/>
        </w:rPr>
        <w:t xml:space="preserve">A preventable clinical safety event — the single risk every guardrail in Sections 5.3, 5.4, 5.6 and 5.20 exists to prevent. Treat any shortcut on clinician sign-off, escalation routing, or the audit trail as a business-ending risk, not a schedule trade-off.</w:t>
      </w:r>
    </w:p>
    <w:p>
      <w:pPr>
        <w:spacing w:after="80"/>
      </w:pPr>
    </w:p>
    <w:p>
      <w:pPr>
        <w:pBdr>
          <w:top w:val="single" w:color="C9D4CE" w:sz="6" w:space="8"/>
        </w:pBdr>
        <w:spacing w:before="400"/>
      </w:pPr>
      <w:r>
        <w:rPr>
          <w:i/>
          <w:iCs/>
          <w:color w:val="5B6B63"/>
          <w:sz w:val="18"/>
          <w:szCs w:val="18"/>
        </w:rPr>
        <w:t xml:space="preserve">End of specification. Version 1.0 — 27 August 2026 — Tarragon Health Ltd, RC 9702108.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8F"/>
        <w:sz w:val="15"/>
        <w:szCs w:val="15"/>
      </w:rPr>
      <w:t xml:space="preserve">Page </w:t>
    </w:r>
    <w:r>
      <w:rPr>
        <w:color w:val="8A968F"/>
        <w:sz w:val="15"/>
        <w:szCs w:val="15"/>
      </w:rPr>
      <w:fldChar w:fldCharType="begin"/>
      <w:instrText xml:space="preserve">PAGE</w:instrText>
      <w:fldChar w:fldCharType="separate"/>
      <w:fldChar w:fldCharType="end"/>
    </w:r>
    <w:r>
      <w:rPr>
        <w:color w:val="8A968F"/>
        <w:sz w:val="15"/>
        <w:szCs w:val="15"/>
      </w:rPr>
      <w:t xml:space="preserve"> of </w:t>
    </w:r>
    <w:r>
      <w:rPr>
        <w:color w:val="8A968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968F"/>
        <w:sz w:val="15"/>
        <w:szCs w:val="15"/>
      </w:rPr>
      <w:t xml:space="preserve">Tarragon Health — Platform &amp;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2026-08-27T17:35:11.199Z</dcterms:created>
  <dcterms:modified xsi:type="dcterms:W3CDTF">2026-08-27T17:35:11.199Z</dcterms:modified>
</cp:coreProperties>
</file>

<file path=docProps/custom.xml><?xml version="1.0" encoding="utf-8"?>
<Properties xmlns="http://schemas.openxmlformats.org/officeDocument/2006/custom-properties" xmlns:vt="http://schemas.openxmlformats.org/officeDocument/2006/docPropsVTypes"/>
</file>