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0E7C52"/>
          <w:sz w:val="56"/>
          <w:szCs w:val="56"/>
        </w:rPr>
        <w:t xml:space="preserve">TarragonHealth</w:t>
      </w:r>
    </w:p>
    <w:p>
      <w:pPr>
        <w:spacing w:after="300" w:before="200"/>
        <w:jc w:val="center"/>
      </w:pPr>
      <w:r>
        <w:rPr>
          <w:color w:val="12324B"/>
          <w:sz w:val="32"/>
          <w:szCs w:val="32"/>
        </w:rPr>
        <w:t xml:space="preserve">Legal Documentation Package for Counsel Review</w:t>
      </w:r>
    </w:p>
    <w:p>
      <w:pPr>
        <w:spacing w:after="300"/>
        <w:jc w:val="center"/>
      </w:pPr>
      <w:r>
        <w:rPr>
          <w:b/>
          <w:bCs/>
          <w:color w:val="C0392B"/>
          <w:sz w:val="22"/>
          <w:szCs w:val="22"/>
        </w:rPr>
        <w:t xml:space="preserve">DRAFT — prepared for legal review. Not approved by counsel. Not for public distribution or use pending sign-off on the items marked in red throughout this document.</w:t>
      </w:r>
    </w:p>
    <w:p>
      <w:pPr>
        <w:pBdr>
          <w:top w:val="single" w:color="D4AF37" w:sz="4" w:space="6"/>
          <w:bottom w:val="single" w:color="D4AF37" w:sz="4" w:space="6"/>
          <w:left w:val="single" w:color="D4AF37" w:sz="4" w:space="6"/>
          <w:right w:val="single" w:color="D4AF37" w:sz="4" w:space="6"/>
        </w:pBdr>
        <w:shd w:fill="FFF6DA"/>
        <w:spacing w:after="260" w:before="120"/>
      </w:pPr>
      <w:r>
        <w:rPr>
          <w:b/>
          <w:bCs/>
          <w:i/>
          <w:iCs/>
          <w:color w:val="8A6D00"/>
        </w:rPr>
        <w:t xml:space="preserve">VERSION 2 — rewritten 29 July 2026, hours after v1, once it was discovered that TarragonHealth's own build specification (tarragon-build-spec-v3.md) describes a materially different, narrower product than the one v1 was drafted against. See "What changed since v1" on the first page of the memo.</w:t>
      </w:r>
    </w:p>
    <w:p>
      <w:pPr>
        <w:jc w:val="center"/>
      </w:pPr>
      <w:r>
        <w:rPr>
          <w:color w:val="555555"/>
          <w:sz w:val="22"/>
          <w:szCs w:val="22"/>
        </w:rPr>
        <w:t xml:space="preserve">29 July 2026</w:t>
      </w:r>
    </w:p>
    <w:p>
      <w:pPr>
        <w:spacing w:before="200"/>
        <w:jc w:val="center"/>
      </w:pPr>
      <w:r>
        <w:rPr>
          <w:color w:val="888888"/>
          <w:sz w:val="18"/>
          <w:szCs w:val="18"/>
        </w:rPr>
        <w:t xml:space="preserve">Contents: Cover Memo · Schedule A (Data Processing Consent) · Schedule B (Telehealth Consent) · Schedule C (Terms of Service) · Open Items Checklist</w:t>
      </w:r>
    </w:p>
    <w:p>
      <w:pPr>
        <w:spacing w:before="500"/>
      </w:pPr>
      <w:sdt>
        <w:sdtPr>
          <w:alias w:val="Table of Contents"/>
        </w:sdtPr>
        <w:sdtContent>
          <w:p>
            <w:r>
              <w:fldChar w:fldCharType="begin" w:dirty="true"/>
              <w:instrText xml:space="preserve">TOC \h \o "1-2"</w:instrText>
              <w:fldChar w:fldCharType="separate"/>
            </w:r>
          </w:p>
          <w:p>
            <w:r>
              <w:fldChar w:fldCharType="end"/>
            </w:r>
          </w:p>
        </w:sdtContent>
      </w:sdt>
    </w:p>
    <w:p>
      <w:pPr>
        <w:pageBreakBefore/>
      </w:pPr>
    </w:p>
    <w:p>
      <w:pPr>
        <w:pStyle w:val="Heading1"/>
        <w:spacing w:after="200" w:before="360"/>
      </w:pPr>
      <w:r>
        <w:t xml:space="preserve">Memo to Counsel</w:t>
      </w:r>
    </w:p>
    <w:p>
      <w:pPr>
        <w:spacing w:after="60"/>
      </w:pPr>
      <w:r>
        <w:rPr>
          <w:b/>
          <w:bCs/>
        </w:rPr>
        <w:t xml:space="preserve">To: </w:t>
      </w:r>
      <w:r>
        <w:rPr>
          <w:b/>
          <w:bCs/>
          <w:color w:val="C0392B"/>
        </w:rPr>
        <w:t xml:space="preserve">[Outside Counsel — Data Protection &amp; Health Regulatory, to be confirmed]</w:t>
      </w:r>
    </w:p>
    <w:p>
      <w:pPr>
        <w:spacing w:after="60"/>
      </w:pPr>
      <w:r>
        <w:rPr>
          <w:b/>
          <w:bCs/>
        </w:rPr>
        <w:t xml:space="preserve">From: </w:t>
      </w:r>
      <w:r>
        <w:t xml:space="preserve">Dr Kola Longe, Founder, TarragonHealth</w:t>
      </w:r>
    </w:p>
    <w:p>
      <w:pPr>
        <w:spacing w:after="60"/>
      </w:pPr>
      <w:r>
        <w:rPr>
          <w:b/>
          <w:bCs/>
        </w:rPr>
        <w:t xml:space="preserve">Date: </w:t>
      </w:r>
      <w:r>
        <w:t xml:space="preserve">29 July 2026 (v2 — rewritten same day, after the platform's build specification changed the product materially; see "What changed" below)</w:t>
      </w:r>
    </w:p>
    <w:p>
      <w:pPr>
        <w:spacing w:after="60"/>
      </w:pPr>
      <w:r>
        <w:rPr>
          <w:b/>
          <w:bCs/>
        </w:rPr>
        <w:t xml:space="preserve">Re: </w:t>
      </w:r>
      <w:r>
        <w:t xml:space="preserve">Review requested — data protection, telehealth, and consumer terms ahead of public launch</w:t>
      </w:r>
    </w:p>
    <w:p>
      <w:pPr>
        <w:spacing w:after="100"/>
      </w:pPr>
    </w:p>
    <w:p>
      <w:pPr>
        <w:pStyle w:val="Heading2"/>
        <w:spacing w:after="140" w:before="280"/>
      </w:pPr>
      <w:r>
        <w:t xml:space="preserve">What changed since v1 of this memo</w:t>
      </w:r>
    </w:p>
    <w:p>
      <w:pPr>
        <w:spacing w:after="160"/>
        <w:jc w:val="both"/>
      </w:pPr>
      <w:r>
        <w:t xml:space="preserve">An earlier version of this memo and its attached schedules was drafted against an older description of the platform. Hours later, we found that TarragonHealth's own founder-authored build specification (tarragon-build-spec-v3.md, dated 29 July 2026, “supersedes everything else”) describes a materially different, narrower product. This version is rewritten against that specification. The most consequential differences: the platform is now scoped to cardiometabolic conditions only (hypertension, type 2 diabetes, obesity) rather than a broad chronic-care/prevention offering; there are no family or household plans and no diaspora billing (both are now permanently out of scope); WhatsApp is strictly notification-only, with clinician chat over WhatsApp explicitly treated as a defect; the prior five-tier doctor model is replaced by a company-wide, configurable accountability model; and the abnormal-result response is now a genuinely tiered SLA rather than a flat four-hour target. The registered company name and RC number, previously an open item, are now confirmed from the spec itself.</w:t>
      </w:r>
    </w:p>
    <w:p>
      <w:pPr>
        <w:pStyle w:val="Heading2"/>
        <w:spacing w:after="140" w:before="280"/>
      </w:pPr>
      <w:r>
        <w:t xml:space="preserve">Purpose</w:t>
      </w:r>
    </w:p>
    <w:p>
      <w:pPr>
        <w:spacing w:after="160"/>
        <w:jc w:val="both"/>
      </w:pPr>
      <w:r>
        <w:t xml:space="preserve">We are preparing to launch TarragonHealth publicly and need your review of three consent/terms documents before they go live: a Data Processing Consent (Schedule A), a Telehealth Consent (Schedule B), and Terms of Service (Schedule C). All three are attached below. This memo gives you the platform context you need to review them, and lists nine specific legal questions we need answered, the first of which we consider the highest priority and a likely blocker for launch.</w:t>
      </w:r>
    </w:p>
    <w:p>
      <w:pPr>
        <w:pStyle w:val="Heading2"/>
        <w:spacing w:after="140" w:before="280"/>
      </w:pPr>
      <w:r>
        <w:t xml:space="preserve">Platform context</w:t>
      </w:r>
    </w:p>
    <w:p>
      <w:pPr>
        <w:spacing w:after="160"/>
        <w:jc w:val="both"/>
      </w:pPr>
      <w:r>
        <w:t xml:space="preserve">TarragonHealth (Tarragon Health Ltd, RC 9702108) operates a cardiometabolic detection-and-control platform for Nigeria, targeting hypertension, type 2 diabetes, and obesity. The clinical loop is: measure repeatedly, classify by protocol, deliver a verified generic medicine, prove the outcome.</w:t>
      </w:r>
    </w:p>
    <w:p>
      <w:pPr>
        <w:spacing w:after="160"/>
        <w:jc w:val="both"/>
      </w:pPr>
      <w:r>
        <w:t xml:space="preserve">Two commercial products, differing only in service level: Control (engine-led — an algorithm clears the stable majority of results, sold per covered life to organisations) and Concierge (a named coordinator, faster response times, structured reporting to a consenting funder). Individuals can also enrol and pay for either directly.</w:t>
      </w:r>
    </w:p>
    <w:p>
      <w:pPr>
        <w:spacing w:after="160"/>
        <w:jc w:val="both"/>
      </w:pPr>
      <w:r>
        <w:t xml:space="preserve">Clinical staffing operates under one of two configurable models, chosen company-wide: under “tech_layer” (our current default), each doctor practises and signs notes under their own individual MDCN registration, with mandatory indemnity cover; under “provider”, Tarragon Health Ltd itself takes responsibility for the note, countersigned by the treating doctor. Which model is in force is recorded on every note. We have not finalised which model to use in production, our own build specification flags this as requiring written legal advice, not an engineering decision.</w:t>
      </w:r>
    </w:p>
    <w:p>
      <w:pPr>
        <w:spacing w:after="160"/>
        <w:jc w:val="both"/>
      </w:pPr>
      <w:r>
        <w:t xml:space="preserve">Result classification and response follow a tiered service standard: routine results are reviewed within 7 days, important results within 48 hours, urgent results by a phone call within 2 hours (never a text message alone), and emergency results trigger simultaneous contact on every channel plus a documented attempt to reach the patient's named emergency contact. Any result classified urgent or emergency can only be closed after a doctor has spoken to the patient directly, never from a written note alone.</w:t>
      </w:r>
    </w:p>
    <w:p>
      <w:pPr>
        <w:spacing w:after="160"/>
        <w:jc w:val="both"/>
      </w:pPr>
      <w:r>
        <w:t xml:space="preserve">Automated processing. Every reading is classified against a published clinical protocol (WHO HEARTS), assisted by an AI model that can only make a classification more cautious, never less.</w:t>
      </w:r>
    </w:p>
    <w:p>
      <w:pPr>
        <w:spacing w:after="160"/>
        <w:jc w:val="both"/>
      </w:pPr>
      <w:r>
        <w:t xml:space="preserve">Communications run on five separate channels with strict content rules: the app carries the clinical record and all clinical conversation; a phone call is how clinical judgement is delivered; SMS is urgent backup and the primary channel for patients without a smartphone; WhatsApp is notification-only, with no clinical content permitted on it at all; email carries documents and receipts.</w:t>
      </w:r>
    </w:p>
    <w:p>
      <w:pPr>
        <w:spacing w:after="160"/>
        <w:jc w:val="both"/>
      </w:pPr>
      <w:r>
        <w:t xml:space="preserve">Data and hosting are unchanged by this rewrite: our production database still runs on Supabase (Postgres) in AWS's eu-west-1 region (Dublin, Ireland), because Supabase has no data centre in Nigeria or elsewhere in Africa. Our own build specification independently flags this as the highest-risk open item in our legal position.</w:t>
      </w:r>
    </w:p>
    <w:p>
      <w:pPr>
        <w:spacing w:after="160"/>
        <w:jc w:val="both"/>
      </w:pPr>
      <w:r>
        <w:t xml:space="preserve">Payments run on Paystack (Nigeria) and Stripe (international card payments), both charging the same single naira price list, there is no separate foreign-currency price list, and no UK, US, or other non-Nigerian market launch is currently in scope.</w:t>
      </w:r>
    </w:p>
    <w:p>
      <w:pPr>
        <w:spacing w:after="160"/>
        <w:jc w:val="both"/>
      </w:pPr>
      <w:r>
        <w:t xml:space="preserve">No family or household plans. An adult account holder may enrol a child under 18 as a dependant and manage their care; we do not offer a shared or discounted household subscription.</w:t>
      </w:r>
    </w:p>
    <w:p>
      <w:pPr>
        <w:spacing w:after="160"/>
        <w:jc w:val="both"/>
      </w:pPr>
      <w:r>
        <w:t xml:space="preserve">A new operational layer: field staff run in-person screening events, often at an employer's premises, capturing consent and initial readings on a tablet, sometimes before the person being screened has any app account at all. Consent at that point is captured as a wet signature, a voice recording, or tablet-based e-consent, not through the app.</w:t>
      </w:r>
    </w:p>
    <w:p>
      <w:pPr>
        <w:spacing w:after="160"/>
        <w:jc w:val="both"/>
      </w:pPr>
      <w:r>
        <w:t xml:space="preserve">Research. We support anonymised research use of patient data, strictly opt-in, governed by a documented lawful basis and a minimum group size per export, with re-identification keys held separately and never exported. A patient who withdraws consent is excluded from future exports, but we cannot recall an export already delivered before withdrawal.</w:t>
      </w:r>
    </w:p>
    <w:p>
      <w:pPr>
        <w:spacing w:after="160"/>
        <w:jc w:val="both"/>
      </w:pPr>
      <w:r>
        <w:t xml:space="preserve">A document we could not locate. Both parts of our build specification repeatedly refer to a companion document, tarragon-strategy-v3.md, said to contain the regulatory positions and cross-border transfer reasoning behind several of the decisions above. That document does not currently exist in our codebase. We flag this so you know some of the reasoning referenced in our own specification has not actually been written down anywhere we can show you yet.</w:t>
      </w:r>
    </w:p>
    <w:p>
      <w:pPr>
        <w:pStyle w:val="Heading2"/>
        <w:spacing w:after="140" w:before="280"/>
      </w:pPr>
      <w:r>
        <w:t xml:space="preserve">Nine questions for your review</w:t>
      </w:r>
    </w:p>
    <w:p>
      <w:pPr>
        <w:spacing w:after="220"/>
        <w:jc w:val="both"/>
      </w:pPr>
      <w:r>
        <w:rPr>
          <w:b/>
          <w:bCs/>
        </w:rPr>
        <w:t xml:space="preserve">Question 1. </w:t>
      </w:r>
      <w:r>
        <w:rPr>
          <w:b/>
          <w:bCs/>
          <w:i/>
          <w:iCs/>
        </w:rPr>
        <w:t xml:space="preserve">Cross-border data transfer (highest priority). </w:t>
      </w:r>
      <w:r>
        <w:t xml:space="preserve">Because our database sits in eu-west-1, Nigerian patients' personal data, including sensitive health data, leaves Nigeria as an infrastructure fact, not a user choice. Our own build specification independently identifies this as the single highest-risk area in our legal position. The Nigeria Data Protection Act 2023 treats cross-border transfer as something requiring a specific lawful mechanism, an adequacy finding, appropriate contractual safeguards, or the data subject's informed consent to that specific transfer. We need your view on which mechanism we should rely on, and whether this is a hard blocker for public launch.</w:t>
      </w:r>
    </w:p>
    <w:p>
      <w:pPr>
        <w:spacing w:after="220"/>
        <w:jc w:val="both"/>
      </w:pPr>
      <w:r>
        <w:rPr>
          <w:b/>
          <w:bCs/>
        </w:rPr>
        <w:t xml:space="preserve">Question 2. </w:t>
      </w:r>
      <w:r>
        <w:rPr>
          <w:b/>
          <w:bCs/>
          <w:i/>
          <w:iCs/>
        </w:rPr>
        <w:t xml:space="preserve">Sensitive personal data and lawful basis. </w:t>
      </w:r>
      <w:r>
        <w:t xml:space="preserve">Is the consent-scope structure described in Schedule A, a general basis of care necessity, plus five specific, individually revocable consents (escalation contact, clinical share, funder summary, institution aggregate, research anonymised), the right architecture under the Act? Specifically, may account activation be lawfully conditioned on accepting the “escalation contact” consent, as our platform currently requires?</w:t>
      </w:r>
    </w:p>
    <w:p>
      <w:pPr>
        <w:spacing w:after="220"/>
        <w:jc w:val="both"/>
      </w:pPr>
      <w:r>
        <w:rPr>
          <w:b/>
          <w:bCs/>
        </w:rPr>
        <w:t xml:space="preserve">Question 3. </w:t>
      </w:r>
      <w:r>
        <w:rPr>
          <w:b/>
          <w:bCs/>
          <w:i/>
          <w:iCs/>
        </w:rPr>
        <w:t xml:space="preserve">Controller/processor status and registration. </w:t>
      </w:r>
      <w:r>
        <w:t xml:space="preserve">Are we a data controller, a data processor, or both, depending on the relationship (direct patients vs. organisation-enrolled patients)? Do we need to register with the NDPC, or undergo a data protection compliance audit? Our own platform already refuses to accept live patients in production until NDPC registration is complete and a DPO is named, is that gate sufficient, or does registration itself need to happen earlier in our build/launch sequence?</w:t>
      </w:r>
    </w:p>
    <w:p>
      <w:pPr>
        <w:spacing w:after="220"/>
        <w:jc w:val="both"/>
      </w:pPr>
      <w:r>
        <w:rPr>
          <w:b/>
          <w:bCs/>
        </w:rPr>
        <w:t xml:space="preserve">Question 4. </w:t>
      </w:r>
      <w:r>
        <w:rPr>
          <w:b/>
          <w:bCs/>
          <w:i/>
          <w:iCs/>
        </w:rPr>
        <w:t xml:space="preserve">Automated decision-making disclosure. </w:t>
      </w:r>
      <w:r>
        <w:t xml:space="preserve">Every reading is automatically classified by a deterministic protocol engine, optionally assisted by an AI model that may only escalate a classification, never downgrade it, and a result classified urgent or emergency can only be closed after direct human contact with the patient. Does this design, as described, satisfy any right under the Act to avoid a decision based solely on automated processing, and is our current disclosure of it (Schedule A, “Automated processing”) sufficient?</w:t>
      </w:r>
    </w:p>
    <w:p>
      <w:pPr>
        <w:spacing w:after="220"/>
        <w:jc w:val="both"/>
      </w:pPr>
      <w:r>
        <w:rPr>
          <w:b/>
          <w:bCs/>
        </w:rPr>
        <w:t xml:space="preserve">Question 5. </w:t>
      </w:r>
      <w:r>
        <w:rPr>
          <w:b/>
          <w:bCs/>
          <w:i/>
          <w:iCs/>
        </w:rPr>
        <w:t xml:space="preserve">The accountability model. </w:t>
      </w:r>
      <w:r>
        <w:t xml:space="preserve">Should we launch on “tech_layer” (each doctor practises under their own MDCN registration) or “provider” (Tarragon Health Ltd takes responsibility for the note, doctor countersigning)? Our build specification treats this explicitly as a legal decision, not a technical one. We need a recommendation and, ideally, a defensible basis for whichever model you recommend, since Schedule B's description of “who is treating you” depends entirely on this answer.</w:t>
      </w:r>
    </w:p>
    <w:p>
      <w:pPr>
        <w:spacing w:after="220"/>
        <w:jc w:val="both"/>
      </w:pPr>
      <w:r>
        <w:rPr>
          <w:b/>
          <w:bCs/>
        </w:rPr>
        <w:t xml:space="preserve">Question 6. </w:t>
      </w:r>
      <w:r>
        <w:rPr>
          <w:b/>
          <w:bCs/>
          <w:i/>
          <w:iCs/>
        </w:rPr>
        <w:t xml:space="preserve">Field and screening-day consent. </w:t>
      </w:r>
      <w:r>
        <w:t xml:space="preserve">Our field staff capture consent by wet signature, voice recording, or tablet-based e-consent at in-person screening events, sometimes before the person screened has any app account. Is this consent-capture method legally sufficient under the Act, and does it need different or additional disclosure from the app-based consent flow described in Schedules A and B?</w:t>
      </w:r>
    </w:p>
    <w:p>
      <w:pPr>
        <w:spacing w:after="220"/>
        <w:jc w:val="both"/>
      </w:pPr>
      <w:r>
        <w:rPr>
          <w:b/>
          <w:bCs/>
        </w:rPr>
        <w:t xml:space="preserve">Question 7. </w:t>
      </w:r>
      <w:r>
        <w:rPr>
          <w:b/>
          <w:bCs/>
          <w:i/>
          <w:iCs/>
        </w:rPr>
        <w:t xml:space="preserve">Emergency carve-out, tiered SLA, and liability. </w:t>
      </w:r>
      <w:r>
        <w:t xml:space="preserve">Is our tiered response commitment (routine 7 days, important 48 hours, urgent phone call within 2 hours, emergency immediate multi-channel contact plus a documented next-of-kin attempt) adequately disclosed and legally defensible as stated in Schedule B? Should Schedule C carry a more specific limitation-of-liability and indemnity structure than the placeholder we have drafted?</w:t>
      </w:r>
    </w:p>
    <w:p>
      <w:pPr>
        <w:spacing w:after="220"/>
        <w:jc w:val="both"/>
      </w:pPr>
      <w:r>
        <w:rPr>
          <w:b/>
          <w:bCs/>
        </w:rPr>
        <w:t xml:space="preserve">Question 8. </w:t>
      </w:r>
      <w:r>
        <w:rPr>
          <w:b/>
          <w:bCs/>
          <w:i/>
          <w:iCs/>
        </w:rPr>
        <w:t xml:space="preserve">Consumer protection and organisational sales. </w:t>
      </w:r>
      <w:r>
        <w:t xml:space="preserve">Does the FCCPC's consumer protection framework require a cooling-off period or refund right for our subscription model that our current “cancel at period end, no pro-rata refund” position does not provide? Separately: our primary sales motion for the Control product is selling coverage per patient life to an organisation (an employer or HMO) rather than to the individual directly, does that relationship need a distinct commercial services agreement, separate from the individual-facing Schedule C, and if so, can you help us produce one?</w:t>
      </w:r>
    </w:p>
    <w:p>
      <w:pPr>
        <w:spacing w:after="220"/>
        <w:jc w:val="both"/>
      </w:pPr>
      <w:r>
        <w:rPr>
          <w:b/>
          <w:bCs/>
        </w:rPr>
        <w:t xml:space="preserve">Question 9. </w:t>
      </w:r>
      <w:r>
        <w:rPr>
          <w:b/>
          <w:bCs/>
          <w:i/>
          <w:iCs/>
        </w:rPr>
        <w:t xml:space="preserve">Minors and dependant enrolment. </w:t>
      </w:r>
      <w:r>
        <w:t xml:space="preserve">What is the Act's threshold for “child” data requiring guardian consent, and does our dependant-enrolment mechanism (an adult account holder enrols and manages a child under 18, enforced at the database level as a hard age constraint) satisfy the consent mechanism the Act requires?</w:t>
      </w:r>
    </w:p>
    <w:p>
      <w:pPr>
        <w:pStyle w:val="Heading2"/>
        <w:spacing w:after="140" w:before="280"/>
      </w:pPr>
      <w:r>
        <w:t xml:space="preserve">Attached</w:t>
      </w:r>
    </w:p>
    <w:p>
      <w:pPr>
        <w:pStyle w:val="ListParagraph"/>
        <w:numPr>
          <w:ilvl w:val="0"/>
          <w:numId w:val="2"/>
        </w:numPr>
        <w:spacing w:after="100"/>
      </w:pPr>
      <w:r>
        <w:t xml:space="preserve">Schedule A — Data Processing Consent</w:t>
      </w:r>
    </w:p>
    <w:p>
      <w:pPr>
        <w:pStyle w:val="ListParagraph"/>
        <w:numPr>
          <w:ilvl w:val="0"/>
          <w:numId w:val="2"/>
        </w:numPr>
        <w:spacing w:after="100"/>
      </w:pPr>
      <w:r>
        <w:t xml:space="preserve">Schedule B — Telehealth Consent</w:t>
      </w:r>
    </w:p>
    <w:p>
      <w:pPr>
        <w:pStyle w:val="ListParagraph"/>
        <w:numPr>
          <w:ilvl w:val="0"/>
          <w:numId w:val="2"/>
        </w:numPr>
        <w:spacing w:after="100"/>
      </w:pPr>
      <w:r>
        <w:t xml:space="preserve">Schedule C — Terms of Service</w:t>
      </w:r>
    </w:p>
    <w:p>
      <w:pPr>
        <w:spacing w:after="160"/>
        <w:jc w:val="both"/>
      </w:pPr>
      <w:r>
        <w:t xml:space="preserve">Each schedule is marked, inline (in red), with the specific gaps we need you to close. A consolidated Open Items Checklist appears at the end of this document.</w:t>
      </w:r>
    </w:p>
    <w:p>
      <w:pPr>
        <w:pageBreakBefore/>
      </w:pPr>
    </w:p>
    <w:p>
      <w:pPr>
        <w:pStyle w:val="Heading1"/>
        <w:spacing w:after="200" w:before="360"/>
      </w:pPr>
      <w:r>
        <w:t xml:space="preserve">Schedule A — Data Processing Consent</w:t>
      </w:r>
    </w:p>
    <w:p>
      <w:pPr>
        <w:pBdr>
          <w:top w:val="single" w:color="C0392B" w:sz="6" w:space="6"/>
          <w:bottom w:val="single" w:color="C0392B" w:sz="6" w:space="6"/>
        </w:pBdr>
        <w:spacing w:after="260" w:before="120"/>
      </w:pPr>
      <w:r>
        <w:rPr>
          <w:b/>
          <w:bCs/>
          <w:i/>
          <w:iCs/>
          <w:color w:val="C0392B"/>
        </w:rPr>
        <w:t xml:space="preserve">Draft for legal review — not yet approved by counsel. Version 2026-07-29-v2.</w:t>
      </w:r>
    </w:p>
    <w:p>
      <w:pPr>
        <w:pStyle w:val="Heading2"/>
        <w:spacing w:after="140" w:before="280"/>
      </w:pPr>
      <w:r>
        <w:t xml:space="preserve">Who we are</w:t>
      </w:r>
    </w:p>
    <w:p>
      <w:pPr>
        <w:spacing w:after="160"/>
        <w:jc w:val="both"/>
      </w:pPr>
      <w:r>
        <w:t xml:space="preserve">Tarragon Health Ltd (RC 9702108) (“TarragonHealth”, “we”, “us”) operates a cardiometabolic detection-and-control platform in Nigeria, focused on hypertension, type 2 diabetes, and obesity. We are the data controller for the personal data described in this notice.</w:t>
      </w:r>
    </w:p>
    <w:p>
      <w:pPr>
        <w:spacing w:after="160"/>
        <w:jc w:val="both"/>
      </w:pPr>
      <w:r>
        <w:t xml:space="preserve">Data Protection Officer: </w:t>
      </w:r>
      <w:r>
        <w:rPr>
          <w:b/>
          <w:bCs/>
          <w:color w:val="C0392B"/>
        </w:rPr>
        <w:t xml:space="preserve">[DPO name and contact — OPEN ITEM 1, to be appointed and confirmed]</w:t>
      </w:r>
      <w:r>
        <w:t xml:space="preserve">. Nigeria Data Protection Commission (NDPC) registration status: </w:t>
      </w:r>
      <w:r>
        <w:rPr>
          <w:b/>
          <w:bCs/>
          <w:color w:val="C0392B"/>
        </w:rPr>
        <w:t xml:space="preserve">[OPEN ITEM 2, to be confirmed]</w:t>
      </w:r>
      <w:r>
        <w:t xml:space="preserve">. Our own platform will not accept live patients into production until NDPC registration is complete and a DPO is appointed, this is enforced as a technical gate on our own systems, not just a policy.</w:t>
      </w:r>
    </w:p>
    <w:p>
      <w:pPr>
        <w:spacing w:after="160"/>
        <w:jc w:val="both"/>
      </w:pPr>
      <w:r>
        <w:t xml:space="preserve">If you have questions about this notice or how we handle your data, contact us at privacy@tarragonhealth.ng, or write to our Data Protection Officer at the address above.</w:t>
      </w:r>
    </w:p>
    <w:p>
      <w:pPr>
        <w:pStyle w:val="Heading2"/>
        <w:spacing w:after="140" w:before="280"/>
      </w:pPr>
      <w:r>
        <w:t xml:space="preserve">What personal data we collect</w:t>
      </w:r>
    </w:p>
    <w:p>
      <w:pPr>
        <w:spacing w:after="160"/>
        <w:jc w:val="both"/>
      </w:pPr>
      <w:r>
        <w:t xml:space="preserve">We collect the information you give us directly, the information our field staff or your care team record about you, and the information generated by using the platform.</w:t>
      </w:r>
    </w:p>
    <w:p>
      <w:pPr>
        <w:pStyle w:val="ListParagraph"/>
        <w:numPr>
          <w:ilvl w:val="0"/>
          <w:numId w:val="2"/>
        </w:numPr>
        <w:spacing w:after="100"/>
      </w:pPr>
      <w:r>
        <w:t xml:space="preserve">Identity and contact details — name, date of birth, sex, phone number, email, state and local government area of residence.</w:t>
      </w:r>
    </w:p>
    <w:p>
      <w:pPr>
        <w:pStyle w:val="ListParagraph"/>
        <w:numPr>
          <w:ilvl w:val="0"/>
          <w:numId w:val="2"/>
        </w:numPr>
        <w:spacing w:after="100"/>
      </w:pPr>
      <w:r>
        <w:t xml:space="preserve">Emergency contact — the name and phone number of a next of kin, used to reach someone on your behalf in an emergency.</w:t>
      </w:r>
    </w:p>
    <w:p>
      <w:pPr>
        <w:pStyle w:val="ListParagraph"/>
        <w:numPr>
          <w:ilvl w:val="0"/>
          <w:numId w:val="2"/>
        </w:numPr>
        <w:spacing w:after="100"/>
      </w:pPr>
      <w:r>
        <w:t xml:space="preserve">Health and clinical information — blood pressure, glucose, HbA1c, weight, height, and waist readings; the device you use to take them; symptoms and messages you share with your care team; medications; lab results; and clinical notes written by your doctor.</w:t>
      </w:r>
    </w:p>
    <w:p>
      <w:pPr>
        <w:pStyle w:val="ListParagraph"/>
        <w:numPr>
          <w:ilvl w:val="0"/>
          <w:numId w:val="2"/>
        </w:numPr>
        <w:spacing w:after="100"/>
      </w:pPr>
      <w:r>
        <w:t xml:space="preserve">Screening information — if you attend a screening event (for example, at your employer's premises), we record your participation and initial readings, whether or not you go on to become a full patient.</w:t>
      </w:r>
    </w:p>
    <w:p>
      <w:pPr>
        <w:pStyle w:val="ListParagraph"/>
        <w:numPr>
          <w:ilvl w:val="0"/>
          <w:numId w:val="2"/>
        </w:numPr>
        <w:spacing w:after="100"/>
      </w:pPr>
      <w:r>
        <w:t xml:space="preserve">Payment information — subscription, wallet, and order history, and payment references from Paystack or Stripe. We do not store your full card number.</w:t>
      </w:r>
    </w:p>
    <w:p>
      <w:pPr>
        <w:pStyle w:val="ListParagraph"/>
        <w:numPr>
          <w:ilvl w:val="0"/>
          <w:numId w:val="2"/>
        </w:numPr>
        <w:spacing w:after="100"/>
      </w:pPr>
      <w:r>
        <w:t xml:space="preserve">Device information — where you use a Bluetooth-paired reading device, its make, model, and serial number.</w:t>
      </w:r>
    </w:p>
    <w:p>
      <w:pPr>
        <w:pStyle w:val="ListParagraph"/>
        <w:numPr>
          <w:ilvl w:val="0"/>
          <w:numId w:val="2"/>
        </w:numPr>
        <w:spacing w:after="100"/>
      </w:pPr>
      <w:r>
        <w:t xml:space="preserve">Usage information — app and website activity, for security, fraud prevention, and service improvement.</w:t>
      </w:r>
    </w:p>
    <w:p>
      <w:pPr>
        <w:pStyle w:val="Heading2"/>
        <w:spacing w:after="140" w:before="280"/>
      </w:pPr>
      <w:r>
        <w:t xml:space="preserve">Sensitive personal data</w:t>
      </w:r>
    </w:p>
    <w:p>
      <w:pPr>
        <w:spacing w:after="160"/>
        <w:jc w:val="both"/>
      </w:pPr>
      <w:r>
        <w:t xml:space="preserve">Most of what we hold about you, your readings, symptoms, diagnoses, medications, and results, is health information, which the Nigeria Data Protection Act 2023 (“the Act”) classifies as sensitive personal data. We apply extra safeguards to this category of data: it is only visible to your care team and to you, access is logged, and every clinical action taken on your record is written to a record you can read yourself.</w:t>
      </w:r>
    </w:p>
    <w:p>
      <w:pPr>
        <w:pStyle w:val="Heading2"/>
        <w:spacing w:after="140" w:before="280"/>
      </w:pPr>
      <w:r>
        <w:t xml:space="preserve">Why we process your data, and the specific consents we ask for</w:t>
      </w:r>
    </w:p>
    <w:p>
      <w:pPr>
        <w:spacing w:after="160"/>
        <w:jc w:val="both"/>
      </w:pPr>
      <w:r>
        <w:t xml:space="preserve">We rely on more than one lawful basis, depending on the purpose.</w:t>
      </w:r>
    </w:p>
    <w:p>
      <w:pPr>
        <w:pStyle w:val="ListParagraph"/>
        <w:numPr>
          <w:ilvl w:val="0"/>
          <w:numId w:val="2"/>
        </w:numPr>
        <w:spacing w:after="100"/>
      </w:pPr>
      <w:r>
        <w:t xml:space="preserve">Delivery of your care — processing your readings, symptoms, and clinical information to classify your results, alert your care team, and maintain your record is necessary for the provision of healthcare by a licensed clinician under a duty of confidentiality.</w:t>
      </w:r>
    </w:p>
    <w:p>
      <w:pPr>
        <w:pStyle w:val="ListParagraph"/>
        <w:numPr>
          <w:ilvl w:val="0"/>
          <w:numId w:val="2"/>
        </w:numPr>
        <w:spacing w:after="100"/>
      </w:pPr>
      <w:r>
        <w:t xml:space="preserve">Specific, scoped consent — for anything beyond your direct care, we ask for a specific consent, tracked individually and revocable at any time.</w:t>
      </w:r>
    </w:p>
    <w:p>
      <w:pPr>
        <w:pStyle w:val="ListParagraph"/>
        <w:numPr>
          <w:ilvl w:val="0"/>
          <w:numId w:val="2"/>
        </w:numPr>
        <w:spacing w:after="100"/>
      </w:pPr>
      <w:r>
        <w:t xml:space="preserve">Escalation contact — your consent for us to message or call you if we do not hear from you when we should. This is asked at enrolment and is required to activate your account.</w:t>
      </w:r>
    </w:p>
    <w:p>
      <w:pPr>
        <w:pStyle w:val="ListParagraph"/>
        <w:numPr>
          <w:ilvl w:val="0"/>
          <w:numId w:val="2"/>
        </w:numPr>
        <w:spacing w:after="100"/>
      </w:pPr>
      <w:r>
        <w:t xml:space="preserve">Clinical share — your consent to share your clinical information with a specific named recipient, for example a specialist you are referred to.</w:t>
      </w:r>
    </w:p>
    <w:p>
      <w:pPr>
        <w:pStyle w:val="ListParagraph"/>
        <w:numPr>
          <w:ilvl w:val="0"/>
          <w:numId w:val="2"/>
        </w:numPr>
        <w:spacing w:after="100"/>
      </w:pPr>
      <w:r>
        <w:t xml:space="preserve">Funder summary — if a third party (an employer, a relative, or another sponsor) is paying for your care through our Health Wallet, their access to a summary of your progress requires this separate consent from you. Funding your care never grants this access automatically.</w:t>
      </w:r>
    </w:p>
    <w:p>
      <w:pPr>
        <w:pStyle w:val="ListParagraph"/>
        <w:numPr>
          <w:ilvl w:val="0"/>
          <w:numId w:val="2"/>
        </w:numPr>
        <w:spacing w:after="100"/>
      </w:pPr>
      <w:r>
        <w:t xml:space="preserve">Institution aggregate — if you are enrolled through an employer or HMO programme, your data contributes to that organisation's aggregate statistics in de-identified form regardless of this consent, because the organisation never sees anything about you individually.</w:t>
      </w:r>
    </w:p>
    <w:p>
      <w:pPr>
        <w:pStyle w:val="ListParagraph"/>
        <w:numPr>
          <w:ilvl w:val="0"/>
          <w:numId w:val="2"/>
        </w:numPr>
        <w:spacing w:after="100"/>
      </w:pPr>
      <w:r>
        <w:t xml:space="preserve">Research, anonymised — your optional consent for your anonymised data to be used in research. This is off by default. If you consent and later withdraw, we stop including you in future research exports, but we cannot recall an export already delivered before you withdrew.</w:t>
      </w:r>
    </w:p>
    <w:p>
      <w:pPr>
        <w:pStyle w:val="ListParagraph"/>
        <w:numPr>
          <w:ilvl w:val="0"/>
          <w:numId w:val="2"/>
        </w:numPr>
        <w:spacing w:after="100"/>
      </w:pPr>
      <w:r>
        <w:t xml:space="preserve">Legal obligation — we process certain data, for example payment and tax records, to meet our obligations under Nigerian law.</w:t>
      </w:r>
    </w:p>
    <w:p>
      <w:pPr>
        <w:spacing w:after="160"/>
        <w:jc w:val="both"/>
      </w:pPr>
      <w:r>
        <w:rPr>
          <w:b/>
          <w:bCs/>
          <w:color w:val="C0392B"/>
        </w:rPr>
        <w:t xml:space="preserve">[OPEN ITEM 3 — counsel to confirm this consent-scope structure is the correct lawful-basis architecture under the Act, and specifically that account activation may properly be conditioned on the “escalation contact” consent. See Question 2.]</w:t>
      </w:r>
    </w:p>
    <w:p>
      <w:pPr>
        <w:pStyle w:val="Heading2"/>
        <w:spacing w:after="140" w:before="280"/>
      </w:pPr>
      <w:r>
        <w:t xml:space="preserve">Where your data is stored, and international transfer</w:t>
      </w:r>
    </w:p>
    <w:p>
      <w:pPr>
        <w:spacing w:after="160"/>
        <w:jc w:val="both"/>
      </w:pPr>
      <w:r>
        <w:t xml:space="preserve">Your data is stored in a Postgres database operated by our infrastructure provider, Supabase, in the AWS eu-west-1 region (Ireland). We use this region because our provider does not currently offer a data centre in Nigeria or elsewhere in Africa; eu-west-1 is the nearest available region.</w:t>
      </w:r>
    </w:p>
    <w:p>
      <w:pPr>
        <w:spacing w:after="160"/>
        <w:jc w:val="both"/>
      </w:pPr>
      <w:r>
        <w:t xml:space="preserve">This means your personal data, including sensitive health information, leaves Nigeria as a routine part of how the platform runs, not as an occasional or optional event. This is the single highest-priority open item in our own legal review, our build specification independently flags cross-border data transfer as the highest-risk area in our legal position. Nigerian law requires a specific lawful mechanism before personal data is transferred outside Nigeria, and our platform will not accept live patients into production until our Nigeria Data Protection Commission registration is complete.</w:t>
      </w:r>
    </w:p>
    <w:p>
      <w:pPr>
        <w:spacing w:after="160"/>
        <w:jc w:val="both"/>
      </w:pPr>
      <w:r>
        <w:rPr>
          <w:b/>
          <w:bCs/>
          <w:color w:val="C0392B"/>
        </w:rPr>
        <w:t xml:space="preserve">[OPEN ITEM 4 — the exact mechanism we rely on for this transfer has not yet been confirmed with counsel. Until it is, this section should be read as a disclosure of the fact of the transfer, not a representation that a specific lawful mechanism has been finalised. See Question 1.]</w:t>
      </w:r>
    </w:p>
    <w:p>
      <w:pPr>
        <w:pStyle w:val="Heading2"/>
        <w:spacing w:after="140" w:before="280"/>
      </w:pPr>
      <w:r>
        <w:t xml:space="preserve">Automated processing</w:t>
      </w:r>
    </w:p>
    <w:p>
      <w:pPr>
        <w:spacing w:after="160"/>
        <w:jc w:val="both"/>
      </w:pPr>
      <w:r>
        <w:t xml:space="preserve">Every reading you log is automatically classified against a clinical protocol (currently the WHO HEARTS guideline), this always happens, even for a normal reading, so nothing is silently skipped. Automated assistance from an AI model may flag a pattern the deterministic rules might miss, but it can only make your classification more cautious, never less, an automated system can never turn a result that needs review into one that doesn't. A result classified urgent or emergency can only be closed by your doctor after they have spoken with you directly by phone or a live in-app conversation, it cannot be closed from a written note alone. You may ask us for an explanation of any automated assessment shown to you.</w:t>
      </w:r>
    </w:p>
    <w:p>
      <w:pPr>
        <w:pStyle w:val="Heading2"/>
        <w:spacing w:after="140" w:before="280"/>
      </w:pPr>
      <w:r>
        <w:t xml:space="preserve">Who we share your data with</w:t>
      </w:r>
    </w:p>
    <w:p>
      <w:pPr>
        <w:pStyle w:val="ListParagraph"/>
        <w:numPr>
          <w:ilvl w:val="0"/>
          <w:numId w:val="2"/>
        </w:numPr>
        <w:spacing w:after="100"/>
      </w:pPr>
      <w:r>
        <w:t xml:space="preserve">Your care team — the doctors and coordinators involved in your care.</w:t>
      </w:r>
    </w:p>
    <w:p>
      <w:pPr>
        <w:pStyle w:val="ListParagraph"/>
        <w:numPr>
          <w:ilvl w:val="0"/>
          <w:numId w:val="2"/>
        </w:numPr>
        <w:spacing w:after="100"/>
      </w:pPr>
      <w:r>
        <w:t xml:space="preserve">A specific person or organisation you have separately consented to share with — see “Clinical share” and “Funder summary” above.</w:t>
      </w:r>
    </w:p>
    <w:p>
      <w:pPr>
        <w:pStyle w:val="ListParagraph"/>
        <w:numPr>
          <w:ilvl w:val="0"/>
          <w:numId w:val="2"/>
        </w:numPr>
        <w:spacing w:after="100"/>
      </w:pPr>
      <w:r>
        <w:t xml:space="preserve">Your employer or HMO, where you are enrolled through their programme, only as aggregate statistics with no individual identified, any figure drawn from fewer than 15 people is withheld rather than shown. We tell every patient plainly: TarragonHealth does not share individual health records with your employer.</w:t>
      </w:r>
    </w:p>
    <w:p>
      <w:pPr>
        <w:pStyle w:val="ListParagraph"/>
        <w:numPr>
          <w:ilvl w:val="0"/>
          <w:numId w:val="2"/>
        </w:numPr>
        <w:spacing w:after="100"/>
      </w:pPr>
      <w:r>
        <w:t xml:space="preserve">Our payment processors, Paystack and Stripe, to process a payment you have initiated.</w:t>
      </w:r>
    </w:p>
    <w:p>
      <w:pPr>
        <w:pStyle w:val="ListParagraph"/>
        <w:numPr>
          <w:ilvl w:val="0"/>
          <w:numId w:val="2"/>
        </w:numPr>
        <w:spacing w:after="100"/>
      </w:pPr>
      <w:r>
        <w:t xml:space="preserve">Regulators, courts, or other authorities, where we are legally required to disclose information.</w:t>
      </w:r>
    </w:p>
    <w:p>
      <w:pPr>
        <w:pStyle w:val="ListParagraph"/>
        <w:numPr>
          <w:ilvl w:val="0"/>
          <w:numId w:val="2"/>
        </w:numPr>
        <w:spacing w:after="100"/>
      </w:pPr>
      <w:r>
        <w:t xml:space="preserve">Anonymised research exports, only for patients who have separately opted in — see “Research, anonymised” above — built so no individual can be re-identified from the output.</w:t>
      </w:r>
    </w:p>
    <w:p>
      <w:pPr>
        <w:spacing w:after="160"/>
        <w:jc w:val="both"/>
      </w:pPr>
      <w:r>
        <w:t xml:space="preserve">We do not sell your personal data.</w:t>
      </w:r>
    </w:p>
    <w:p>
      <w:pPr>
        <w:pStyle w:val="Heading2"/>
        <w:spacing w:after="140" w:before="280"/>
      </w:pPr>
      <w:r>
        <w:t xml:space="preserve">How long we keep your data</w:t>
      </w:r>
    </w:p>
    <w:p>
      <w:pPr>
        <w:spacing w:after="160"/>
        <w:jc w:val="both"/>
      </w:pPr>
      <w:r>
        <w:t xml:space="preserve">We keep your data for as long as you have an active enrolment, and for a further period after that to meet our clinical record-keeping and legal obligations.</w:t>
      </w:r>
    </w:p>
    <w:p>
      <w:pPr>
        <w:spacing w:after="160"/>
        <w:jc w:val="both"/>
      </w:pPr>
      <w:r>
        <w:rPr>
          <w:b/>
          <w:bCs/>
          <w:color w:val="C0392B"/>
        </w:rPr>
        <w:t xml:space="preserve">[OPEN ITEM 13 — a formal retention schedule, with exact periods per data category, is being finalised with counsel. Until then, requests for deletion are handled case by case, applying the most conservative retention period that plausibly applies.]</w:t>
      </w:r>
    </w:p>
    <w:p>
      <w:pPr>
        <w:pStyle w:val="Heading2"/>
        <w:spacing w:after="140" w:before="280"/>
      </w:pPr>
      <w:r>
        <w:t xml:space="preserve">Your rights</w:t>
      </w:r>
    </w:p>
    <w:p>
      <w:pPr>
        <w:spacing w:after="160"/>
        <w:jc w:val="both"/>
      </w:pPr>
      <w:r>
        <w:t xml:space="preserve">Under Nigerian data protection law, you have the right to:</w:t>
      </w:r>
    </w:p>
    <w:p>
      <w:pPr>
        <w:pStyle w:val="ListParagraph"/>
        <w:numPr>
          <w:ilvl w:val="0"/>
          <w:numId w:val="2"/>
        </w:numPr>
        <w:spacing w:after="100"/>
      </w:pPr>
      <w:r>
        <w:t xml:space="preserve">Access the personal data we hold about you, and export it yourself at any time — this works from your first login and is never conditional on your subscription or payment being up to date.</w:t>
      </w:r>
    </w:p>
    <w:p>
      <w:pPr>
        <w:pStyle w:val="ListParagraph"/>
        <w:numPr>
          <w:ilvl w:val="0"/>
          <w:numId w:val="2"/>
        </w:numPr>
        <w:spacing w:after="100"/>
      </w:pPr>
      <w:r>
        <w:t xml:space="preserve">Ask us to correct inaccurate or incomplete data.</w:t>
      </w:r>
    </w:p>
    <w:p>
      <w:pPr>
        <w:pStyle w:val="ListParagraph"/>
        <w:numPr>
          <w:ilvl w:val="0"/>
          <w:numId w:val="2"/>
        </w:numPr>
        <w:spacing w:after="100"/>
      </w:pPr>
      <w:r>
        <w:t xml:space="preserve">Ask us to erase your data, subject to our clinical and legal retention obligations.</w:t>
      </w:r>
    </w:p>
    <w:p>
      <w:pPr>
        <w:pStyle w:val="ListParagraph"/>
        <w:numPr>
          <w:ilvl w:val="0"/>
          <w:numId w:val="2"/>
        </w:numPr>
        <w:spacing w:after="100"/>
      </w:pPr>
      <w:r>
        <w:t xml:space="preserve">Object to, or ask us to restrict, certain processing, and withdraw any of the specific consents listed above at any time.</w:t>
      </w:r>
    </w:p>
    <w:p>
      <w:pPr>
        <w:pStyle w:val="ListParagraph"/>
        <w:numPr>
          <w:ilvl w:val="0"/>
          <w:numId w:val="2"/>
        </w:numPr>
        <w:spacing w:after="100"/>
      </w:pPr>
      <w:r>
        <w:t xml:space="preserve">Lodge a complaint with the Nigeria Data Protection Commission </w:t>
      </w:r>
      <w:r>
        <w:rPr>
          <w:b/>
          <w:bCs/>
          <w:color w:val="C0392B"/>
        </w:rPr>
        <w:t xml:space="preserve">[contact details, OPEN ITEM 9]</w:t>
      </w:r>
      <w:r>
        <w:t xml:space="preserve">, or with us directly at privacy@tarragonhealth.ng.</w:t>
      </w:r>
    </w:p>
    <w:p>
      <w:pPr>
        <w:pStyle w:val="Heading2"/>
        <w:spacing w:after="140" w:before="280"/>
      </w:pPr>
      <w:r>
        <w:t xml:space="preserve">Security</w:t>
      </w:r>
    </w:p>
    <w:p>
      <w:pPr>
        <w:spacing w:after="160"/>
        <w:jc w:val="both"/>
      </w:pPr>
      <w:r>
        <w:t xml:space="preserve">We restrict access to your data to the staff who need it for your care, encrypt data in transit and at rest, and keep an immutable log of every access to and change of your clinical record. No system is completely secure, and we will tell you and, where the law requires it, the NDPC, if we become aware of a breach affecting your personal data.</w:t>
      </w:r>
    </w:p>
    <w:p>
      <w:pPr>
        <w:pStyle w:val="Heading2"/>
        <w:spacing w:after="140" w:before="280"/>
      </w:pPr>
      <w:r>
        <w:t xml:space="preserve">Guardian and dependant data</w:t>
      </w:r>
    </w:p>
    <w:p>
      <w:pPr>
        <w:spacing w:after="160"/>
        <w:jc w:val="both"/>
      </w:pPr>
      <w:r>
        <w:t xml:space="preserve">If you enrol a child under 18 as your dependant, you are their guardian for the purposes of this notice: you confirm you have the legal authority to consent to their information being processed, and you are responsible for the accuracy of what you record on their behalf. We do not offer household or family-wide accounts, each dependant's record is separately structured under the guardian who enrolled them.</w:t>
      </w:r>
    </w:p>
    <w:p>
      <w:pPr>
        <w:spacing w:after="160"/>
        <w:jc w:val="both"/>
      </w:pPr>
      <w:r>
        <w:rPr>
          <w:b/>
          <w:bCs/>
          <w:color w:val="C0392B"/>
        </w:rPr>
        <w:t xml:space="preserve">[OPEN ITEM 14 — counsel to confirm the Act's threshold for “child” data requiring guardian consent, and that this dependant-enrolment mechanism satisfies it. See Question 9.]</w:t>
      </w:r>
    </w:p>
    <w:p>
      <w:pPr>
        <w:pStyle w:val="Heading2"/>
        <w:spacing w:after="140" w:before="280"/>
      </w:pPr>
      <w:r>
        <w:t xml:space="preserve">Changes to this notice</w:t>
      </w:r>
    </w:p>
    <w:p>
      <w:pPr>
        <w:spacing w:after="160"/>
        <w:jc w:val="both"/>
      </w:pPr>
      <w:r>
        <w:t xml:space="preserve">We may update this notice as the platform changes. We will show you the current version and ask you to accept it again if a material change affects how your data is used.</w:t>
      </w:r>
    </w:p>
    <w:p>
      <w:pPr>
        <w:pStyle w:val="Heading2"/>
        <w:spacing w:after="140" w:before="280"/>
      </w:pPr>
      <w:r>
        <w:t xml:space="preserve">Contact and complaints</w:t>
      </w:r>
    </w:p>
    <w:p>
      <w:pPr>
        <w:spacing w:after="160"/>
        <w:jc w:val="both"/>
      </w:pPr>
      <w:r>
        <w:t xml:space="preserve">Email privacy@tarragonhealth.ng with any question, request, or complaint about how we handle your data. You may also complain directly to the Nigeria Data Protection Commission.</w:t>
      </w:r>
    </w:p>
    <w:p>
      <w:pPr>
        <w:pageBreakBefore/>
      </w:pPr>
    </w:p>
    <w:p>
      <w:pPr>
        <w:pStyle w:val="Heading1"/>
        <w:spacing w:after="200" w:before="360"/>
      </w:pPr>
      <w:r>
        <w:t xml:space="preserve">Schedule B — Telehealth Consent</w:t>
      </w:r>
    </w:p>
    <w:p>
      <w:pPr>
        <w:pBdr>
          <w:top w:val="single" w:color="C0392B" w:sz="6" w:space="6"/>
          <w:bottom w:val="single" w:color="C0392B" w:sz="6" w:space="6"/>
        </w:pBdr>
        <w:spacing w:after="260" w:before="120"/>
      </w:pPr>
      <w:r>
        <w:rPr>
          <w:b/>
          <w:bCs/>
          <w:i/>
          <w:iCs/>
          <w:color w:val="C0392B"/>
        </w:rPr>
        <w:t xml:space="preserve">Draft for legal review — not yet approved by counsel. Version 2026-07-29-v2.</w:t>
      </w:r>
    </w:p>
    <w:p>
      <w:pPr>
        <w:pStyle w:val="Heading2"/>
        <w:spacing w:after="140" w:before="280"/>
      </w:pPr>
      <w:r>
        <w:t xml:space="preserve">What this consent covers</w:t>
      </w:r>
    </w:p>
    <w:p>
      <w:pPr>
        <w:spacing w:after="160"/>
        <w:jc w:val="both"/>
      </w:pPr>
      <w:r>
        <w:t xml:space="preserve">This is your consent to receive clinical monitoring, classification, and review from TarragonHealth remotely, and to be contacted by phone, message, or in the app as part of that care. It is separate from, and in addition to, our data processing consent (Schedule A) and our terms of service (Schedule C).</w:t>
      </w:r>
    </w:p>
    <w:p>
      <w:pPr>
        <w:pStyle w:val="Heading2"/>
        <w:spacing w:after="140" w:before="280"/>
      </w:pPr>
      <w:r>
        <w:t xml:space="preserve">Your care team</w:t>
      </w:r>
    </w:p>
    <w:p>
      <w:pPr>
        <w:spacing w:after="160"/>
        <w:jc w:val="both"/>
      </w:pPr>
      <w:r>
        <w:t xml:space="preserve">Your day-to-day care is provided by a doctor registered with the Medical and Dental Council of Nigeria (MDCN), whose registration is verified before they can see patients and checked continuously afterwards, a doctor whose registration or indemnity cover lapses is automatically suspended from seeing patients. Non-clinical coordinators may also be involved in your care: they follow up if we haven't heard from you and help with logistics, and can see your progress record, but they cannot read your clinical notes, interpret a result, or give clinical advice, anything clinical is handled by your doctor.</w:t>
      </w:r>
    </w:p>
    <w:p>
      <w:pPr>
        <w:spacing w:after="160"/>
        <w:jc w:val="both"/>
      </w:pPr>
      <w:r>
        <w:t xml:space="preserve">TarragonHealth operates under one of two accountability models, and which one applies to you is clearly stated on every note: either your doctor practises under their own individual MDCN registration, or Tarragon Health Ltd itself takes responsibility for the note with your doctor countersigning it. </w:t>
      </w:r>
      <w:r>
        <w:rPr>
          <w:b/>
          <w:bCs/>
          <w:color w:val="C0392B"/>
        </w:rPr>
        <w:t xml:space="preserve">[OPEN ITEM 4 — which model TarragonHealth will use in production is not yet finalised; see the accompanying memo, Question 5.]</w:t>
      </w:r>
      <w:r>
        <w:t xml:space="preserve"> Every clinical note you can read tells you plainly which model applied, and shows your doctor's name and MDCN number.</w:t>
      </w:r>
    </w:p>
    <w:p>
      <w:pPr>
        <w:pStyle w:val="Heading2"/>
        <w:spacing w:after="140" w:before="280"/>
      </w:pPr>
      <w:r>
        <w:t xml:space="preserve">How your results are classified and how we respond</w:t>
      </w:r>
    </w:p>
    <w:p>
      <w:pPr>
        <w:spacing w:after="160"/>
        <w:jc w:val="both"/>
      </w:pPr>
      <w:r>
        <w:t xml:space="preserve">Every reading you log is classified, automatically, against a published clinical protocol, even a normal reading gets a record, so nothing is silently skipped. Depending on how a result is classified, we respond on the following timeline:</w:t>
      </w:r>
    </w:p>
    <w:p>
      <w:pPr>
        <w:pStyle w:val="ListParagraph"/>
        <w:numPr>
          <w:ilvl w:val="0"/>
          <w:numId w:val="2"/>
        </w:numPr>
        <w:spacing w:after="100"/>
      </w:pPr>
      <w:r>
        <w:t xml:space="preserve">Routine — reviewed within 7 days, as part of a batch.</w:t>
      </w:r>
    </w:p>
    <w:p>
      <w:pPr>
        <w:pStyle w:val="ListParagraph"/>
        <w:numPr>
          <w:ilvl w:val="0"/>
          <w:numId w:val="2"/>
        </w:numPr>
        <w:spacing w:after="100"/>
      </w:pPr>
      <w:r>
        <w:t xml:space="preserve">Important — you'll hear from us within 48 hours.</w:t>
      </w:r>
    </w:p>
    <w:p>
      <w:pPr>
        <w:pStyle w:val="ListParagraph"/>
        <w:numPr>
          <w:ilvl w:val="0"/>
          <w:numId w:val="2"/>
        </w:numPr>
        <w:spacing w:after="100"/>
      </w:pPr>
      <w:r>
        <w:t xml:space="preserve">Urgent — your doctor calls you by phone within 2 hours. We do not use a text message alone for an urgent result.</w:t>
      </w:r>
    </w:p>
    <w:p>
      <w:pPr>
        <w:pStyle w:val="ListParagraph"/>
        <w:numPr>
          <w:ilvl w:val="0"/>
          <w:numId w:val="2"/>
        </w:numPr>
        <w:spacing w:after="100"/>
      </w:pPr>
      <w:r>
        <w:t xml:space="preserve">Emergency — we contact you immediately, on every channel at once, and if we cannot reach you, we document an attempt to reach your emergency contact.</w:t>
      </w:r>
    </w:p>
    <w:p>
      <w:pPr>
        <w:spacing w:after="160"/>
        <w:jc w:val="both"/>
      </w:pPr>
      <w:r>
        <w:t xml:space="preserve">These are service standards we hold ourselves to, not guarantees of a specific outcome in every case, how quickly we can reach you also depends on you being reachable.</w:t>
      </w:r>
    </w:p>
    <w:p>
      <w:pPr>
        <w:pStyle w:val="Heading2"/>
        <w:spacing w:after="140" w:before="280"/>
      </w:pPr>
      <w:r>
        <w:t xml:space="preserve">How we communicate with you</w:t>
      </w:r>
    </w:p>
    <w:p>
      <w:pPr>
        <w:spacing w:after="160"/>
        <w:jc w:val="both"/>
      </w:pPr>
      <w:r>
        <w:t xml:space="preserve">Different channels carry different kinds of information, on purpose:</w:t>
      </w:r>
    </w:p>
    <w:p>
      <w:pPr>
        <w:pStyle w:val="ListParagraph"/>
        <w:numPr>
          <w:ilvl w:val="0"/>
          <w:numId w:val="2"/>
        </w:numPr>
        <w:spacing w:after="100"/>
      </w:pPr>
      <w:r>
        <w:t xml:space="preserve">The app is your record — all clinical conversation, your results, your care plan, and your consent history live here.</w:t>
      </w:r>
    </w:p>
    <w:p>
      <w:pPr>
        <w:pStyle w:val="ListParagraph"/>
        <w:numPr>
          <w:ilvl w:val="0"/>
          <w:numId w:val="2"/>
        </w:numPr>
        <w:spacing w:after="100"/>
      </w:pPr>
      <w:r>
        <w:t xml:space="preserve">A phone call is how clinical judgement is delivered — if something in your results needs discussing, a clinician or coordinator calls you; your doctor's number is masked, and the call is logged to your record.</w:t>
      </w:r>
    </w:p>
    <w:p>
      <w:pPr>
        <w:pStyle w:val="ListParagraph"/>
        <w:numPr>
          <w:ilvl w:val="0"/>
          <w:numId w:val="2"/>
        </w:numPr>
        <w:spacing w:after="100"/>
      </w:pPr>
      <w:r>
        <w:t xml:space="preserve">SMS is used for urgent backup, and as the primary channel if you've told us you don't use a smartphone.</w:t>
      </w:r>
    </w:p>
    <w:p>
      <w:pPr>
        <w:pStyle w:val="ListParagraph"/>
        <w:numPr>
          <w:ilvl w:val="0"/>
          <w:numId w:val="2"/>
        </w:numPr>
        <w:spacing w:after="100"/>
      </w:pPr>
      <w:r>
        <w:t xml:space="preserve">WhatsApp is notification-only — a short message telling you a result is ready or a check-in is due, so you open the app. It never contains a specific number, result, diagnosis, or medication name, and no one discusses your clinical care with you over WhatsApp.</w:t>
      </w:r>
    </w:p>
    <w:p>
      <w:pPr>
        <w:pStyle w:val="ListParagraph"/>
        <w:numPr>
          <w:ilvl w:val="0"/>
          <w:numId w:val="2"/>
        </w:numPr>
        <w:spacing w:after="100"/>
      </w:pPr>
      <w:r>
        <w:t xml:space="preserve">Email carries documents — receipts, reports, and copies of your consent records.</w:t>
      </w:r>
    </w:p>
    <w:p>
      <w:pPr>
        <w:pStyle w:val="Heading2"/>
        <w:spacing w:after="140" w:before="280"/>
      </w:pPr>
      <w:r>
        <w:t xml:space="preserve">What remote monitoring can and cannot do</w:t>
      </w:r>
    </w:p>
    <w:p>
      <w:pPr>
        <w:spacing w:after="160"/>
        <w:jc w:val="both"/>
      </w:pPr>
      <w:r>
        <w:t xml:space="preserve">Remote monitoring lets your care team review your readings and respond between visits, without you needing to travel for every check. It has real limits: your doctor cannot examine you in person, and their assessment is based on the readings and information you provide. If something needs an in-person assessment, your care team will tell you and refer you appropriately.</w:t>
      </w:r>
    </w:p>
    <w:p>
      <w:pPr>
        <w:pStyle w:val="Heading2"/>
        <w:spacing w:after="140" w:before="280"/>
      </w:pPr>
      <w:r>
        <w:t xml:space="preserve">Emergency care</w:t>
      </w:r>
    </w:p>
    <w:p>
      <w:pPr>
        <w:spacing w:after="160"/>
        <w:jc w:val="both"/>
      </w:pPr>
      <w:r>
        <w:t xml:space="preserve">TarragonHealth does not provide emergency care. If you are having a medical emergency, do not wait for a message or a call from us. Go to the nearest hospital or call </w:t>
      </w:r>
      <w:r>
        <w:rPr>
          <w:b/>
          <w:bCs/>
          <w:color w:val="C0392B"/>
        </w:rPr>
        <w:t xml:space="preserve">[Nigeria's emergency line — OPEN ITEM 8, exact number to be confirmed]</w:t>
      </w:r>
      <w:r>
        <w:t xml:space="preserve"> immediately. No part of this platform is designed to be used in an emergency.</w:t>
      </w:r>
    </w:p>
    <w:p>
      <w:pPr>
        <w:pStyle w:val="Heading2"/>
        <w:spacing w:after="140" w:before="280"/>
      </w:pPr>
      <w:r>
        <w:t xml:space="preserve">Confidentiality</w:t>
      </w:r>
    </w:p>
    <w:p>
      <w:pPr>
        <w:spacing w:after="160"/>
        <w:jc w:val="both"/>
      </w:pPr>
      <w:r>
        <w:t xml:space="preserve">Your clinical information is kept confidential. It is shared with your care team on a need-to-know basis, and outside that only with your specific consent, where the law requires disclosure, or where there is a serious threat to your life, health, or public health. See Schedule A for how we handle your data more broadly.</w:t>
      </w:r>
    </w:p>
    <w:p>
      <w:pPr>
        <w:pStyle w:val="Heading2"/>
        <w:spacing w:after="140" w:before="280"/>
      </w:pPr>
      <w:r>
        <w:t xml:space="preserve">Your right to information and to take part in your care</w:t>
      </w:r>
    </w:p>
    <w:p>
      <w:pPr>
        <w:spacing w:after="160"/>
        <w:jc w:val="both"/>
      </w:pPr>
      <w:r>
        <w:t xml:space="preserve">Every message and note tells you who is speaking to you and their MDCN number where relevant. You can see every clinical action taken on your record, in plain language, at any time.</w:t>
      </w:r>
    </w:p>
    <w:p>
      <w:pPr>
        <w:pStyle w:val="Heading2"/>
        <w:spacing w:after="140" w:before="280"/>
      </w:pPr>
      <w:r>
        <w:t xml:space="preserve">Your right to consent, and to refuse</w:t>
      </w:r>
    </w:p>
    <w:p>
      <w:pPr>
        <w:spacing w:after="160"/>
        <w:jc w:val="both"/>
      </w:pPr>
      <w:r>
        <w:t xml:space="preserve">You can decline a specific recommendation. Declining does not end your access to the rest of the platform, unless what you are declining is safety-critical, in which case we will tell you clearly why.</w:t>
      </w:r>
    </w:p>
    <w:p>
      <w:pPr>
        <w:pStyle w:val="Heading2"/>
        <w:spacing w:after="140" w:before="280"/>
      </w:pPr>
      <w:r>
        <w:t xml:space="preserve">Withdrawing this consent</w:t>
      </w:r>
    </w:p>
    <w:p>
      <w:pPr>
        <w:spacing w:after="160"/>
        <w:jc w:val="both"/>
      </w:pPr>
      <w:r>
        <w:t xml:space="preserve">You can withdraw this consent at any time. Withdrawing ends remote clinical review going forward; it does not delete your existing health record, which we keep in line with Schedule A.</w:t>
      </w:r>
    </w:p>
    <w:p>
      <w:pPr>
        <w:pStyle w:val="Heading2"/>
        <w:spacing w:after="140" w:before="280"/>
      </w:pPr>
      <w:r>
        <w:t xml:space="preserve">Contact</w:t>
      </w:r>
    </w:p>
    <w:p>
      <w:pPr>
        <w:spacing w:after="160"/>
        <w:jc w:val="both"/>
      </w:pPr>
      <w:r>
        <w:t xml:space="preserve">Questions about your care or this consent: support@tarragonhealth.ng.</w:t>
      </w:r>
    </w:p>
    <w:p>
      <w:pPr>
        <w:pageBreakBefore/>
      </w:pPr>
    </w:p>
    <w:p>
      <w:pPr>
        <w:pStyle w:val="Heading1"/>
        <w:spacing w:after="200" w:before="360"/>
      </w:pPr>
      <w:r>
        <w:t xml:space="preserve">Schedule C — Terms of Service</w:t>
      </w:r>
    </w:p>
    <w:p>
      <w:pPr>
        <w:pBdr>
          <w:top w:val="single" w:color="C0392B" w:sz="6" w:space="6"/>
          <w:bottom w:val="single" w:color="C0392B" w:sz="6" w:space="6"/>
        </w:pBdr>
        <w:spacing w:after="260" w:before="120"/>
      </w:pPr>
      <w:r>
        <w:rPr>
          <w:b/>
          <w:bCs/>
          <w:i/>
          <w:iCs/>
          <w:color w:val="C0392B"/>
        </w:rPr>
        <w:t xml:space="preserve">Draft for legal review — not yet approved by counsel. Version 2026-07-29-v2.</w:t>
      </w:r>
    </w:p>
    <w:p>
      <w:pPr>
        <w:pStyle w:val="Heading2"/>
        <w:spacing w:after="140" w:before="280"/>
      </w:pPr>
      <w:r>
        <w:t xml:space="preserve">Acceptance of these terms</w:t>
      </w:r>
    </w:p>
    <w:p>
      <w:pPr>
        <w:spacing w:after="160"/>
        <w:jc w:val="both"/>
      </w:pPr>
      <w:r>
        <w:t xml:space="preserve">By enrolling with TarragonHealth, you agree to these terms, our data processing consent (Schedule A), and our telehealth consent (Schedule B). If you do not agree, do not use the platform.</w:t>
      </w:r>
    </w:p>
    <w:p>
      <w:pPr>
        <w:pStyle w:val="Heading2"/>
        <w:spacing w:after="140" w:before="280"/>
      </w:pPr>
      <w:r>
        <w:t xml:space="preserve">Eligibility and accounts</w:t>
      </w:r>
    </w:p>
    <w:p>
      <w:pPr>
        <w:spacing w:after="160"/>
        <w:jc w:val="both"/>
      </w:pPr>
      <w:r>
        <w:t xml:space="preserve">You must be at least 18 years old to hold your own account. An adult may enrol a child under 18 as their dependant and manage their care, under our Guardian and dependant data terms. We do not offer household or family-wide accounts, and there is no family or multi-person discount. You are responsible for the accuracy of the information you provide, including anything you record on a dependant's behalf, and for keeping your login secure.</w:t>
      </w:r>
    </w:p>
    <w:p>
      <w:pPr>
        <w:pStyle w:val="Heading2"/>
        <w:spacing w:after="140" w:before="280"/>
      </w:pPr>
      <w:r>
        <w:t xml:space="preserve">What TarragonHealth is, and isn't</w:t>
      </w:r>
    </w:p>
    <w:p>
      <w:pPr>
        <w:spacing w:after="160"/>
        <w:jc w:val="both"/>
      </w:pPr>
      <w:r>
        <w:t xml:space="preserve">TarragonHealth is a cardiometabolic detection-and-control platform: we measure your readings, classify them against a clinical protocol, and connect you with a doctor when something needs attention, for hypertension, type 2 diabetes, and obesity. We do not own or operate any hospital, clinic, laboratory, or screening facility. We are not an emergency service, see Schedule B. We are not an insurer: nothing on the platform is capitation, claims cover, or any form of risk transfer, and where we bill an organisation for its members' access, that billing is a service fee or a performance bonus, never a per-member premium.</w:t>
      </w:r>
    </w:p>
    <w:p>
      <w:pPr>
        <w:pStyle w:val="Heading2"/>
        <w:spacing w:after="140" w:before="280"/>
      </w:pPr>
      <w:r>
        <w:t xml:space="preserve">Individual and organisational access</w:t>
      </w:r>
    </w:p>
    <w:p>
      <w:pPr>
        <w:spacing w:after="160"/>
        <w:jc w:val="both"/>
      </w:pPr>
      <w:r>
        <w:t xml:space="preserve">You can enrol and pay for TarragonHealth directly. You may also be enrolled through an employer or HMO that covers your access, if so, that organisation only ever sees aggregate statistics about its whole covered group, never anything about you individually (see our Data Processing Consent).</w:t>
      </w:r>
    </w:p>
    <w:p>
      <w:pPr>
        <w:spacing w:after="160"/>
        <w:jc w:val="both"/>
      </w:pPr>
      <w:r>
        <w:rPr>
          <w:b/>
          <w:bCs/>
          <w:color w:val="C0392B"/>
        </w:rPr>
        <w:t xml:space="preserve">[OPEN ITEM 7 — where TarragonHealth sells to an organisation directly, that relationship is expected to be governed by a separate commercial agreement with the organisation, not by these terms; counsel to confirm whether that agreement exists and whether it needs to be produced alongside this package. See Question 8.]</w:t>
      </w:r>
    </w:p>
    <w:p>
      <w:pPr>
        <w:pStyle w:val="Heading2"/>
        <w:spacing w:after="140" w:before="280"/>
      </w:pPr>
      <w:r>
        <w:t xml:space="preserve">Your subscription</w:t>
      </w:r>
    </w:p>
    <w:p>
      <w:pPr>
        <w:spacing w:after="160"/>
        <w:jc w:val="both"/>
      </w:pPr>
      <w:r>
        <w:t xml:space="preserve">All plans are priced in Naira; the same plan costs the same amount whichever way you pay, whether by a Nigerian payment method or an international card. We do not operate a separate foreign-currency price list. Your subscription automatically renews at the end of each billing period unless you cancel before the renewal date. Annual, prepaid subscriptions include your monitoring device; monthly subscriptions bill your device separately with a service-credit rebate after six continuous months.</w:t>
      </w:r>
    </w:p>
    <w:p>
      <w:pPr>
        <w:pStyle w:val="Heading2"/>
        <w:spacing w:after="140" w:before="280"/>
      </w:pPr>
      <w:r>
        <w:t xml:space="preserve">Cancelling and refunds</w:t>
      </w:r>
    </w:p>
    <w:p>
      <w:pPr>
        <w:spacing w:after="160"/>
        <w:jc w:val="both"/>
      </w:pPr>
      <w:r>
        <w:t xml:space="preserve">You can cancel at any time from your account settings. Cancelling stops your subscription from renewing; you keep full access through the end of the period you have already paid for. We do not provide a partial or pro-rata refund for the unused portion of a period you cancel mid-cycle, except where required by applicable law or where we decide, at our discretion, that a billing error or a service failure attributable to us warrants one.</w:t>
      </w:r>
    </w:p>
    <w:p>
      <w:pPr>
        <w:spacing w:after="160"/>
        <w:jc w:val="both"/>
      </w:pPr>
      <w:r>
        <w:rPr>
          <w:b/>
          <w:bCs/>
          <w:color w:val="C0392B"/>
        </w:rPr>
        <w:t xml:space="preserve">[OPEN ITEM 10 — counsel to confirm whether Nigerian consumer protection law (the FCCPC framework) requires a cooling-off period or a different refund position than the one stated above. See Question 8.]</w:t>
      </w:r>
    </w:p>
    <w:p>
      <w:pPr>
        <w:pStyle w:val="Heading2"/>
        <w:spacing w:after="140" w:before="280"/>
      </w:pPr>
      <w:r>
        <w:t xml:space="preserve">Your monitoring device</w:t>
      </w:r>
    </w:p>
    <w:p>
      <w:pPr>
        <w:spacing w:after="160"/>
        <w:jc w:val="both"/>
      </w:pPr>
      <w:r>
        <w:t xml:space="preserve">Where your plan includes a device, it is provided to help you monitor your condition accurately. Depending on your plan, it may be sold to you, provided on a service-credit basis, or provided on a deposit-and-loan basis (in which case it remains TarragonHealth's property), we will always tell you which applies before you take a device. We never finance a device over instalments. If your device is faulty, tell us, a device we cannot trust to give you a real reading undermines the reason we gave it to you.</w:t>
      </w:r>
    </w:p>
    <w:p>
      <w:pPr>
        <w:pStyle w:val="Heading2"/>
        <w:spacing w:after="140" w:before="280"/>
      </w:pPr>
      <w:r>
        <w:t xml:space="preserve">Fees and price changes</w:t>
      </w:r>
    </w:p>
    <w:p>
      <w:pPr>
        <w:spacing w:after="160"/>
        <w:jc w:val="both"/>
      </w:pPr>
      <w:r>
        <w:t xml:space="preserve">We may change our prices. If a change affects your existing subscription, we will give you at least 30 days' notice before it takes effect, and you may cancel before the new price applies.</w:t>
      </w:r>
    </w:p>
    <w:p>
      <w:pPr>
        <w:pStyle w:val="Heading2"/>
        <w:spacing w:after="140" w:before="280"/>
      </w:pPr>
      <w:r>
        <w:t xml:space="preserve">Acceptable use</w:t>
      </w:r>
    </w:p>
    <w:p>
      <w:pPr>
        <w:spacing w:after="160"/>
        <w:jc w:val="both"/>
      </w:pPr>
      <w:r>
        <w:t xml:space="preserve">You agree to provide accurate information, not to impersonate another person or misrepresent your relationship to a dependant you manage, not to misuse the platform to harass our staff or other users, and not to attempt to bypass the platform's security or access controls.</w:t>
      </w:r>
    </w:p>
    <w:p>
      <w:pPr>
        <w:pStyle w:val="Heading2"/>
        <w:spacing w:after="140" w:before="280"/>
      </w:pPr>
      <w:r>
        <w:t xml:space="preserve">Intellectual property</w:t>
      </w:r>
    </w:p>
    <w:p>
      <w:pPr>
        <w:spacing w:after="160"/>
        <w:jc w:val="both"/>
      </w:pPr>
      <w:r>
        <w:t xml:space="preserve">The TarragonHealth name, brand, and the software and content that make up the platform belong to us or our licensors. We grant you a personal, non-transferable licence to use the platform for your own care or the care of a dependant you manage. You may not copy, resell, or build a competing service from our platform or content.</w:t>
      </w:r>
    </w:p>
    <w:p>
      <w:pPr>
        <w:pStyle w:val="Heading2"/>
        <w:spacing w:after="140" w:before="280"/>
      </w:pPr>
      <w:r>
        <w:t xml:space="preserve">Third-party services</w:t>
      </w:r>
    </w:p>
    <w:p>
      <w:pPr>
        <w:spacing w:after="160"/>
        <w:jc w:val="both"/>
      </w:pPr>
      <w:r>
        <w:t xml:space="preserve">The platform links to and integrates with services we do not control, including Paystack, Stripe, WhatsApp, and our partner laboratories and pharmacies. Your use of those services is subject to their own terms, and we are not responsible for their acts, omissions, or availability.</w:t>
      </w:r>
    </w:p>
    <w:p>
      <w:pPr>
        <w:pStyle w:val="Heading2"/>
        <w:spacing w:after="140" w:before="280"/>
      </w:pPr>
      <w:r>
        <w:t xml:space="preserve">Disclaimers and limitation of liability</w:t>
      </w:r>
    </w:p>
    <w:p>
      <w:pPr>
        <w:spacing w:after="160"/>
        <w:jc w:val="both"/>
      </w:pPr>
      <w:r>
        <w:t xml:space="preserve">The platform is provided on an “as available” basis. To the maximum extent permitted by law, our liability to you is limited as set out below.</w:t>
      </w:r>
    </w:p>
    <w:p>
      <w:pPr>
        <w:spacing w:after="160"/>
        <w:jc w:val="both"/>
      </w:pPr>
      <w:r>
        <w:rPr>
          <w:b/>
          <w:bCs/>
          <w:color w:val="C0392B"/>
        </w:rPr>
        <w:t xml:space="preserve">[OPEN ITEM 11 — counsel to set the specific limitation-of-liability cap and structure, and confirm it is enforceable for a health-adjacent consumer service under Nigerian law. See Question 7.]</w:t>
      </w:r>
    </w:p>
    <w:p>
      <w:pPr>
        <w:pStyle w:val="Heading2"/>
        <w:spacing w:after="140" w:before="280"/>
      </w:pPr>
      <w:r>
        <w:t xml:space="preserve">Termination</w:t>
      </w:r>
    </w:p>
    <w:p>
      <w:pPr>
        <w:spacing w:after="160"/>
        <w:jc w:val="both"/>
      </w:pPr>
      <w:r>
        <w:t xml:space="preserve">We may suspend or terminate your account if you breach these terms, do not pay a fee that is due, or engage in conduct that puts our staff, other users, or the platform at risk.</w:t>
      </w:r>
    </w:p>
    <w:p>
      <w:pPr>
        <w:pStyle w:val="Heading2"/>
        <w:spacing w:after="140" w:before="280"/>
      </w:pPr>
      <w:r>
        <w:t xml:space="preserve">Changes to these terms</w:t>
      </w:r>
    </w:p>
    <w:p>
      <w:pPr>
        <w:spacing w:after="160"/>
        <w:jc w:val="both"/>
      </w:pPr>
      <w:r>
        <w:t xml:space="preserve">We may update these terms as the platform changes. We will show you the current version and ask you to accept it again if a material change affects your rights or obligations.</w:t>
      </w:r>
    </w:p>
    <w:p>
      <w:pPr>
        <w:pStyle w:val="Heading2"/>
        <w:spacing w:after="140" w:before="280"/>
      </w:pPr>
      <w:r>
        <w:t xml:space="preserve">Governing law and disputes</w:t>
      </w:r>
    </w:p>
    <w:p>
      <w:pPr>
        <w:spacing w:after="160"/>
        <w:jc w:val="both"/>
      </w:pPr>
      <w:r>
        <w:t xml:space="preserve">These terms are governed by the laws of the Federal Republic of Nigeria. </w:t>
      </w:r>
      <w:r>
        <w:rPr>
          <w:b/>
          <w:bCs/>
          <w:color w:val="C0392B"/>
        </w:rPr>
        <w:t xml:space="preserve">[OPEN ITEM 12 — dispute-resolution venue and mechanism to be confirmed with counsel: litigation in the courts of a specified state, or a specified arbitration process.]</w:t>
      </w:r>
      <w:r>
        <w:t xml:space="preserve"> Nothing in this clause limits any right you have under the Federal Competition and Consumer Protection Act 2018 to complain to the FCCPC, or your right to complain to the NDPC under Schedule A.</w:t>
      </w:r>
    </w:p>
    <w:p>
      <w:pPr>
        <w:pStyle w:val="Heading2"/>
        <w:spacing w:after="140" w:before="280"/>
      </w:pPr>
      <w:r>
        <w:t xml:space="preserve">Contact</w:t>
      </w:r>
    </w:p>
    <w:p>
      <w:pPr>
        <w:spacing w:after="160"/>
        <w:jc w:val="both"/>
      </w:pPr>
      <w:r>
        <w:t xml:space="preserve">Questions about these terms: legal@tarragonhealth.ng.</w:t>
      </w:r>
    </w:p>
    <w:p>
      <w:pPr>
        <w:pageBreakBefore/>
      </w:pPr>
    </w:p>
    <w:p>
      <w:pPr>
        <w:pStyle w:val="Heading1"/>
        <w:spacing w:after="200" w:before="360"/>
      </w:pPr>
      <w:r>
        <w:t xml:space="preserve">Open Items Checklist</w:t>
      </w:r>
    </w:p>
    <w:p>
      <w:pPr>
        <w:spacing w:after="160"/>
        <w:jc w:val="both"/>
      </w:pPr>
      <w:r>
        <w:t xml:space="preserve">These items are the concrete blanks only TarragonHealth and counsel, together, can close. Each is called out inline (in red) in the schedules above, and repeated here so nothing is missed in review. None of the three schedules should be treated as final or launched publicly until this checklist is closed and counsel has signed off on the marked sections.</w:t>
      </w:r>
    </w:p>
    <w:p>
      <w:pPr>
        <w:spacing w:after="200"/>
      </w:pPr>
      <w:r>
        <w:rPr>
          <w:b/>
          <w:bCs/>
          <w:color w:val="C0392B"/>
        </w:rPr>
        <w:t xml:space="preserve">1. </w:t>
      </w:r>
      <w:r>
        <w:rPr>
          <w:b/>
          <w:bCs/>
        </w:rPr>
        <w:t xml:space="preserve">Data Protection Officer — </w:t>
      </w:r>
      <w:r>
        <w:t xml:space="preserve">appointment, name, and contact details; confirm whether the role is legally mandatory for us. (Our own platform will not go live with real patients until this is done — see item 2.)</w:t>
      </w:r>
    </w:p>
    <w:p>
      <w:pPr>
        <w:spacing w:after="200"/>
      </w:pPr>
      <w:r>
        <w:rPr>
          <w:b/>
          <w:bCs/>
          <w:color w:val="C0392B"/>
        </w:rPr>
        <w:t xml:space="preserve">2. </w:t>
      </w:r>
      <w:r>
        <w:rPr>
          <w:b/>
          <w:bCs/>
        </w:rPr>
        <w:t xml:space="preserve">NDPC registration status — </w:t>
      </w:r>
      <w:r>
        <w:t xml:space="preserve">confirm current status; this is now a hard technical gate blocking production patient enrolment on our own systems until satisfied, so timing matters for our build schedule as well as for compliance.</w:t>
      </w:r>
    </w:p>
    <w:p>
      <w:pPr>
        <w:spacing w:after="200"/>
      </w:pPr>
      <w:r>
        <w:rPr>
          <w:b/>
          <w:bCs/>
          <w:color w:val="C0392B"/>
        </w:rPr>
        <w:t xml:space="preserve">3. </w:t>
      </w:r>
      <w:r>
        <w:rPr>
          <w:b/>
          <w:bCs/>
        </w:rPr>
        <w:t xml:space="preserve">Lawful mechanism for the eu-west-1 cross-border transfer — </w:t>
      </w:r>
      <w:r>
        <w:t xml:space="preserve">see Question 1; our own build specification independently calls this the highest-risk area in our legal position, and defers to a “tarragon-strategy-v3.md” document (see item 5) that does not currently exist.</w:t>
      </w:r>
    </w:p>
    <w:p>
      <w:pPr>
        <w:spacing w:after="200"/>
      </w:pPr>
      <w:r>
        <w:rPr>
          <w:b/>
          <w:bCs/>
          <w:color w:val="C0392B"/>
        </w:rPr>
        <w:t xml:space="preserve">4. </w:t>
      </w:r>
      <w:r>
        <w:rPr>
          <w:b/>
          <w:bCs/>
        </w:rPr>
        <w:t xml:space="preserve">The accountability model decision (tech_layer vs. provider) — </w:t>
      </w:r>
      <w:r>
        <w:t xml:space="preserve">see Question 5. Our build specification explicitly states this “requires written legal advice, not a build decision,” and our platform will not permit any clinical note to be signed in production until this is set.</w:t>
      </w:r>
    </w:p>
    <w:p>
      <w:pPr>
        <w:spacing w:after="200"/>
      </w:pPr>
      <w:r>
        <w:rPr>
          <w:b/>
          <w:bCs/>
          <w:color w:val="C0392B"/>
        </w:rPr>
        <w:t xml:space="preserve">5. </w:t>
      </w:r>
      <w:r>
        <w:rPr>
          <w:b/>
          <w:bCs/>
        </w:rPr>
        <w:t xml:space="preserve">The missing tarragon-strategy-v3.md document — </w:t>
      </w:r>
      <w:r>
        <w:t xml:space="preserve">referenced repeatedly by both parts of our build specification as containing the regulatory positions and pricing/legal reasoning behind several product decisions, including the NDPA cross-border position. It does not exist in our codebase. Recommend either producing it internally for your review, or confirming these positions with you directly without waiting for it.</w:t>
      </w:r>
    </w:p>
    <w:p>
      <w:pPr>
        <w:spacing w:after="200"/>
      </w:pPr>
      <w:r>
        <w:rPr>
          <w:b/>
          <w:bCs/>
          <w:color w:val="C0392B"/>
        </w:rPr>
        <w:t xml:space="preserve">6. </w:t>
      </w:r>
      <w:r>
        <w:rPr>
          <w:b/>
          <w:bCs/>
        </w:rPr>
        <w:t xml:space="preserve">Field/screening-day consent capture sufficiency — </w:t>
      </w:r>
      <w:r>
        <w:t xml:space="preserve">see Question 6.</w:t>
      </w:r>
    </w:p>
    <w:p>
      <w:pPr>
        <w:spacing w:after="200"/>
      </w:pPr>
      <w:r>
        <w:rPr>
          <w:b/>
          <w:bCs/>
          <w:color w:val="C0392B"/>
        </w:rPr>
        <w:t xml:space="preserve">7. </w:t>
      </w:r>
      <w:r>
        <w:rPr>
          <w:b/>
          <w:bCs/>
        </w:rPr>
        <w:t xml:space="preserve">Whether a separate institutional/organisational commercial agreement is needed — </w:t>
      </w:r>
      <w:r>
        <w:t xml:space="preserve">see Question 8, second part.</w:t>
      </w:r>
    </w:p>
    <w:p>
      <w:pPr>
        <w:spacing w:after="200"/>
      </w:pPr>
      <w:r>
        <w:rPr>
          <w:b/>
          <w:bCs/>
          <w:color w:val="C0392B"/>
        </w:rPr>
        <w:t xml:space="preserve">8. </w:t>
      </w:r>
      <w:r>
        <w:rPr>
          <w:b/>
          <w:bCs/>
        </w:rPr>
        <w:t xml:space="preserve">Emergency contact number — </w:t>
      </w:r>
      <w:r>
        <w:t xml:space="preserve">the exact number/instruction Schedule B's emergency carve-out should point to.</w:t>
      </w:r>
    </w:p>
    <w:p>
      <w:pPr>
        <w:spacing w:after="200"/>
      </w:pPr>
      <w:r>
        <w:rPr>
          <w:b/>
          <w:bCs/>
          <w:color w:val="C0392B"/>
        </w:rPr>
        <w:t xml:space="preserve">9. </w:t>
      </w:r>
      <w:r>
        <w:rPr>
          <w:b/>
          <w:bCs/>
        </w:rPr>
        <w:t xml:space="preserve">NDPC contact details — </w:t>
      </w:r>
      <w:r>
        <w:t xml:space="preserve">for the complaints clause in Schedule A.</w:t>
      </w:r>
    </w:p>
    <w:p>
      <w:pPr>
        <w:spacing w:after="200"/>
      </w:pPr>
      <w:r>
        <w:rPr>
          <w:b/>
          <w:bCs/>
          <w:color w:val="C0392B"/>
        </w:rPr>
        <w:t xml:space="preserve">10. </w:t>
      </w:r>
      <w:r>
        <w:rPr>
          <w:b/>
          <w:bCs/>
        </w:rPr>
        <w:t xml:space="preserve">Refund/cooling-off policy — </w:t>
      </w:r>
      <w:r>
        <w:t xml:space="preserve">see Question 8, first part; finalises Schedule C's cancellation clause.</w:t>
      </w:r>
    </w:p>
    <w:p>
      <w:pPr>
        <w:spacing w:after="200"/>
      </w:pPr>
      <w:r>
        <w:rPr>
          <w:b/>
          <w:bCs/>
          <w:color w:val="C0392B"/>
        </w:rPr>
        <w:t xml:space="preserve">11. </w:t>
      </w:r>
      <w:r>
        <w:rPr>
          <w:b/>
          <w:bCs/>
        </w:rPr>
        <w:t xml:space="preserve">Limitation-of-liability cap and structure — </w:t>
      </w:r>
      <w:r>
        <w:t xml:space="preserve">see Question 7; finalises Schedule C.</w:t>
      </w:r>
    </w:p>
    <w:p>
      <w:pPr>
        <w:spacing w:after="200"/>
      </w:pPr>
      <w:r>
        <w:rPr>
          <w:b/>
          <w:bCs/>
          <w:color w:val="C0392B"/>
        </w:rPr>
        <w:t xml:space="preserve">12. </w:t>
      </w:r>
      <w:r>
        <w:rPr>
          <w:b/>
          <w:bCs/>
        </w:rPr>
        <w:t xml:space="preserve">Dispute-resolution venue and mechanism — </w:t>
      </w:r>
      <w:r>
        <w:t xml:space="preserve">litigation vs. arbitration, and seat/venue, for Schedule C's governing-law clause.</w:t>
      </w:r>
    </w:p>
    <w:p>
      <w:pPr>
        <w:spacing w:after="200"/>
      </w:pPr>
      <w:r>
        <w:rPr>
          <w:b/>
          <w:bCs/>
          <w:color w:val="C0392B"/>
        </w:rPr>
        <w:t xml:space="preserve">13. </w:t>
      </w:r>
      <w:r>
        <w:rPr>
          <w:b/>
          <w:bCs/>
        </w:rPr>
        <w:t xml:space="preserve">Data retention schedule — </w:t>
      </w:r>
      <w:r>
        <w:t xml:space="preserve">exact retention periods by data category (active enrolment, closed account, minimum clinical record retention, financial/tax records).</w:t>
      </w:r>
    </w:p>
    <w:p>
      <w:pPr>
        <w:spacing w:after="200"/>
      </w:pPr>
      <w:r>
        <w:rPr>
          <w:b/>
          <w:bCs/>
          <w:color w:val="C0392B"/>
        </w:rPr>
        <w:t xml:space="preserve">14. </w:t>
      </w:r>
      <w:r>
        <w:rPr>
          <w:b/>
          <w:bCs/>
        </w:rPr>
        <w:t xml:space="preserve">Guardian/dependant consent mechanism — </w:t>
      </w:r>
      <w:r>
        <w:t xml:space="preserve">see Question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TarragonHealth — Legal Documentation Package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2324B"/>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0E7C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TarragonHealth — Legal Documentation Package for Counsel Review (v2)</dc:title>
  <dc:creator>TarragonHealth</dc:creator>
  <cp:lastModifiedBy>Un-named</cp:lastModifiedBy>
  <cp:revision>1</cp:revision>
  <dcterms:created xsi:type="dcterms:W3CDTF">2026-07-29T09:49:20.438Z</dcterms:created>
  <dcterms:modified xsi:type="dcterms:W3CDTF">2026-07-29T09:49:20.439Z</dcterms:modified>
</cp:coreProperties>
</file>

<file path=docProps/custom.xml><?xml version="1.0" encoding="utf-8"?>
<Properties xmlns="http://schemas.openxmlformats.org/officeDocument/2006/custom-properties" xmlns:vt="http://schemas.openxmlformats.org/officeDocument/2006/docPropsVTypes"/>
</file>