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color w:val="0E7C52"/>
          <w:sz w:val="40"/>
          <w:szCs w:val="40"/>
        </w:rPr>
        <w:t xml:space="preserve">TarragonHealth Legal Package</w:t>
      </w:r>
    </w:p>
    <w:p>
      <w:pPr>
        <w:spacing w:after="200"/>
        <w:jc w:val="center"/>
      </w:pPr>
      <w:r>
        <w:rPr>
          <w:i/>
          <w:iCs/>
          <w:color w:val="666666"/>
          <w:sz w:val="24"/>
          <w:szCs w:val="24"/>
        </w:rPr>
        <w:t xml:space="preserve">Version 2026-07-30-v3 — cover memo + Schedules A, B, C</w:t>
      </w:r>
    </w:p>
    <w:p>
      <w:pPr>
        <w:pBdr>
          <w:top w:val="single" w:color="C0392B" w:sz="8" w:space="6"/>
          <w:bottom w:val="single" w:color="C0392B" w:sz="8" w:space="6"/>
          <w:left w:val="single" w:color="C0392B" w:sz="8" w:space="6"/>
          <w:right w:val="single" w:color="C0392B" w:sz="8" w:space="6"/>
        </w:pBdr>
        <w:shd w:fill="FDECEA" w:val="clear"/>
        <w:spacing w:after="240" w:before="120"/>
      </w:pPr>
      <w:r>
        <w:rPr>
          <w:b/>
          <w:bCs/>
          <w:color w:val="C0392B"/>
          <w:sz w:val="22"/>
          <w:szCs w:val="22"/>
        </w:rPr>
        <w:t xml:space="preserve">STATUS: DRAFT FOR LEGAL REVIEW. NOT YET APPROVED BY COUNSEL. Every bracketed span in red is an open item, question, or placeholder for counsel.</w:t>
      </w:r>
    </w:p>
    <w:p>
      <w:pPr>
        <w:pStyle w:val="Title"/>
        <w:spacing w:after="200" w:before="200"/>
        <w:jc w:val="center"/>
      </w:pPr>
      <w:r>
        <w:rPr>
          <w:b/>
          <w:bCs/>
          <w:color w:val="0E7C52"/>
        </w:rPr>
        <w:t xml:space="preserve">Memo to Counsel</w:t>
      </w:r>
    </w:p>
    <w:p>
      <w:pPr>
        <w:spacing w:after="160"/>
      </w:pPr>
      <w:r>
        <w:rPr>
          <w:b/>
          <w:bCs/>
        </w:rPr>
        <w:t xml:space="preserve">To:</w:t>
      </w:r>
      <w:r>
        <w:t xml:space="preserve"> </w:t>
      </w:r>
      <w:r>
        <w:rPr>
          <w:b/>
          <w:bCs/>
          <w:color w:val="C0392B"/>
        </w:rPr>
        <w:t xml:space="preserve">[Outside Counsel — Data Protection &amp; Health Regulatory, to be confirmed]</w:t>
      </w:r>
    </w:p>
    <w:p>
      <w:pPr>
        <w:spacing w:after="160"/>
      </w:pPr>
      <w:r>
        <w:rPr>
          <w:b/>
          <w:bCs/>
        </w:rPr>
        <w:t xml:space="preserve">From:</w:t>
      </w:r>
      <w:r>
        <w:t xml:space="preserve"> Dr Kola Longe, Founder, TarragonHealth</w:t>
      </w:r>
    </w:p>
    <w:p>
      <w:pPr>
        <w:spacing w:after="160"/>
      </w:pPr>
      <w:r>
        <w:rPr>
          <w:b/>
          <w:bCs/>
        </w:rPr>
        <w:t xml:space="preserve">Date:</w:t>
      </w:r>
      <w:r>
        <w:t xml:space="preserve"> 30 July 2026 (v3 — see "What changed since v2" below)</w:t>
      </w:r>
    </w:p>
    <w:p>
      <w:pPr>
        <w:spacing w:after="160"/>
      </w:pPr>
      <w:r>
        <w:rPr>
          <w:b/>
          <w:bCs/>
        </w:rPr>
        <w:t xml:space="preserve">Re:</w:t>
      </w:r>
      <w:r>
        <w:t xml:space="preserve"> Review requested — data protection, telehealth, and consumer terms ahead of public launch</w:t>
      </w:r>
    </w:p>
    <w:p>
      <w:pPr>
        <w:pStyle w:val="Heading1"/>
        <w:spacing w:after="160" w:before="240"/>
      </w:pPr>
      <w:r>
        <w:rPr>
          <w:color w:val="0E7C52"/>
        </w:rPr>
        <w:t xml:space="preserve">What changed since v2 of this memo</w:t>
      </w:r>
    </w:p>
    <w:p>
      <w:pPr>
        <w:spacing w:after="160"/>
      </w:pPr>
      <w:r>
        <w:t xml:space="preserve">v2 of this memo (29 July 2026) was drafted against a founder-authored build specification (`docs/tarragon-build-spec-v3.md`) that described a narrower, cardiometabolic-only pivot of the platform. That pivot was reversed a few hours after it was adopted, the same day — the platform (`apps/web`) is the real, ongoing build target, and the narrower spec is now a reference/idea source only, not the product. v2 therefore described a product that was never actually launched. This version (v3) is rewritten against the platform as it is genuinely built and live today. The most consequential corrections: the platform covers five service areas (chronic disease management, preventive screening, care coordination, employer/HMO institutional programmes, and the platform infrastructure connecting them), not cardiometabolic conditions alone; clinical accountability runs through a five-tier doctor ladder with per-record attribution, not a company-wide "tech_layer/provider" toggle (that concept does not exist in the live platform); the abnormal-result response is a versioned, clinically-signed set of pathway-specific targets, not a flat four-tier table; and patients may message their care team for support over WhatsApp (human-routed, never parsed automatically), in addition to the primary in-app clinical conversation channel. The "no family/household plans" and "single naira price list" points from v2 turn out to still be substantially correct, for different and more specific reasons than v2 gave — see below.</w:t>
      </w:r>
    </w:p>
    <w:p>
      <w:pPr>
        <w:pStyle w:val="Heading1"/>
        <w:spacing w:after="160" w:before="240"/>
      </w:pPr>
      <w:r>
        <w:rPr>
          <w:color w:val="0E7C52"/>
        </w:rPr>
        <w:t xml:space="preserve">Purpose</w:t>
      </w:r>
    </w:p>
    <w:p>
      <w:pPr>
        <w:spacing w:after="160"/>
      </w:pPr>
      <w:r>
        <w:t xml:space="preserve">We are preparing to launch TarragonHealth publicly and need your review of three consent/terms documents before they go live: a Data Processing Consent (Schedule A), a Telehealth Consent (Schedule B), and Terms of Service (Schedule C). All three are attached. This memo gives you the platform context you need to review them, and lists the specific legal questions we need answered — the first of which we consider the highest priority and a likely blocker for launch. (A separate Schedule D — a commercial agreement for lab partners, not a patient-facing document — exists alongside this package and can be reviewed on its own track; it is not part of the nine questions below.)</w:t>
      </w:r>
    </w:p>
    <w:p>
      <w:pPr>
        <w:pStyle w:val="Heading1"/>
        <w:spacing w:after="160" w:before="240"/>
      </w:pPr>
      <w:r>
        <w:rPr>
          <w:color w:val="0E7C52"/>
        </w:rPr>
        <w:t xml:space="preserve">Platform context</w:t>
      </w:r>
    </w:p>
    <w:p>
      <w:pPr>
        <w:spacing w:after="160"/>
      </w:pPr>
      <w:r>
        <w:t xml:space="preserve">TarragonHealth (Tarragon Health Ltd, RC 9702108) operates a care coordination platform for Nigeria connecting patients with doctors, labs, pharmacies, and specialists across chronic disease management (hypertension and type 2 diabetes today, with further conditions planned), preventive screening, care coordination, and employer/HMO institutional programmes. We do not own or operate any hospital, clinic, or laboratory.</w:t>
      </w:r>
    </w:p>
    <w:p>
      <w:pPr>
        <w:spacing w:after="160"/>
      </w:pPr>
      <w:r>
        <w:rPr>
          <w:b/>
          <w:bCs/>
        </w:rPr>
        <w:t xml:space="preserve">Clinical staffing</w:t>
      </w:r>
      <w:r>
        <w:t xml:space="preserve"> runs through a five-tier structure, from a non-clinical Care Coordinator (logistics only, no clinical judgment) through increasingly senior Medical Officers to a Senior Registrar and Partner Specialist for complex or referral cases. Every clinical action is attributed to a real, named doctor and timestamped on the record — there is no configurable company-wide "who takes responsibility for the note" toggle in the live platform. We have not obtained MDCN or other regulatory confirmation that this tiered structure is compliant, and do not represent it as regulator-approved.</w:t>
      </w:r>
    </w:p>
    <w:p>
      <w:pPr>
        <w:spacing w:after="160"/>
      </w:pPr>
      <w:r>
        <w:rPr>
          <w:b/>
          <w:bCs/>
        </w:rPr>
        <w:t xml:space="preserve">Result classification and response</w:t>
      </w:r>
      <w:r>
        <w:t xml:space="preserve"> follow a versioned, clinically-signed set of targets that vary by what triggered the case, not one flat table: the fastest (as little as 15 minutes) applies to a positive self-harm/mental-health risk flag; a critical screening result or a reported danger symptom gets a 2-hour response on every channel at once, with a documented attempt to reach the patient's emergency contact if we cannot reach them directly; a red-range home reading or similar gets roughly 1 hour; a non-critical abnormal screening result gets 24 hours; and results needing a clinician's eyes but with no immediate danger get up to 3 days. A case classified as an emergency cannot be closed by a written note alone — our system enforces, at the database level, that a doctor must have had a real-time voice or video conversation with the patient first.</w:t>
      </w:r>
    </w:p>
    <w:p>
      <w:pPr>
        <w:spacing w:after="160"/>
      </w:pPr>
      <w:r>
        <w:rPr>
          <w:b/>
          <w:bCs/>
        </w:rPr>
        <w:t xml:space="preserve">Automated processing.</w:t>
      </w:r>
      <w:r>
        <w:t xml:space="preserve"> Every reading is classified against a clinically-approved protocol, assisted by AI that can draft or flag but never diagnoses, prescribes, or closes a case — a doctor always makes the actual clinical decision.</w:t>
      </w:r>
    </w:p>
    <w:p>
      <w:pPr>
        <w:spacing w:after="160"/>
      </w:pPr>
      <w:r>
        <w:rPr>
          <w:b/>
          <w:bCs/>
        </w:rPr>
        <w:t xml:space="preserve">Communications</w:t>
      </w:r>
      <w:r>
        <w:t xml:space="preserve"> run on several channels with content rules enforced at the database level, not just by convention: the in-app conversation is the primary channel for clinical conversation and carries the full record; a phone or video call is how real-time clinical judgement is delivered when needed; SMS is urgent backup and the primary channel for patients without a smartphone; WhatsApp carries reminders/alerts/confirmations only — no clinical content is permitted on it, structurally — but a patient may separately message their care team for support over WhatsApp, with a human (never automation) replying there too; email carries documents and receipts.</w:t>
      </w:r>
    </w:p>
    <w:p>
      <w:pPr>
        <w:spacing w:after="160"/>
      </w:pPr>
      <w:r>
        <w:rPr>
          <w:b/>
          <w:bCs/>
        </w:rPr>
        <w:t xml:space="preserve">Data and hosting</w:t>
      </w:r>
      <w:r>
        <w:t xml:space="preserve"> are unchanged by any of this: our production database still runs on Supabase (Postgres) in AWS's eu-west-1 region (Dublin, Ireland), because Supabase has no data centre in Nigeria or elsewhere in Africa. This remains the highest-risk open item in our legal position, unresolved as of this version.</w:t>
      </w:r>
    </w:p>
    <w:p>
      <w:pPr>
        <w:spacing w:after="160"/>
      </w:pPr>
      <w:r>
        <w:rPr>
          <w:b/>
          <w:bCs/>
        </w:rPr>
        <w:t xml:space="preserve">Payments</w:t>
      </w:r>
      <w:r>
        <w:t xml:space="preserve"> run on Paystack (Nigeria) and Stripe (international card payments). There is one stored price, in Naira; a US Dollar amount is derived from it at a rate we set and can update, and we have retired Pounds Sterling pricing entirely. No UK, US, or other non-Nigerian market launch is currently in scope.</w:t>
      </w:r>
    </w:p>
    <w:p>
      <w:pPr>
        <w:spacing w:after="160"/>
      </w:pPr>
      <w:r>
        <w:rPr>
          <w:b/>
          <w:bCs/>
        </w:rPr>
        <w:t xml:space="preserve">No family or household plans, but real family involvement.</w:t>
      </w:r>
      <w:r>
        <w:t xml:space="preserve"> Every adult keeps their own individual account — we removed shared/discounted family plans as a deliberate commercial decision (not because family involvement wasn't considered). Within the individual-account model: an adult may enrol a child under 18 as a dependant; any patient may name a next of kin who can view (not edit) their care and be contacted in an emergency; and two adults may set up a "manage" arrangement for one to handle the other's bookings and records (for example, an adult child helping an elderly parent) — all three require the other party's active acceptance, not a unilateral grant.</w:t>
      </w:r>
    </w:p>
    <w:p>
      <w:pPr>
        <w:spacing w:after="160"/>
      </w:pPr>
      <w:r>
        <w:rPr>
          <w:b/>
          <w:bCs/>
        </w:rPr>
        <w:t xml:space="preserve">No field/tablet screening-day consent capture exists.</w:t>
      </w:r>
      <w:r>
        <w:t xml:space="preserve"> v2 of this memo described field staff capturing consent on a tablet at in-person screening events. That described a feature from the abandoned narrow-pivot specification's future roadmap, not something built or live in `apps/web`. All screening today is booked and consented to by the patient themselves, in the app.</w:t>
      </w:r>
    </w:p>
    <w:p>
      <w:pPr>
        <w:spacing w:after="160"/>
      </w:pPr>
      <w:r>
        <w:rPr>
          <w:b/>
          <w:bCs/>
        </w:rPr>
        <w:t xml:space="preserve">Research.</w:t>
      </w:r>
      <w:r>
        <w:t xml:space="preserve"> We support anonymised research use of patient data, strictly opt-in, governed by a documented lawful basis and a minimum group size per export, with re-identification keys held separately and never exported. A patient who withdraws consent is excluded from future exports, but we cannot recall an export already delivered before withdrawal. </w:t>
      </w:r>
      <w:r>
        <w:rPr>
          <w:b/>
          <w:bCs/>
          <w:color w:val="C0392B"/>
        </w:rPr>
        <w:t xml:space="preserve">[This capability's current build status has not been re-confirmed for this v3 rewrite — counsel should ask us to reconfirm before relying on this paragraph.]</w:t>
      </w:r>
    </w:p>
    <w:p>
      <w:pPr>
        <w:pStyle w:val="Heading1"/>
        <w:spacing w:after="160" w:before="240"/>
      </w:pPr>
      <w:r>
        <w:rPr>
          <w:color w:val="0E7C52"/>
        </w:rPr>
        <w:t xml:space="preserve">Nine questions for your review</w:t>
      </w:r>
    </w:p>
    <w:p>
      <w:pPr>
        <w:spacing w:after="160"/>
      </w:pPr>
      <w:r>
        <w:rPr>
          <w:b/>
          <w:bCs/>
        </w:rPr>
        <w:t xml:space="preserve">1. Cross-border data transfer (highest priority).</w:t>
      </w:r>
      <w:r>
        <w:t xml:space="preserve"> Because our database sits in eu-west-1, Nigerian patients' personal data, including sensitive health data, leaves Nigeria as an infrastructure fact, not a user choice. Our own build specification independently identifies this as the single highest-risk area in our legal position. The Nigeria Data Protection Act 2023 treats cross-border transfer as something requiring a specific lawful mechanism — an adequacy finding, appropriate contractual safeguards, or the data subject's informed consent to that specific transfer. We need your view on which mechanism we should rely on, and whether this is a hard blocker for public launch.</w:t>
      </w:r>
    </w:p>
    <w:p>
      <w:pPr>
        <w:spacing w:after="160"/>
      </w:pPr>
      <w:r>
        <w:rPr>
          <w:b/>
          <w:bCs/>
        </w:rPr>
        <w:t xml:space="preserve">2. Sensitive personal data and lawful basis.</w:t>
      </w:r>
      <w:r>
        <w:t xml:space="preserve"> Is the consent-scope structure described in Schedule A — a general basis of care necessity, plus several specific, individually revocable consents (escalation contact, clinical share, family/next-of-kin access, wallet sponsor, institution aggregate, research anonymised) — the right architecture under the Act? Specifically, may account activation be lawfully conditioned on accepting the "escalation contact" consent, as our platform currently requires?</w:t>
      </w:r>
    </w:p>
    <w:p>
      <w:pPr>
        <w:spacing w:after="160"/>
      </w:pPr>
      <w:r>
        <w:rPr>
          <w:b/>
          <w:bCs/>
        </w:rPr>
        <w:t xml:space="preserve">3. Controller/processor status and registration.</w:t>
      </w:r>
      <w:r>
        <w:t xml:space="preserve"> Are we a data controller, a data processor, or both, depending on the relationship (direct patients vs. organisation-enrolled patients)? Do we need to register with the NDPC, or undergo a data protection compliance audit? Our own platform already refuses to accept live patients in production until NDPC registration is complete and a DPO is named — is that gate sufficient, or does registration itself need to happen earlier in our build/launch sequence?</w:t>
      </w:r>
    </w:p>
    <w:p>
      <w:pPr>
        <w:spacing w:after="160"/>
      </w:pPr>
      <w:r>
        <w:rPr>
          <w:b/>
          <w:bCs/>
        </w:rPr>
        <w:t xml:space="preserve">4. Automated decision-making disclosure.</w:t>
      </w:r>
      <w:r>
        <w:t xml:space="preserve"> Every reading is automatically classified by a deterministic protocol engine, optionally assisted by an AI model that may only make a classification more cautious, never less, and a result classified emergency can only be closed after direct real-time contact with the patient (enforced at the database level, not just by policy). Does this design, as described, satisfy any right under the Act to avoid a decision based solely on automated processing, and is our current disclosure of it (Schedule A, "Automated processing") sufficient?</w:t>
      </w:r>
    </w:p>
    <w:p>
      <w:pPr>
        <w:spacing w:after="160"/>
      </w:pPr>
      <w:r>
        <w:rPr>
          <w:b/>
          <w:bCs/>
        </w:rPr>
        <w:t xml:space="preserve">5. The clinical tier ladder and MDCN confirmation.</w:t>
      </w:r>
      <w:r>
        <w:t xml:space="preserve"> Our clinical staffing runs through a five-tier structure (a non-clinical Care Coordinator, three tiers of Medical Officer, a Senior Registrar, and a Partner Specialist), with authority to prescribe or adjust medication increasing by tier, and every action attributed to a named doctor. We have not obtained MDCN or other regulatory confirmation that this structure — specifically, a junior tier confirming a stable refill without independently prescribing it — is compliant. Can you advise on this, and on whether Schedule B's description of "your care team" needs to change as a result?</w:t>
      </w:r>
    </w:p>
    <w:p>
      <w:pPr>
        <w:spacing w:after="160"/>
      </w:pPr>
      <w:r>
        <w:rPr>
          <w:b/>
          <w:bCs/>
        </w:rPr>
        <w:t xml:space="preserve">6. Family, next-of-kin, and eldercare consent.</w:t>
      </w:r>
      <w:r>
        <w:t xml:space="preserve"> Beyond the guardian/dependant mechanism, patients can now name a next of kin (view-only access, contactable in an emergency) or set up a two-way "manage" arrangement with another adult (for example, an adult child helping an elderly parent), each requiring the other party's active acceptance rather than a unilateral grant. Is this consent architecture — described in Schedule A's "Family, guardian, and next-of-kin data" — an adequate basis under the Act for one adult accessing another adult's health data, and does it need a different disclosure than what we have drafted?</w:t>
      </w:r>
    </w:p>
    <w:p>
      <w:pPr>
        <w:spacing w:after="160"/>
      </w:pPr>
      <w:r>
        <w:rPr>
          <w:b/>
          <w:bCs/>
        </w:rPr>
        <w:t xml:space="preserve">7. Tiered SLA, emergency carve-out, and liability.</w:t>
      </w:r>
      <w:r>
        <w:t xml:space="preserve"> Our current response targets (as fast as 15 minutes for a self-harm risk flag, up to 2 hours for a critical result or reported danger symptom, around 1 hour for other urgent findings, up to 24 hours for a non-critical abnormal screening result, and up to 3 days for a routine clinician review) are set out in Schedule B. Is this tiered, situation-dependent commitment adequately disclosed and legally defensible, or would a simpler patient-facing summary serve better? Should Schedule C carry a more specific limitation-of-liability and indemnity structure than the placeholder we have drafted?</w:t>
      </w:r>
    </w:p>
    <w:p>
      <w:pPr>
        <w:spacing w:after="160"/>
      </w:pPr>
      <w:r>
        <w:rPr>
          <w:b/>
          <w:bCs/>
        </w:rPr>
        <w:t xml:space="preserve">8. Consumer protection and organisational sales.</w:t>
      </w:r>
      <w:r>
        <w:t xml:space="preserve"> Does the FCCPC's consumer protection framework require a cooling-off period or refund right for our subscription model that our current "cancel at period end, no pro-rata refund" position does not provide? Separately: part of our sales motion is selling access to an organisation (an employer or HMO) for its covered members, rather than to the individual directly — does that relationship need a distinct commercial services agreement, separate from the individual-facing Schedule C, and if so, can you help us produce one? (A parallel document, Schedule D, already exists for a different kind of B2B relationship — our laboratory partners — and is a useful template if a similar organisational agreement is wanted here.)</w:t>
      </w:r>
    </w:p>
    <w:p>
      <w:pPr>
        <w:spacing w:after="160"/>
      </w:pPr>
      <w:r>
        <w:rPr>
          <w:b/>
          <w:bCs/>
        </w:rPr>
        <w:t xml:space="preserve">9. Minors and dependant enrolment.</w:t>
      </w:r>
      <w:r>
        <w:t xml:space="preserve"> What is the Act's threshold for "child" data requiring guardian consent, and does our dependant-enrolment mechanism (an adult account holder enrols and manages a child under 18, enforced at the database level as a hard age constraint) satisfy the consent mechanism the Act requires?</w:t>
      </w:r>
    </w:p>
    <w:p>
      <w:pPr>
        <w:pStyle w:val="Heading1"/>
        <w:spacing w:after="160" w:before="240"/>
      </w:pPr>
      <w:r>
        <w:rPr>
          <w:color w:val="0E7C52"/>
        </w:rPr>
        <w:t xml:space="preserve">Attached</w:t>
      </w:r>
    </w:p>
    <w:p>
      <w:pPr>
        <w:pStyle w:val="ListParagraph"/>
        <w:numPr>
          <w:ilvl w:val="0"/>
          <w:numId w:val="1"/>
        </w:numPr>
        <w:spacing w:after="100"/>
      </w:pPr>
      <w:r>
        <w:t xml:space="preserve">Schedule A — Data Processing Consent</w:t>
      </w:r>
    </w:p>
    <w:p>
      <w:pPr>
        <w:pStyle w:val="ListParagraph"/>
        <w:numPr>
          <w:ilvl w:val="0"/>
          <w:numId w:val="1"/>
        </w:numPr>
        <w:spacing w:after="100"/>
      </w:pPr>
      <w:r>
        <w:t xml:space="preserve">Schedule B — Telehealth Consent</w:t>
      </w:r>
    </w:p>
    <w:p>
      <w:pPr>
        <w:pStyle w:val="ListParagraph"/>
        <w:numPr>
          <w:ilvl w:val="0"/>
          <w:numId w:val="1"/>
        </w:numPr>
        <w:spacing w:after="100"/>
      </w:pPr>
      <w:r>
        <w:t xml:space="preserve">Schedule C — Terms of Service</w:t>
      </w:r>
    </w:p>
    <w:p>
      <w:pPr>
        <w:spacing w:after="160"/>
      </w:pPr>
      <w:r>
        <w:t xml:space="preserve">A separate Schedule D (Lab Services Partnership Agreement + Data Processing Addendum) exists for our laboratory-partner relationships — a B2B commercial agreement, not a patient consent document — and can be reviewed on its own track alongside or after this package.</w:t>
      </w:r>
    </w:p>
    <w:p>
      <w:pPr>
        <w:spacing w:after="160"/>
      </w:pPr>
      <w:r>
        <w:t xml:space="preserve">Each schedule is marked, inline (in red), with the specific gaps we need you to close. A consolidated open items checklist appears at the end of this document.</w:t>
      </w:r>
    </w:p>
    <w:p>
      <w:pPr>
        <w:pStyle w:val="Heading1"/>
        <w:spacing w:after="160" w:before="240"/>
      </w:pPr>
      <w:r>
        <w:rPr>
          <w:color w:val="0E7C52"/>
        </w:rPr>
        <w:t xml:space="preserve">Open items checklist</w:t>
      </w:r>
    </w:p>
    <w:p>
      <w:pPr>
        <w:spacing w:after="160"/>
      </w:pPr>
      <w:r>
        <w:t xml:space="preserve">These items are the concrete blanks only TarragonHealth and counsel, together, can close. Each is called out inline in the schedules above, and repeated here so nothing is missed in review. None of the three schedules should be treated as final or launched publicly until this checklist is closed and you have signed off on the marked sections.</w:t>
      </w:r>
    </w:p>
    <w:p>
      <w:pPr>
        <w:spacing w:after="100"/>
      </w:pPr>
      <w:r>
        <w:t xml:space="preserve">1. </w:t>
      </w:r>
      <w:r>
        <w:rPr>
          <w:b/>
          <w:bCs/>
        </w:rPr>
        <w:t xml:space="preserve">Data Protection Officer</w:t>
      </w:r>
      <w:r>
        <w:t xml:space="preserve"> — appointment, name, and contact details; confirm whether the role is legally mandatory for us. (Our own platform will not go live with real patients until this is done — see item 2.)</w:t>
      </w:r>
    </w:p>
    <w:p>
      <w:pPr>
        <w:spacing w:after="100"/>
      </w:pPr>
      <w:r>
        <w:t xml:space="preserve">2. </w:t>
      </w:r>
      <w:r>
        <w:rPr>
          <w:b/>
          <w:bCs/>
        </w:rPr>
        <w:t xml:space="preserve">NDPC registration status</w:t>
      </w:r>
      <w:r>
        <w:t xml:space="preserve"> — confirm current status; this is now a hard technical gate blocking production patient enrolment on our own systems until satisfied, so timing matters for our build schedule as well as for compliance.</w:t>
      </w:r>
    </w:p>
    <w:p>
      <w:pPr>
        <w:spacing w:after="100"/>
      </w:pPr>
      <w:r>
        <w:t xml:space="preserve">3. </w:t>
      </w:r>
      <w:r>
        <w:rPr>
          <w:b/>
          <w:bCs/>
        </w:rPr>
        <w:t xml:space="preserve">Lawful mechanism for the eu-west-1 cross-border transfer</w:t>
      </w:r>
      <w:r>
        <w:t xml:space="preserve"> — see Question 1; this remains the highest-risk area in our legal position and is unresolved.</w:t>
      </w:r>
    </w:p>
    <w:p>
      <w:pPr>
        <w:spacing w:after="100"/>
      </w:pPr>
      <w:r>
        <w:t xml:space="preserve">4. </w:t>
      </w:r>
      <w:r>
        <w:rPr>
          <w:b/>
          <w:bCs/>
        </w:rPr>
        <w:t xml:space="preserve">MDCN/regulatory confirmation of the five-tier clinical staffing structure</w:t>
      </w:r>
      <w:r>
        <w:t xml:space="preserve"> — see Question 5. We have not sought or received this confirmation, and do not represent the tier structure as regulator-approved anywhere on the platform.</w:t>
      </w:r>
    </w:p>
    <w:p>
      <w:pPr>
        <w:spacing w:after="100"/>
      </w:pPr>
      <w:r>
        <w:t xml:space="preserve">5. </w:t>
      </w:r>
      <w:r>
        <w:rPr>
          <w:b/>
          <w:bCs/>
        </w:rPr>
        <w:t xml:space="preserve">Adequacy of the family/next-of-kin/eldercare consent mechanism</w:t>
      </w:r>
      <w:r>
        <w:t xml:space="preserve"> — see Question 6; this is a newer feature not covered by any earlier version of this memo.</w:t>
      </w:r>
    </w:p>
    <w:p>
      <w:pPr>
        <w:spacing w:after="100"/>
      </w:pPr>
      <w:r>
        <w:t xml:space="preserve">6. </w:t>
      </w:r>
      <w:r>
        <w:rPr>
          <w:b/>
          <w:bCs/>
        </w:rPr>
        <w:t xml:space="preserve">Whether a separate institutional/organisational commercial agreement is needed</w:t>
      </w:r>
      <w:r>
        <w:t xml:space="preserve"> — see Question 8, second part. (Schedule D is a usable template if so, adapted from our lab-partner relationship to an employer/HMO one.)</w:t>
      </w:r>
    </w:p>
    <w:p>
      <w:pPr>
        <w:spacing w:after="100"/>
      </w:pPr>
      <w:r>
        <w:t xml:space="preserve">7. </w:t>
      </w:r>
      <w:r>
        <w:rPr>
          <w:b/>
          <w:bCs/>
        </w:rPr>
        <w:t xml:space="preserve">Emergency contact number</w:t>
      </w:r>
      <w:r>
        <w:t xml:space="preserve"> — the exact number/instruction Schedule B's emergency carve-out should point to.</w:t>
      </w:r>
    </w:p>
    <w:p>
      <w:pPr>
        <w:spacing w:after="100"/>
      </w:pPr>
      <w:r>
        <w:t xml:space="preserve">8. </w:t>
      </w:r>
      <w:r>
        <w:rPr>
          <w:b/>
          <w:bCs/>
        </w:rPr>
        <w:t xml:space="preserve">NDPC contact details</w:t>
      </w:r>
      <w:r>
        <w:t xml:space="preserve"> — for the complaints clause in Schedule A.</w:t>
      </w:r>
    </w:p>
    <w:p>
      <w:pPr>
        <w:spacing w:after="100"/>
      </w:pPr>
      <w:r>
        <w:t xml:space="preserve">9. </w:t>
      </w:r>
      <w:r>
        <w:rPr>
          <w:b/>
          <w:bCs/>
        </w:rPr>
        <w:t xml:space="preserve">Refund/cooling-off policy</w:t>
      </w:r>
      <w:r>
        <w:t xml:space="preserve"> — see Question 8, first part; finalises Schedule C's cancellation clause.</w:t>
      </w:r>
    </w:p>
    <w:p>
      <w:pPr>
        <w:spacing w:after="100"/>
      </w:pPr>
      <w:r>
        <w:t xml:space="preserve">10. </w:t>
      </w:r>
      <w:r>
        <w:rPr>
          <w:b/>
          <w:bCs/>
        </w:rPr>
        <w:t xml:space="preserve">Limitation-of-liability cap and structure</w:t>
      </w:r>
      <w:r>
        <w:t xml:space="preserve"> — see Question 7; finalises Schedule C.</w:t>
      </w:r>
    </w:p>
    <w:p>
      <w:pPr>
        <w:spacing w:after="100"/>
      </w:pPr>
      <w:r>
        <w:t xml:space="preserve">11. </w:t>
      </w:r>
      <w:r>
        <w:rPr>
          <w:b/>
          <w:bCs/>
        </w:rPr>
        <w:t xml:space="preserve">Dispute-resolution venue and mechanism</w:t>
      </w:r>
      <w:r>
        <w:t xml:space="preserve"> — litigation vs. arbitration, and seat/venue, for Schedule C's governing-law clause.</w:t>
      </w:r>
    </w:p>
    <w:p>
      <w:pPr>
        <w:spacing w:after="100"/>
      </w:pPr>
      <w:r>
        <w:t xml:space="preserve">12. </w:t>
      </w:r>
      <w:r>
        <w:rPr>
          <w:b/>
          <w:bCs/>
        </w:rPr>
        <w:t xml:space="preserve">Data retention schedule</w:t>
      </w:r>
      <w:r>
        <w:t xml:space="preserve"> — exact retention periods by data category (active enrolment, closed account, minimum clinical record retention, financial/tax records).</w:t>
      </w:r>
    </w:p>
    <w:p>
      <w:pPr>
        <w:spacing w:after="100"/>
      </w:pPr>
      <w:r>
        <w:t xml:space="preserve">13. </w:t>
      </w:r>
      <w:r>
        <w:rPr>
          <w:b/>
          <w:bCs/>
        </w:rPr>
        <w:t xml:space="preserve">Guardian/dependant consent mechanism</w:t>
      </w:r>
      <w:r>
        <w:t xml:space="preserve"> — see Question 9.</w:t>
      </w:r>
    </w:p>
    <w:p>
      <w:pPr>
        <w:spacing w:after="100"/>
      </w:pPr>
      <w:r>
        <w:t xml:space="preserve">14. </w:t>
      </w:r>
      <w:r>
        <w:rPr>
          <w:b/>
          <w:bCs/>
        </w:rPr>
        <w:t xml:space="preserve">How a bundled Bluetooth monitoring device is priced/provided</w:t>
      </w:r>
      <w:r>
        <w:t xml:space="preserve"> — see Schedule C's "Your subscription" section; the specific mechanic needs confirming against what the platform actually does before it is described definitively.</w:t>
      </w:r>
    </w:p>
    <w:p>
      <w:r>
        <w:br w:type="page"/>
      </w:r>
    </w:p>
    <w:p>
      <w:pPr>
        <w:pStyle w:val="Title"/>
        <w:spacing w:after="200" w:before="200"/>
        <w:jc w:val="center"/>
      </w:pPr>
      <w:r>
        <w:rPr>
          <w:b/>
          <w:bCs/>
          <w:color w:val="0E7C52"/>
        </w:rPr>
        <w:t xml:space="preserve">Schedule A — Data Processing Consent</w:t>
      </w:r>
    </w:p>
    <w:p>
      <w:pPr>
        <w:spacing w:after="200"/>
      </w:pPr>
      <w:r>
        <w:rPr>
          <w:i/>
          <w:iCs/>
          <w:color w:val="666666"/>
          <w:sz w:val="20"/>
          <w:szCs w:val="20"/>
        </w:rPr>
        <w:t xml:space="preserve">Draft for legal review — not yet approved by counsel. Version 2026-07-30-v3 (rewritten to match the platform as actually built in `apps/web`, after the narrow cardiometabolic-only pivot described in v2 was reversed the same evening it was adopted — see `CLAUDE.md`'s "PIVOT REVERSED" banner. This version replaces v2's platform-description drift; it does not re-open any of v2's still-open legal questions, which are unchanged.). This text is the canonical source for the `data_processing` consent content and for any future public/patient-facing rendering of it; edit here first, then re-sync wherever it's reused.</w:t>
      </w:r>
    </w:p>
    <w:p>
      <w:pPr>
        <w:pStyle w:val="Heading1"/>
        <w:spacing w:after="160" w:before="240"/>
      </w:pPr>
      <w:r>
        <w:rPr>
          <w:color w:val="0E7C52"/>
        </w:rPr>
        <w:t xml:space="preserve">About this document</w:t>
      </w:r>
    </w:p>
    <w:p>
      <w:pPr>
        <w:spacing w:after="160"/>
      </w:pPr>
      <w:r>
        <w:t xml:space="preserve">This is TarragonHealth's Data Processing Consent — Schedule A of our legal documentation. Version 2026-07-30-v3, published 30 July 2026. This document is currently in draft and pending final review by our legal counsel; some details (marked in brackets) are still being finalised.</w:t>
      </w:r>
    </w:p>
    <w:p>
      <w:pPr>
        <w:pStyle w:val="Heading1"/>
        <w:spacing w:after="160" w:before="240"/>
      </w:pPr>
      <w:r>
        <w:rPr>
          <w:color w:val="0E7C52"/>
        </w:rPr>
        <w:t xml:space="preserve">Who we are</w:t>
      </w:r>
    </w:p>
    <w:p>
      <w:pPr>
        <w:spacing w:after="160"/>
      </w:pPr>
      <w:r>
        <w:t xml:space="preserve">Tarragon Health Ltd (RC 9702108) ("TarragonHealth", "we", "us") operates a digital-first care coordination platform in Nigeria connecting patients with doctors, labs, pharmacies, and specialists across five service areas: chronic disease management (hypertension, type 2 diabetes, with further conditions planned), preventive screening, care coordination (lab and pharmacy ordering, specialist referrals), employer/HMO institutional programmes, and the underlying notification and clinical-decisioning infrastructure that connects them. We do not own or operate any hospital, clinic, or laboratory. We are the data controller for the personal data described in this notice.</w:t>
      </w:r>
    </w:p>
    <w:p>
      <w:pPr>
        <w:spacing w:after="160"/>
      </w:pPr>
      <w:r>
        <w:t xml:space="preserve">Data Protection Officer: </w:t>
      </w:r>
      <w:r>
        <w:rPr>
          <w:b/>
          <w:bCs/>
          <w:color w:val="C0392B"/>
        </w:rPr>
        <w:t xml:space="preserve">[DPO name and contact — to be appointed and confirmed]</w:t>
      </w:r>
      <w:r>
        <w:t xml:space="preserve">. Nigeria Data Protection Commission (NDPC) registration status: </w:t>
      </w:r>
      <w:r>
        <w:rPr>
          <w:b/>
          <w:bCs/>
          <w:color w:val="C0392B"/>
        </w:rPr>
        <w:t xml:space="preserve">[to be confirmed]</w:t>
      </w:r>
      <w:r>
        <w:t xml:space="preserve">. Our own platform will not accept live patients into production until NDPC registration is complete and a DPO is appointed — this is enforced as a technical gate on our own systems, not just a policy.</w:t>
      </w:r>
    </w:p>
    <w:p>
      <w:pPr>
        <w:spacing w:after="160"/>
      </w:pPr>
      <w:r>
        <w:t xml:space="preserve">If you have questions about this notice or how we handle your data, contact us at privacy@tarragonhealth.ng, or write to our Data Protection Officer at the address above.</w:t>
      </w:r>
    </w:p>
    <w:p>
      <w:pPr>
        <w:pStyle w:val="Heading1"/>
        <w:spacing w:after="160" w:before="240"/>
      </w:pPr>
      <w:r>
        <w:rPr>
          <w:color w:val="0E7C52"/>
        </w:rPr>
        <w:t xml:space="preserve">What personal data we collect</w:t>
      </w:r>
    </w:p>
    <w:p>
      <w:pPr>
        <w:spacing w:after="160"/>
      </w:pPr>
      <w:r>
        <w:t xml:space="preserve">We collect the information you give us directly, the information our field staff or your care team record about you, and the information generated by using the platform.</w:t>
      </w:r>
    </w:p>
    <w:p>
      <w:pPr>
        <w:pStyle w:val="ListParagraph"/>
        <w:numPr>
          <w:ilvl w:val="0"/>
          <w:numId w:val="1"/>
        </w:numPr>
        <w:spacing w:after="100"/>
      </w:pPr>
      <w:r>
        <w:t xml:space="preserve">Identity and contact details — name, date of birth, sex, phone number, email, state and local government area of residence.</w:t>
      </w:r>
    </w:p>
    <w:p>
      <w:pPr>
        <w:pStyle w:val="ListParagraph"/>
        <w:numPr>
          <w:ilvl w:val="0"/>
          <w:numId w:val="1"/>
        </w:numPr>
        <w:spacing w:after="100"/>
      </w:pPr>
      <w:r>
        <w:t xml:space="preserve">Emergency contact — the name and phone number of a next of kin, used to reach someone on your behalf in an emergency.</w:t>
      </w:r>
    </w:p>
    <w:p>
      <w:pPr>
        <w:pStyle w:val="ListParagraph"/>
        <w:numPr>
          <w:ilvl w:val="0"/>
          <w:numId w:val="1"/>
        </w:numPr>
        <w:spacing w:after="100"/>
      </w:pPr>
      <w:r>
        <w:t xml:space="preserve">Health and clinical information — blood pressure, glucose, HbA1c, weight, height, and waist readings; the device you use to take them; symptoms and messages you share with your care team; medications; lab results; and clinical notes written by your doctor.</w:t>
      </w:r>
    </w:p>
    <w:p>
      <w:pPr>
        <w:pStyle w:val="ListParagraph"/>
        <w:numPr>
          <w:ilvl w:val="0"/>
          <w:numId w:val="1"/>
        </w:numPr>
        <w:spacing w:after="100"/>
      </w:pPr>
      <w:r>
        <w:t xml:space="preserve">Screening information — when you book or complete a preventive screening or health check through the app (for example, an Annual Health Check or a confidential test like HIV/Hepatitis B/cervical screening), we record your booking, the facility you chose, and the result.</w:t>
      </w:r>
    </w:p>
    <w:p>
      <w:pPr>
        <w:pStyle w:val="ListParagraph"/>
        <w:numPr>
          <w:ilvl w:val="0"/>
          <w:numId w:val="1"/>
        </w:numPr>
        <w:spacing w:after="100"/>
      </w:pPr>
      <w:r>
        <w:t xml:space="preserve">Payment information — subscription, wallet, and order history, and payment references from Paystack or Stripe. We do not store your full card number.</w:t>
      </w:r>
    </w:p>
    <w:p>
      <w:pPr>
        <w:pStyle w:val="ListParagraph"/>
        <w:numPr>
          <w:ilvl w:val="0"/>
          <w:numId w:val="1"/>
        </w:numPr>
        <w:spacing w:after="100"/>
      </w:pPr>
      <w:r>
        <w:t xml:space="preserve">Device information — where you use a Bluetooth-paired reading device, its make, model, and serial number.</w:t>
      </w:r>
    </w:p>
    <w:p>
      <w:pPr>
        <w:pStyle w:val="ListParagraph"/>
        <w:numPr>
          <w:ilvl w:val="0"/>
          <w:numId w:val="1"/>
        </w:numPr>
        <w:spacing w:after="100"/>
      </w:pPr>
      <w:r>
        <w:t xml:space="preserve">Usage information — app and website activity, for security, fraud prevention, and service improvement.</w:t>
      </w:r>
    </w:p>
    <w:p>
      <w:pPr>
        <w:pStyle w:val="Heading1"/>
        <w:spacing w:after="160" w:before="240"/>
      </w:pPr>
      <w:r>
        <w:rPr>
          <w:color w:val="0E7C52"/>
        </w:rPr>
        <w:t xml:space="preserve">Sensitive personal data</w:t>
      </w:r>
    </w:p>
    <w:p>
      <w:pPr>
        <w:spacing w:after="160"/>
      </w:pPr>
      <w:r>
        <w:t xml:space="preserve">Most of what we hold about you — your readings, symptoms, diagnoses, medications, and results — is health information, which the Nigeria Data Protection Act 2023 classifies as sensitive personal data. We apply extra safeguards to this category of data: it is only visible to your care team and to you, access is logged, and every clinical action taken on your record is written to a record you can read yourself.</w:t>
      </w:r>
    </w:p>
    <w:p>
      <w:pPr>
        <w:pStyle w:val="Heading1"/>
        <w:spacing w:after="160" w:before="240"/>
      </w:pPr>
      <w:r>
        <w:rPr>
          <w:color w:val="0E7C52"/>
        </w:rPr>
        <w:t xml:space="preserve">Why we process your data, and the specific consents we ask for</w:t>
      </w:r>
    </w:p>
    <w:p>
      <w:pPr>
        <w:spacing w:after="160"/>
      </w:pPr>
      <w:r>
        <w:t xml:space="preserve">We rely on more than one lawful basis, depending on the purpose.</w:t>
      </w:r>
    </w:p>
    <w:p>
      <w:pPr>
        <w:pStyle w:val="ListParagraph"/>
        <w:numPr>
          <w:ilvl w:val="0"/>
          <w:numId w:val="1"/>
        </w:numPr>
        <w:spacing w:after="100"/>
      </w:pPr>
      <w:r>
        <w:t xml:space="preserve">Delivery of your care — processing your readings, symptoms, and clinical information to classify your results, alert your care team, and maintain your record is necessary for the provision of healthcare by a licensed clinician under a duty of confidentiality.</w:t>
      </w:r>
    </w:p>
    <w:p>
      <w:pPr>
        <w:pStyle w:val="ListParagraph"/>
        <w:numPr>
          <w:ilvl w:val="0"/>
          <w:numId w:val="1"/>
        </w:numPr>
        <w:spacing w:after="100"/>
      </w:pPr>
      <w:r>
        <w:t xml:space="preserve">Specific, scoped consent — for anything beyond your direct care, we ask for a specific consent, tracked individually and revocable at any time:</w:t>
      </w:r>
    </w:p>
    <w:p>
      <w:pPr>
        <w:pStyle w:val="ListParagraph"/>
        <w:numPr>
          <w:ilvl w:val="0"/>
          <w:numId w:val="1"/>
        </w:numPr>
        <w:spacing w:after="100"/>
      </w:pPr>
      <w:r>
        <w:t xml:space="preserve">Escalation contact — your consent for us to message or call you if we do not hear from you when we should. This is asked at enrolment and is required to activate your account.</w:t>
      </w:r>
    </w:p>
    <w:p>
      <w:pPr>
        <w:pStyle w:val="ListParagraph"/>
        <w:numPr>
          <w:ilvl w:val="0"/>
          <w:numId w:val="1"/>
        </w:numPr>
        <w:spacing w:after="100"/>
      </w:pPr>
      <w:r>
        <w:t xml:space="preserve">Clinical share — your consent to share your clinical information with a specific named recipient, for example a specialist you are referred to.</w:t>
      </w:r>
    </w:p>
    <w:p>
      <w:pPr>
        <w:pStyle w:val="ListParagraph"/>
        <w:numPr>
          <w:ilvl w:val="0"/>
          <w:numId w:val="1"/>
        </w:numPr>
        <w:spacing w:after="100"/>
      </w:pPr>
      <w:r>
        <w:t xml:space="preserve">Family and next-of-kin access — you may name a next of kin who can be contacted if something goes wrong and can view (but not edit) your care, or set up a two-way arrangement with another adult (for example, an adult child helping manage an elderly parent's care) so they can manage bookings and records on your behalf. Either arrangement requires the other person to actively accept it — naming someone does not grant them access until they do. You may also add a child with no account of their own as a dependant you manage directly.</w:t>
      </w:r>
    </w:p>
    <w:p>
      <w:pPr>
        <w:pStyle w:val="ListParagraph"/>
        <w:numPr>
          <w:ilvl w:val="0"/>
          <w:numId w:val="1"/>
        </w:numPr>
        <w:spacing w:after="100"/>
      </w:pPr>
      <w:r>
        <w:t xml:space="preserve">Wallet sponsor — someone else (a family member or other payer) may fund your Health Wallet with your consent. Funding your wallet never gives that person visibility into your health information — it only lets them add money to a balance you control.</w:t>
      </w:r>
    </w:p>
    <w:p>
      <w:pPr>
        <w:pStyle w:val="ListParagraph"/>
        <w:numPr>
          <w:ilvl w:val="0"/>
          <w:numId w:val="1"/>
        </w:numPr>
        <w:spacing w:after="100"/>
      </w:pPr>
      <w:r>
        <w:t xml:space="preserve">Institution aggregate — if you are enrolled through an employer or HMO programme, your data contributes to that organisation's aggregate statistics in de-identified form regardless of this consent, because the organisation never sees anything about you individually, and only a small number of senior TarragonHealth staff can ever look at an individual record on the organisation's behalf — see "Who we share your data with" below.</w:t>
      </w:r>
    </w:p>
    <w:p>
      <w:pPr>
        <w:pStyle w:val="ListParagraph"/>
        <w:numPr>
          <w:ilvl w:val="0"/>
          <w:numId w:val="1"/>
        </w:numPr>
        <w:spacing w:after="100"/>
      </w:pPr>
      <w:r>
        <w:t xml:space="preserve">Research, anonymised — your optional consent for your anonymised data to be used in research. This is off by default. If you consent and later withdraw, we stop including you in future research exports, but we cannot recall an export already delivered before you withdrew.</w:t>
      </w:r>
    </w:p>
    <w:p>
      <w:pPr>
        <w:pStyle w:val="ListParagraph"/>
        <w:numPr>
          <w:ilvl w:val="0"/>
          <w:numId w:val="1"/>
        </w:numPr>
        <w:spacing w:after="100"/>
      </w:pPr>
      <w:r>
        <w:t xml:space="preserve">Legal obligation — we process certain data, for example payment and tax records, to meet our obligations under Nigerian law.</w:t>
      </w:r>
    </w:p>
    <w:p>
      <w:pPr>
        <w:spacing w:after="160"/>
      </w:pPr>
      <w:r>
        <w:rPr>
          <w:b/>
          <w:bCs/>
          <w:color w:val="C0392B"/>
        </w:rPr>
        <w:t xml:space="preserve">[Counsel to confirm this consent-scope structure is the correct lawful-basis architecture under the Act, and specifically that account activation may properly be conditioned on the "escalation contact" consent — see the accompanying memo, Question 2.]</w:t>
      </w:r>
    </w:p>
    <w:p>
      <w:pPr>
        <w:pStyle w:val="Heading1"/>
        <w:spacing w:after="160" w:before="240"/>
      </w:pPr>
      <w:r>
        <w:rPr>
          <w:color w:val="0E7C52"/>
        </w:rPr>
        <w:t xml:space="preserve">Where your data is stored, and international transfer</w:t>
      </w:r>
    </w:p>
    <w:p>
      <w:pPr>
        <w:spacing w:after="160"/>
      </w:pPr>
      <w:r>
        <w:t xml:space="preserve">Your data is stored in a Postgres database operated by our infrastructure provider, Supabase, in the AWS eu-west-1 region (Ireland). We use this region because our provider does not currently offer a data centre in Nigeria or elsewhere in Africa; eu-west-1 is the nearest available region.</w:t>
      </w:r>
    </w:p>
    <w:p>
      <w:pPr>
        <w:spacing w:after="160"/>
      </w:pPr>
      <w:r>
        <w:t xml:space="preserve">This means your personal data, including sensitive health information, leaves Nigeria as a routine part of how the platform runs, not as an occasional or optional event. This is the single highest-priority open item in our own legal review — our build specification independently flags cross-border data transfer as the highest-risk area in our legal position. Nigerian law requires a specific lawful mechanism before personal data is transferred outside Nigeria, and our platform will not accept live patients into production until our Nigeria Data Protection Commission registration is complete.</w:t>
      </w:r>
    </w:p>
    <w:p>
      <w:pPr>
        <w:spacing w:after="160"/>
      </w:pPr>
      <w:r>
        <w:rPr>
          <w:b/>
          <w:bCs/>
          <w:color w:val="C0392B"/>
        </w:rPr>
        <w:t xml:space="preserve">[The exact mechanism we rely on for this transfer is being finalised with our legal counsel. Until confirmed, this section should be read as a disclosure of the fact of the transfer, not a representation that a specific lawful mechanism has been finalised. See the accompanying memo, Question 1.]</w:t>
      </w:r>
    </w:p>
    <w:p>
      <w:pPr>
        <w:pStyle w:val="Heading1"/>
        <w:spacing w:after="160" w:before="240"/>
      </w:pPr>
      <w:r>
        <w:rPr>
          <w:color w:val="0E7C52"/>
        </w:rPr>
        <w:t xml:space="preserve">Automated processing</w:t>
      </w:r>
    </w:p>
    <w:p>
      <w:pPr>
        <w:spacing w:after="160"/>
      </w:pPr>
      <w:r>
        <w:t xml:space="preserve">Every reading you log is automatically classified against a clinically-approved protocol (drawing on WHO guidance for the condition involved) — this always happens, even for a normal reading, so nothing is silently skipped. Automated assistance from an AI model may draft a summary or flag a pattern the deterministic rules might miss, but it never makes a diagnosis, never decides on treatment, and never closes a case — a doctor always reviews and decides. A result classified as an emergency can only be closed after your doctor has had a real-time voice or video conversation with you — our system will not let it be closed from a written note alone. You may ask us for an explanation of any automated assessment shown to you.</w:t>
      </w:r>
    </w:p>
    <w:p>
      <w:pPr>
        <w:pStyle w:val="Heading1"/>
        <w:spacing w:after="160" w:before="240"/>
      </w:pPr>
      <w:r>
        <w:rPr>
          <w:color w:val="0E7C52"/>
        </w:rPr>
        <w:t xml:space="preserve">Who we share your data with</w:t>
      </w:r>
    </w:p>
    <w:p>
      <w:pPr>
        <w:spacing w:after="160"/>
      </w:pPr>
      <w:r>
        <w:t xml:space="preserve">We share your data only as needed to provide your care and run the platform.</w:t>
      </w:r>
    </w:p>
    <w:p>
      <w:pPr>
        <w:pStyle w:val="ListParagraph"/>
        <w:numPr>
          <w:ilvl w:val="0"/>
          <w:numId w:val="1"/>
        </w:numPr>
        <w:spacing w:after="100"/>
      </w:pPr>
      <w:r>
        <w:t xml:space="preserve">Your care team — the doctors and coordinators involved in your care.</w:t>
      </w:r>
    </w:p>
    <w:p>
      <w:pPr>
        <w:pStyle w:val="ListParagraph"/>
        <w:numPr>
          <w:ilvl w:val="0"/>
          <w:numId w:val="1"/>
        </w:numPr>
        <w:spacing w:after="100"/>
      </w:pPr>
      <w:r>
        <w:t xml:space="preserve">A specific person or organisation you have separately consented to share with — see "Clinical share" and "Family and next-of-kin access" above.</w:t>
      </w:r>
    </w:p>
    <w:p>
      <w:pPr>
        <w:pStyle w:val="ListParagraph"/>
        <w:numPr>
          <w:ilvl w:val="0"/>
          <w:numId w:val="1"/>
        </w:numPr>
        <w:spacing w:after="100"/>
      </w:pPr>
      <w:r>
        <w:t xml:space="preserve">Your employer or HMO, where you are enrolled through their programme, only as aggregate statistics with no individual identified — any figure drawn from fewer than 10 people is withheld rather than shown, and this is enforced by our database, not just by policy. We tell every patient plainly: TarragonHealth does not share individual health records with your employer or HMO. A small number of designated senior TarragonHealth staff (never the employer or HMO itself) retain the same operational access to an individual record as your care team, for support and platform-administration purposes.</w:t>
      </w:r>
    </w:p>
    <w:p>
      <w:pPr>
        <w:pStyle w:val="ListParagraph"/>
        <w:numPr>
          <w:ilvl w:val="0"/>
          <w:numId w:val="1"/>
        </w:numPr>
        <w:spacing w:after="100"/>
      </w:pPr>
      <w:r>
        <w:t xml:space="preserve">Our payment processors, Paystack and Stripe, to process a payment you have initiated.</w:t>
      </w:r>
    </w:p>
    <w:p>
      <w:pPr>
        <w:pStyle w:val="ListParagraph"/>
        <w:numPr>
          <w:ilvl w:val="0"/>
          <w:numId w:val="1"/>
        </w:numPr>
        <w:spacing w:after="100"/>
      </w:pPr>
      <w:r>
        <w:t xml:space="preserve">Regulators, courts, or other authorities, where we are legally required to disclose information.</w:t>
      </w:r>
    </w:p>
    <w:p>
      <w:pPr>
        <w:pStyle w:val="ListParagraph"/>
        <w:numPr>
          <w:ilvl w:val="0"/>
          <w:numId w:val="1"/>
        </w:numPr>
        <w:spacing w:after="100"/>
      </w:pPr>
      <w:r>
        <w:t xml:space="preserve">Anonymised research exports, only for patients who have separately opted in — see "Research, anonymised" above — built so no individual can be re-identified from the output.</w:t>
      </w:r>
    </w:p>
    <w:p>
      <w:pPr>
        <w:spacing w:after="160"/>
      </w:pPr>
      <w:r>
        <w:t xml:space="preserve">We do not sell your personal data.</w:t>
      </w:r>
    </w:p>
    <w:p>
      <w:pPr>
        <w:pStyle w:val="Heading1"/>
        <w:spacing w:after="160" w:before="240"/>
      </w:pPr>
      <w:r>
        <w:rPr>
          <w:color w:val="0E7C52"/>
        </w:rPr>
        <w:t xml:space="preserve">How long we keep your data</w:t>
      </w:r>
    </w:p>
    <w:p>
      <w:pPr>
        <w:spacing w:after="160"/>
      </w:pPr>
      <w:r>
        <w:t xml:space="preserve">We keep your data for as long as you have an active enrolment, and for a further period after that to meet our clinical record-keeping and legal obligations.</w:t>
      </w:r>
    </w:p>
    <w:p>
      <w:pPr>
        <w:spacing w:after="160"/>
      </w:pPr>
      <w:r>
        <w:rPr>
          <w:b/>
          <w:bCs/>
          <w:color w:val="C0392B"/>
        </w:rPr>
        <w:t xml:space="preserve">[A formal retention schedule, with exact periods per data category, is being finalised with counsel. Until then, requests for deletion are handled case by case, applying the most conservative retention period that plausibly applies.]</w:t>
      </w:r>
    </w:p>
    <w:p>
      <w:pPr>
        <w:pStyle w:val="Heading1"/>
        <w:spacing w:after="160" w:before="240"/>
      </w:pPr>
      <w:r>
        <w:rPr>
          <w:color w:val="0E7C52"/>
        </w:rPr>
        <w:t xml:space="preserve">Your rights</w:t>
      </w:r>
    </w:p>
    <w:p>
      <w:pPr>
        <w:spacing w:after="160"/>
      </w:pPr>
      <w:r>
        <w:t xml:space="preserve">Under Nigerian data protection law, you have the right to:</w:t>
      </w:r>
    </w:p>
    <w:p>
      <w:pPr>
        <w:pStyle w:val="ListParagraph"/>
        <w:numPr>
          <w:ilvl w:val="0"/>
          <w:numId w:val="1"/>
        </w:numPr>
        <w:spacing w:after="100"/>
      </w:pPr>
      <w:r>
        <w:t xml:space="preserve">Access the personal data we hold about you, and export it yourself at any time — this works from your first login and is never conditional on your subscription or payment being up to date.</w:t>
      </w:r>
    </w:p>
    <w:p>
      <w:pPr>
        <w:pStyle w:val="ListParagraph"/>
        <w:numPr>
          <w:ilvl w:val="0"/>
          <w:numId w:val="1"/>
        </w:numPr>
        <w:spacing w:after="100"/>
      </w:pPr>
      <w:r>
        <w:t xml:space="preserve">Ask us to correct inaccurate or incomplete data.</w:t>
      </w:r>
    </w:p>
    <w:p>
      <w:pPr>
        <w:pStyle w:val="ListParagraph"/>
        <w:numPr>
          <w:ilvl w:val="0"/>
          <w:numId w:val="1"/>
        </w:numPr>
        <w:spacing w:after="100"/>
      </w:pPr>
      <w:r>
        <w:t xml:space="preserve">Ask us to erase your data, subject to our clinical and legal retention obligations.</w:t>
      </w:r>
    </w:p>
    <w:p>
      <w:pPr>
        <w:pStyle w:val="ListParagraph"/>
        <w:numPr>
          <w:ilvl w:val="0"/>
          <w:numId w:val="1"/>
        </w:numPr>
        <w:spacing w:after="100"/>
      </w:pPr>
      <w:r>
        <w:t xml:space="preserve">Object to, or ask us to restrict, certain processing, and withdraw any of the specific consents listed above at any time.</w:t>
      </w:r>
    </w:p>
    <w:p>
      <w:pPr>
        <w:pStyle w:val="ListParagraph"/>
        <w:numPr>
          <w:ilvl w:val="0"/>
          <w:numId w:val="1"/>
        </w:numPr>
        <w:spacing w:after="100"/>
      </w:pPr>
      <w:r>
        <w:t xml:space="preserve">Lodge a complaint with the Nigeria Data Protection Commission </w:t>
      </w:r>
      <w:r>
        <w:rPr>
          <w:b/>
          <w:bCs/>
          <w:color w:val="C0392B"/>
        </w:rPr>
        <w:t xml:space="preserve">[contact details, to be confirmed]</w:t>
      </w:r>
      <w:r>
        <w:t xml:space="preserve">, or with us directly at privacy@tarragonhealth.ng.</w:t>
      </w:r>
    </w:p>
    <w:p>
      <w:pPr>
        <w:pStyle w:val="Heading1"/>
        <w:spacing w:after="160" w:before="240"/>
      </w:pPr>
      <w:r>
        <w:rPr>
          <w:color w:val="0E7C52"/>
        </w:rPr>
        <w:t xml:space="preserve">Security</w:t>
      </w:r>
    </w:p>
    <w:p>
      <w:pPr>
        <w:spacing w:after="160"/>
      </w:pPr>
      <w:r>
        <w:t xml:space="preserve">We restrict access to your data to the staff who need it for your care, encrypt data in transit and at rest, and keep an immutable log of every access to and change of your clinical record. No system is completely secure, and we will tell you and, where the law requires it, the NDPC, if we become aware of a breach affecting your personal data.</w:t>
      </w:r>
    </w:p>
    <w:p>
      <w:pPr>
        <w:pStyle w:val="Heading1"/>
        <w:spacing w:after="160" w:before="240"/>
      </w:pPr>
      <w:r>
        <w:rPr>
          <w:color w:val="0E7C52"/>
        </w:rPr>
        <w:t xml:space="preserve">Family, guardian, and next-of-kin data</w:t>
      </w:r>
    </w:p>
    <w:p>
      <w:pPr>
        <w:spacing w:after="160"/>
      </w:pPr>
      <w:r>
        <w:t xml:space="preserve">Every adult keeps their own individual account — TarragonHealth does not offer a shared or discounted household subscription. Within that individual-account model, three separate mechanisms let family members be involved in each other's care, each requiring active consent from the account holder (or their guardian, for a child):</w:t>
      </w:r>
    </w:p>
    <w:p>
      <w:pPr>
        <w:pStyle w:val="ListParagraph"/>
        <w:numPr>
          <w:ilvl w:val="0"/>
          <w:numId w:val="1"/>
        </w:numPr>
        <w:spacing w:after="100"/>
      </w:pPr>
      <w:r>
        <w:t xml:space="preserve">If you enrol a child under 18 as your dependant, you are their guardian for the purposes of this notice: you confirm you have the legal authority to consent to their information being processed, and you are responsible for the accuracy of what you record on their behalf.</w:t>
      </w:r>
    </w:p>
    <w:p>
      <w:pPr>
        <w:pStyle w:val="ListParagraph"/>
        <w:numPr>
          <w:ilvl w:val="0"/>
          <w:numId w:val="1"/>
        </w:numPr>
        <w:spacing w:after="100"/>
      </w:pPr>
      <w:r>
        <w:t xml:space="preserve">You may name a next of kin, who can view (but not edit) your care and can be contacted if something goes wrong. The person you name must actively accept before they gain any access — naming them alone does not grant it.</w:t>
      </w:r>
    </w:p>
    <w:p>
      <w:pPr>
        <w:pStyle w:val="ListParagraph"/>
        <w:numPr>
          <w:ilvl w:val="0"/>
          <w:numId w:val="1"/>
        </w:numPr>
        <w:spacing w:after="100"/>
      </w:pPr>
      <w:r>
        <w:t xml:space="preserve">Two adults (for example, an adult child and an elderly parent) may separately set up a "manage" arrangement, where one person handles bookings and records for the other — again, requiring the other party's active acceptance, not a unilateral grant.</w:t>
      </w:r>
    </w:p>
    <w:p>
      <w:pPr>
        <w:spacing w:after="160"/>
      </w:pPr>
      <w:r>
        <w:rPr>
          <w:b/>
          <w:bCs/>
          <w:color w:val="C0392B"/>
        </w:rPr>
        <w:t xml:space="preserve">[Counsel to confirm the Act's threshold for "child" data requiring guardian consent, that this dependant-enrolment mechanism satisfies it, and that the next-of-kin/manage consent mechanisms above are an adequate basis for one adult's access to another's health data.]</w:t>
      </w:r>
    </w:p>
    <w:p>
      <w:pPr>
        <w:pStyle w:val="Heading1"/>
        <w:spacing w:after="160" w:before="240"/>
      </w:pPr>
      <w:r>
        <w:rPr>
          <w:color w:val="0E7C52"/>
        </w:rPr>
        <w:t xml:space="preserve">Changes to this notice</w:t>
      </w:r>
    </w:p>
    <w:p>
      <w:pPr>
        <w:spacing w:after="160"/>
      </w:pPr>
      <w:r>
        <w:t xml:space="preserve">We may update this notice as the platform changes. We will show you the current version and ask you to accept it again if a material change affects how your data is used.</w:t>
      </w:r>
    </w:p>
    <w:p>
      <w:pPr>
        <w:pStyle w:val="Heading1"/>
        <w:spacing w:after="160" w:before="240"/>
      </w:pPr>
      <w:r>
        <w:rPr>
          <w:color w:val="0E7C52"/>
        </w:rPr>
        <w:t xml:space="preserve">Contact and complaints</w:t>
      </w:r>
    </w:p>
    <w:p>
      <w:pPr>
        <w:spacing w:after="160"/>
      </w:pPr>
      <w:r>
        <w:t xml:space="preserve">Email privacy@tarragonhealth.ng with any question, request, or complaint about how we handle your data. You may also complain directly to the Nigeria Data Protection Commission.</w:t>
      </w:r>
    </w:p>
    <w:p>
      <w:r>
        <w:br w:type="page"/>
      </w:r>
    </w:p>
    <w:p>
      <w:pPr>
        <w:pStyle w:val="Title"/>
        <w:spacing w:after="200" w:before="200"/>
        <w:jc w:val="center"/>
      </w:pPr>
      <w:r>
        <w:rPr>
          <w:b/>
          <w:bCs/>
          <w:color w:val="0E7C52"/>
        </w:rPr>
        <w:t xml:space="preserve">Schedule B — Telehealth Consent</w:t>
      </w:r>
    </w:p>
    <w:p>
      <w:pPr>
        <w:spacing w:after="200"/>
      </w:pPr>
      <w:r>
        <w:rPr>
          <w:i/>
          <w:iCs/>
          <w:color w:val="666666"/>
          <w:sz w:val="20"/>
          <w:szCs w:val="20"/>
        </w:rPr>
        <w:t xml:space="preserve">Draft for legal review — not yet approved by counsel. Version 2026-07-30-v3 (rewritten to match the platform as actually built in `apps/web`, after the narrow cardiometabolic-only pivot described in v2 was reversed the same evening it was adopted — see `CLAUDE.md`'s "PIVOT REVERSED" banner). This text is the canonical source for the `telehealth` consent content and for any future public/patient-facing rendering of it; edit here first, then re-sync wherever it's reused.</w:t>
      </w:r>
    </w:p>
    <w:p>
      <w:pPr>
        <w:pStyle w:val="Heading1"/>
        <w:spacing w:after="160" w:before="240"/>
      </w:pPr>
      <w:r>
        <w:rPr>
          <w:color w:val="0E7C52"/>
        </w:rPr>
        <w:t xml:space="preserve">About this document</w:t>
      </w:r>
    </w:p>
    <w:p>
      <w:pPr>
        <w:spacing w:after="160"/>
      </w:pPr>
      <w:r>
        <w:t xml:space="preserve">This is TarragonHealth's Telehealth Consent — Schedule B of our legal documentation. Version 2026-07-30-v3, published 30 July 2026. This document is currently in draft and pending final review by our legal counsel.</w:t>
      </w:r>
    </w:p>
    <w:p>
      <w:pPr>
        <w:pStyle w:val="Heading1"/>
        <w:spacing w:after="160" w:before="240"/>
      </w:pPr>
      <w:r>
        <w:rPr>
          <w:color w:val="0E7C52"/>
        </w:rPr>
        <w:t xml:space="preserve">What this consent covers</w:t>
      </w:r>
    </w:p>
    <w:p>
      <w:pPr>
        <w:spacing w:after="160"/>
      </w:pPr>
      <w:r>
        <w:t xml:space="preserve">This is your consent to receive clinical monitoring, classification, and review from TarragonHealth remotely, and to be contacted by phone, message, or in the app as part of that care. It is separate from, and in addition to, our data processing consent and our terms of service.</w:t>
      </w:r>
    </w:p>
    <w:p>
      <w:pPr>
        <w:pStyle w:val="Heading1"/>
        <w:spacing w:after="160" w:before="240"/>
      </w:pPr>
      <w:r>
        <w:rPr>
          <w:color w:val="0E7C52"/>
        </w:rPr>
        <w:t xml:space="preserve">Your care team</w:t>
      </w:r>
    </w:p>
    <w:p>
      <w:pPr>
        <w:spacing w:after="160"/>
      </w:pPr>
      <w:r>
        <w:t xml:space="preserve">Every clinical judgment about your care is made by a doctor registered with the Medical and Dental Council of Nigeria (MDCN), whose registration is verified before they can see patients and checked continuously afterwards — a doctor whose registration or indemnity cover lapses is automatically suspended from seeing patients that same night. Your care may involve several people at different levels of seniority, and your record always shows plainly who did what:</w:t>
      </w:r>
    </w:p>
    <w:p>
      <w:pPr>
        <w:pStyle w:val="ListParagraph"/>
        <w:numPr>
          <w:ilvl w:val="0"/>
          <w:numId w:val="1"/>
        </w:numPr>
        <w:spacing w:after="100"/>
      </w:pPr>
      <w:r>
        <w:t xml:space="preserve">A </w:t>
      </w:r>
      <w:r>
        <w:rPr>
          <w:b/>
          <w:bCs/>
        </w:rPr>
        <w:t xml:space="preserve">Care Coordinator</w:t>
      </w:r>
      <w:r>
        <w:t xml:space="preserve"> (non-clinical) follows up if we haven't heard from you and helps with logistics like booking a lab test or refill — they can see your progress record but cannot read your clinical notes, interpret a result, adjust a medication, or close an escalation.</w:t>
      </w:r>
    </w:p>
    <w:p>
      <w:pPr>
        <w:pStyle w:val="ListParagraph"/>
        <w:numPr>
          <w:ilvl w:val="0"/>
          <w:numId w:val="1"/>
        </w:numPr>
        <w:spacing w:after="100"/>
      </w:pPr>
      <w:r>
        <w:rPr>
          <w:b/>
          <w:bCs/>
        </w:rPr>
        <w:t xml:space="preserve">Medical Officers</w:t>
      </w:r>
      <w:r>
        <w:t xml:space="preserve"> at increasing levels of seniority review routine results, confirm stable prescriptions, and (at the more senior levels) initiate new medications or manage complex cases.</w:t>
      </w:r>
    </w:p>
    <w:p>
      <w:pPr>
        <w:pStyle w:val="ListParagraph"/>
        <w:numPr>
          <w:ilvl w:val="0"/>
          <w:numId w:val="1"/>
        </w:numPr>
        <w:spacing w:after="100"/>
      </w:pPr>
      <w:r>
        <w:t xml:space="preserve">A </w:t>
      </w:r>
      <w:r>
        <w:rPr>
          <w:b/>
          <w:bCs/>
        </w:rPr>
        <w:t xml:space="preserve">Senior Registrar</w:t>
      </w:r>
      <w:r>
        <w:t xml:space="preserve"> or </w:t>
      </w:r>
      <w:r>
        <w:rPr>
          <w:b/>
          <w:bCs/>
        </w:rPr>
        <w:t xml:space="preserve">Partner Specialist</w:t>
      </w:r>
      <w:r>
        <w:t xml:space="preserve"> may be brought in for a pre-referral consult or a specialist opinion on a complex case.</w:t>
      </w:r>
    </w:p>
    <w:p>
      <w:pPr>
        <w:spacing w:after="160"/>
      </w:pPr>
      <w:r>
        <w:t xml:space="preserve">Whenever you see a note that says a doctor reviewed something, it is tied to a real record of who reviewed it and when — never a generic claim. TarragonHealth directly employs its day-to-day care-team doctors.</w:t>
      </w:r>
    </w:p>
    <w:p>
      <w:pPr>
        <w:spacing w:after="160"/>
      </w:pPr>
      <w:r>
        <w:rPr>
          <w:b/>
          <w:bCs/>
          <w:color w:val="C0392B"/>
        </w:rPr>
        <w:t xml:space="preserve">[We have not yet obtained MDCN/regulatory confirmation that this tiered review structure is compliant; do not represent it to a patient or a regulator as already approved. Counsel to advise.]</w:t>
      </w:r>
    </w:p>
    <w:p>
      <w:pPr>
        <w:pStyle w:val="Heading1"/>
        <w:spacing w:after="160" w:before="240"/>
      </w:pPr>
      <w:r>
        <w:rPr>
          <w:color w:val="0E7C52"/>
        </w:rPr>
        <w:t xml:space="preserve">How your results are classified and how we respond</w:t>
      </w:r>
    </w:p>
    <w:p>
      <w:pPr>
        <w:spacing w:after="160"/>
      </w:pPr>
      <w:r>
        <w:t xml:space="preserve">Every reading you log is classified, automatically, against a published clinical protocol — even a normal reading gets a record, so nothing is silently skipped. How quickly we respond depends on what triggered the classification, not a single flat rule for everything — a positive self-harm or mental-health screen, for example, is treated faster than a routine borderline reading, because the two situations are not equally urgent. Our current, clinically-approved response targets are:</w:t>
      </w:r>
    </w:p>
    <w:p>
      <w:pPr>
        <w:pStyle w:val="ListParagraph"/>
        <w:numPr>
          <w:ilvl w:val="0"/>
          <w:numId w:val="1"/>
        </w:numPr>
        <w:spacing w:after="100"/>
      </w:pPr>
      <w:r>
        <w:rPr>
          <w:b/>
          <w:bCs/>
        </w:rPr>
        <w:t xml:space="preserve">Emergency</w:t>
      </w:r>
      <w:r>
        <w:t xml:space="preserve"> — as fast as 15 minutes for a self-harm risk flag, and up to 2 hours for a critical screening result or a reported danger symptom (for example, a hypertensive-crisis reading). We contact you on every channel at once and, for a reported danger symptom, document an attempt to reach your emergency contact if we cannot reach you. A case classified emergency cannot be closed from a written note alone — our system requires your doctor to have had a real-time voice or video conversation with you first.</w:t>
      </w:r>
    </w:p>
    <w:p>
      <w:pPr>
        <w:pStyle w:val="ListParagraph"/>
        <w:numPr>
          <w:ilvl w:val="0"/>
          <w:numId w:val="1"/>
        </w:numPr>
        <w:spacing w:after="100"/>
      </w:pPr>
      <w:r>
        <w:rPr>
          <w:b/>
          <w:bCs/>
        </w:rPr>
        <w:t xml:space="preserve">Urgent</w:t>
      </w:r>
      <w:r>
        <w:t xml:space="preserve"> — typically within 1 hour (for example, a red-range home blood pressure reading), up to 4 hours for a reported foot problem, and up to 24 hours for a non-critical abnormal screening result.</w:t>
      </w:r>
    </w:p>
    <w:p>
      <w:pPr>
        <w:pStyle w:val="ListParagraph"/>
        <w:numPr>
          <w:ilvl w:val="0"/>
          <w:numId w:val="1"/>
        </w:numPr>
        <w:spacing w:after="100"/>
      </w:pPr>
      <w:r>
        <w:rPr>
          <w:b/>
          <w:bCs/>
        </w:rPr>
        <w:t xml:space="preserve">Needs clinician review</w:t>
      </w:r>
      <w:r>
        <w:t xml:space="preserve"> — within 3 days (for example, a reading above target but not in a danger range, or a pattern of missed readings we want a clinician to look at).</w:t>
      </w:r>
    </w:p>
    <w:p>
      <w:pPr>
        <w:pStyle w:val="ListParagraph"/>
        <w:numPr>
          <w:ilvl w:val="0"/>
          <w:numId w:val="1"/>
        </w:numPr>
        <w:spacing w:after="100"/>
      </w:pPr>
      <w:r>
        <w:rPr>
          <w:b/>
          <w:bCs/>
        </w:rPr>
        <w:t xml:space="preserve">Routine</w:t>
      </w:r>
      <w:r>
        <w:t xml:space="preserve"> — within 7 days.</w:t>
      </w:r>
    </w:p>
    <w:p>
      <w:pPr>
        <w:spacing w:after="160"/>
      </w:pPr>
      <w:r>
        <w:t xml:space="preserve">These are the service standards we hold ourselves to today, set out in a versioned internal configuration a Clinical Director signs off on, not guarantees of a specific outcome in every case — how quickly we can reach you also depends on you being reachable. </w:t>
      </w:r>
      <w:r>
        <w:rPr>
          <w:b/>
          <w:bCs/>
          <w:color w:val="C0392B"/>
        </w:rPr>
        <w:t xml:space="preserve">[Counsel: the founder has confirmed these targets are deliberately differentiated by clinical situation rather than collapsed to one number; flag if a simpler patient-facing summary is legally preferable to the tiered detail above.]</w:t>
      </w:r>
    </w:p>
    <w:p>
      <w:pPr>
        <w:pStyle w:val="Heading1"/>
        <w:spacing w:after="160" w:before="240"/>
      </w:pPr>
      <w:r>
        <w:rPr>
          <w:color w:val="0E7C52"/>
        </w:rPr>
        <w:t xml:space="preserve">How we communicate with you</w:t>
      </w:r>
    </w:p>
    <w:p>
      <w:pPr>
        <w:spacing w:after="160"/>
      </w:pPr>
      <w:r>
        <w:t xml:space="preserve">Different channels carry different kinds of information, on purpose:</w:t>
      </w:r>
    </w:p>
    <w:p>
      <w:pPr>
        <w:pStyle w:val="ListParagraph"/>
        <w:numPr>
          <w:ilvl w:val="0"/>
          <w:numId w:val="1"/>
        </w:numPr>
        <w:spacing w:after="100"/>
      </w:pPr>
      <w:r>
        <w:t xml:space="preserve">The app is your record — your ongoing conversation with your care team, your results, your care plan, and your consent history live here. This in-app conversation is the primary channel for anything clinical.</w:t>
      </w:r>
    </w:p>
    <w:p>
      <w:pPr>
        <w:pStyle w:val="ListParagraph"/>
        <w:numPr>
          <w:ilvl w:val="0"/>
          <w:numId w:val="1"/>
        </w:numPr>
        <w:spacing w:after="100"/>
      </w:pPr>
      <w:r>
        <w:t xml:space="preserve">A phone or video call is how clinical judgement is delivered when something needs real-time discussion — your doctor's number is masked when we connect a call through the platform, and the call is logged to your record.</w:t>
      </w:r>
    </w:p>
    <w:p>
      <w:pPr>
        <w:pStyle w:val="ListParagraph"/>
        <w:numPr>
          <w:ilvl w:val="0"/>
          <w:numId w:val="1"/>
        </w:numPr>
        <w:spacing w:after="100"/>
      </w:pPr>
      <w:r>
        <w:t xml:space="preserve">SMS is used for urgent backup, and as the primary channel if you've told us you don't use a smartphone.</w:t>
      </w:r>
    </w:p>
    <w:p>
      <w:pPr>
        <w:pStyle w:val="ListParagraph"/>
        <w:numPr>
          <w:ilvl w:val="0"/>
          <w:numId w:val="1"/>
        </w:numPr>
        <w:spacing w:after="100"/>
      </w:pPr>
      <w:r>
        <w:t xml:space="preserve">WhatsApp carries reminders, alerts, and confirmations — a short message telling you a result is ready or a check-in is due, so you open the app. It never contains a specific number, result, diagnosis, or medication name — our system enforces this at the database level, not just by convention. Separately, you may message your care team for support over WhatsApp, and a person there may reply to you on WhatsApp too; this is a human-routed help channel, never something automated turns into a clinical decision, and it is never required — you can always reach your care team through the app instead.</w:t>
      </w:r>
    </w:p>
    <w:p>
      <w:pPr>
        <w:pStyle w:val="ListParagraph"/>
        <w:numPr>
          <w:ilvl w:val="0"/>
          <w:numId w:val="1"/>
        </w:numPr>
        <w:spacing w:after="100"/>
      </w:pPr>
      <w:r>
        <w:t xml:space="preserve">Email carries documents — receipts, reports, and copies of your consent records.</w:t>
      </w:r>
    </w:p>
    <w:p>
      <w:pPr>
        <w:pStyle w:val="Heading1"/>
        <w:spacing w:after="160" w:before="240"/>
      </w:pPr>
      <w:r>
        <w:rPr>
          <w:color w:val="0E7C52"/>
        </w:rPr>
        <w:t xml:space="preserve">What remote monitoring can and cannot do</w:t>
      </w:r>
    </w:p>
    <w:p>
      <w:pPr>
        <w:spacing w:after="160"/>
      </w:pPr>
      <w:r>
        <w:t xml:space="preserve">Remote monitoring lets your care team review your readings and respond between visits, without you needing to travel for every check. It has real limits: your doctor cannot examine you in person, and their assessment is based on the readings and information you provide. If something needs an in-person assessment, your care team will tell you and refer you appropriately.</w:t>
      </w:r>
    </w:p>
    <w:p>
      <w:pPr>
        <w:pStyle w:val="Heading1"/>
        <w:spacing w:after="160" w:before="240"/>
      </w:pPr>
      <w:r>
        <w:rPr>
          <w:color w:val="0E7C52"/>
        </w:rPr>
        <w:t xml:space="preserve">Emergency care</w:t>
      </w:r>
    </w:p>
    <w:p>
      <w:pPr>
        <w:spacing w:after="160"/>
      </w:pPr>
      <w:r>
        <w:t xml:space="preserve">TarragonHealth does not provide emergency care. If you are having a medical emergency, do not wait for a message or a call from us. Go to the nearest hospital or call </w:t>
      </w:r>
      <w:r>
        <w:rPr>
          <w:b/>
          <w:bCs/>
          <w:color w:val="C0392B"/>
        </w:rPr>
        <w:t xml:space="preserve">[Nigeria's emergency line — exact number to be confirmed]</w:t>
      </w:r>
      <w:r>
        <w:t xml:space="preserve"> immediately. No part of this platform is designed to be used in an emergency.</w:t>
      </w:r>
    </w:p>
    <w:p>
      <w:pPr>
        <w:pStyle w:val="Heading1"/>
        <w:spacing w:after="160" w:before="240"/>
      </w:pPr>
      <w:r>
        <w:rPr>
          <w:color w:val="0E7C52"/>
        </w:rPr>
        <w:t xml:space="preserve">Confidentiality</w:t>
      </w:r>
    </w:p>
    <w:p>
      <w:pPr>
        <w:spacing w:after="160"/>
      </w:pPr>
      <w:r>
        <w:t xml:space="preserve">Your clinical information is kept confidential. It is shared with your care team on a need-to-know basis, and outside that only with your specific consent, where the law requires disclosure, or where there is a serious threat to your life, health, or public health. See our Data Processing Consent for how we handle your data more broadly.</w:t>
      </w:r>
    </w:p>
    <w:p>
      <w:pPr>
        <w:pStyle w:val="Heading1"/>
        <w:spacing w:after="160" w:before="240"/>
      </w:pPr>
      <w:r>
        <w:rPr>
          <w:color w:val="0E7C52"/>
        </w:rPr>
        <w:t xml:space="preserve">Your right to information and to take part in your care</w:t>
      </w:r>
    </w:p>
    <w:p>
      <w:pPr>
        <w:spacing w:after="160"/>
      </w:pPr>
      <w:r>
        <w:t xml:space="preserve">Every message and note tells you who is speaking to you and their MDCN number where relevant. You can see every clinical action taken on your record, in plain language, at any time.</w:t>
      </w:r>
    </w:p>
    <w:p>
      <w:pPr>
        <w:pStyle w:val="Heading1"/>
        <w:spacing w:after="160" w:before="240"/>
      </w:pPr>
      <w:r>
        <w:rPr>
          <w:color w:val="0E7C52"/>
        </w:rPr>
        <w:t xml:space="preserve">Your right to consent, and to refuse</w:t>
      </w:r>
    </w:p>
    <w:p>
      <w:pPr>
        <w:spacing w:after="160"/>
      </w:pPr>
      <w:r>
        <w:t xml:space="preserve">You can decline a specific recommendation. Declining does not end your access to the rest of the platform, unless what you are declining is safety-critical, in which case we will tell you clearly why.</w:t>
      </w:r>
    </w:p>
    <w:p>
      <w:pPr>
        <w:pStyle w:val="Heading1"/>
        <w:spacing w:after="160" w:before="240"/>
      </w:pPr>
      <w:r>
        <w:rPr>
          <w:color w:val="0E7C52"/>
        </w:rPr>
        <w:t xml:space="preserve">Withdrawing this consent</w:t>
      </w:r>
    </w:p>
    <w:p>
      <w:pPr>
        <w:spacing w:after="160"/>
      </w:pPr>
      <w:r>
        <w:t xml:space="preserve">You can withdraw this consent at any time. Withdrawing ends remote clinical review going forward; it does not delete your existing health record, which we keep in line with our Data Processing Consent.</w:t>
      </w:r>
    </w:p>
    <w:p>
      <w:pPr>
        <w:pStyle w:val="Heading1"/>
        <w:spacing w:after="160" w:before="240"/>
      </w:pPr>
      <w:r>
        <w:rPr>
          <w:color w:val="0E7C52"/>
        </w:rPr>
        <w:t xml:space="preserve">Contact</w:t>
      </w:r>
    </w:p>
    <w:p>
      <w:pPr>
        <w:spacing w:after="160"/>
      </w:pPr>
      <w:r>
        <w:t xml:space="preserve">Questions about your care or this consent: support@tarragonhealth.ng.</w:t>
      </w:r>
    </w:p>
    <w:p>
      <w:r>
        <w:br w:type="page"/>
      </w:r>
    </w:p>
    <w:p>
      <w:pPr>
        <w:pStyle w:val="Title"/>
        <w:spacing w:after="200" w:before="200"/>
        <w:jc w:val="center"/>
      </w:pPr>
      <w:r>
        <w:rPr>
          <w:b/>
          <w:bCs/>
          <w:color w:val="0E7C52"/>
        </w:rPr>
        <w:t xml:space="preserve">Schedule C — Terms of Service</w:t>
      </w:r>
    </w:p>
    <w:p>
      <w:pPr>
        <w:spacing w:after="200"/>
      </w:pPr>
      <w:r>
        <w:rPr>
          <w:i/>
          <w:iCs/>
          <w:color w:val="666666"/>
          <w:sz w:val="20"/>
          <w:szCs w:val="20"/>
        </w:rPr>
        <w:t xml:space="preserve">Draft for legal review — not yet approved by counsel. Version 2026-07-30-v3 (rewritten to match the platform as actually built in `apps/web`, after the narrow cardiometabolic-only pivot described in v2 was reversed the same evening it was adopted — see `CLAUDE.md`'s "PIVOT REVERSED" banner). This text is the canonical source for the `terms_of_service` consent content and for any future public/patient-facing rendering of it; edit here first, then re-sync wherever it's reused.</w:t>
      </w:r>
    </w:p>
    <w:p>
      <w:pPr>
        <w:pStyle w:val="Heading1"/>
        <w:spacing w:after="160" w:before="240"/>
      </w:pPr>
      <w:r>
        <w:rPr>
          <w:color w:val="0E7C52"/>
        </w:rPr>
        <w:t xml:space="preserve">About this document</w:t>
      </w:r>
    </w:p>
    <w:p>
      <w:pPr>
        <w:spacing w:after="160"/>
      </w:pPr>
      <w:r>
        <w:t xml:space="preserve">This is TarragonHealth's Terms of Service — Schedule C of our legal documentation. Version 2026-07-30-v3, published 30 July 2026. This document is currently in draft and pending final review by our legal counsel.</w:t>
      </w:r>
    </w:p>
    <w:p>
      <w:pPr>
        <w:pStyle w:val="Heading1"/>
        <w:spacing w:after="160" w:before="240"/>
      </w:pPr>
      <w:r>
        <w:rPr>
          <w:color w:val="0E7C52"/>
        </w:rPr>
        <w:t xml:space="preserve">Acceptance of these terms</w:t>
      </w:r>
    </w:p>
    <w:p>
      <w:pPr>
        <w:spacing w:after="160"/>
      </w:pPr>
      <w:r>
        <w:t xml:space="preserve">By enrolling with TarragonHealth, you agree to these terms, our Data Processing Consent, and our Telehealth Consent. If you do not agree, do not use the platform.</w:t>
      </w:r>
    </w:p>
    <w:p>
      <w:pPr>
        <w:pStyle w:val="Heading1"/>
        <w:spacing w:after="160" w:before="240"/>
      </w:pPr>
      <w:r>
        <w:rPr>
          <w:color w:val="0E7C52"/>
        </w:rPr>
        <w:t xml:space="preserve">Eligibility and accounts</w:t>
      </w:r>
    </w:p>
    <w:p>
      <w:pPr>
        <w:spacing w:after="160"/>
      </w:pPr>
      <w:r>
        <w:t xml:space="preserve">You must be at least 18 years old to hold your own account. Every adult keeps their own individual account — we do not offer a shared or discounted household subscription. Within that model: an adult may enrol a child under 18 as their dependant and manage their care directly; you may name a next of kin who can view (but not edit) your care and be contacted in an emergency; and two adults may separately set up an arrangement where one manages bookings and records for the other (for example, an adult child helping an elderly parent) — see our Data Processing Consent for how each of these requires the other person's active acceptance. You are responsible for the accuracy of the information you provide, including anything you record on a dependant's or managed account's behalf, and for keeping your login secure.</w:t>
      </w:r>
    </w:p>
    <w:p>
      <w:pPr>
        <w:pStyle w:val="Heading1"/>
        <w:spacing w:after="160" w:before="240"/>
      </w:pPr>
      <w:r>
        <w:rPr>
          <w:color w:val="0E7C52"/>
        </w:rPr>
        <w:t xml:space="preserve">What TarragonHealth is, and isn't</w:t>
      </w:r>
    </w:p>
    <w:p>
      <w:pPr>
        <w:spacing w:after="160"/>
      </w:pPr>
      <w:r>
        <w:t xml:space="preserve">TarragonHealth is a care coordination platform connecting you with doctors, labs, pharmacies, and specialists across chronic disease management, preventive screening, and care coordination, for individuals and through employer/HMO programmes. We do not own or operate any hospital, clinic, laboratory, or screening facility. We are not an emergency service — see Schedule B. We are not an insurer: nothing on the platform is capitation, claims cover, or any form of risk transfer — this is enforced structurally in our systems, not just stated as policy — and where we bill an organisation for its members' access, that billing is a service fee, never a per-member premium.</w:t>
      </w:r>
    </w:p>
    <w:p>
      <w:pPr>
        <w:pStyle w:val="Heading1"/>
        <w:spacing w:after="160" w:before="240"/>
      </w:pPr>
      <w:r>
        <w:rPr>
          <w:color w:val="0E7C52"/>
        </w:rPr>
        <w:t xml:space="preserve">Individual and organisational access</w:t>
      </w:r>
    </w:p>
    <w:p>
      <w:pPr>
        <w:spacing w:after="160"/>
      </w:pPr>
      <w:r>
        <w:t xml:space="preserve">You can enrol and pay for TarragonHealth directly. You may also be enrolled through an employer or HMO that covers your access — if so, that organisation only ever sees aggregate statistics about its whole covered group, never anything about you individually (see our Data Processing Consent).</w:t>
      </w:r>
    </w:p>
    <w:p>
      <w:pPr>
        <w:spacing w:after="160"/>
      </w:pPr>
      <w:r>
        <w:rPr>
          <w:b/>
          <w:bCs/>
          <w:color w:val="C0392B"/>
        </w:rPr>
        <w:t xml:space="preserve">[Where TarragonHealth sells to an organisation directly, that relationship is expected to be governed by a separate commercial agreement with the organisation, not by these terms — counsel to confirm whether that agreement exists and whether it needs to be produced alongside this package. See the accompanying memo, Question 8.]</w:t>
      </w:r>
    </w:p>
    <w:p>
      <w:pPr>
        <w:pStyle w:val="Heading1"/>
        <w:spacing w:after="160" w:before="240"/>
      </w:pPr>
      <w:r>
        <w:rPr>
          <w:color w:val="0E7C52"/>
        </w:rPr>
        <w:t xml:space="preserve">Your subscription</w:t>
      </w:r>
    </w:p>
    <w:p>
      <w:pPr>
        <w:spacing w:after="160"/>
      </w:pPr>
      <w:r>
        <w:t xml:space="preserve">Every plan's price is set and stored in Naira. If you pay in US Dollars, the amount charged is derived directly from the Naira price at a published exchange rate we set and may update from time to time — there is no separately negotiated foreign-currency price list, and we do not currently offer pricing in Pounds Sterling. Your subscription automatically renews at the end of each billing period unless you cancel before the renewal date, and — where available — you can turn automatic renewal off while keeping access for the period you've already paid for.</w:t>
      </w:r>
    </w:p>
    <w:p>
      <w:pPr>
        <w:spacing w:after="160"/>
      </w:pPr>
      <w:r>
        <w:rPr>
          <w:b/>
          <w:bCs/>
          <w:color w:val="C0392B"/>
        </w:rPr>
        <w:t xml:space="preserve">[CONFIRM: how a Bluetooth monitoring device bundled with a plan is priced and provided — e.g. included with certain plans, sold separately, or offered on a deposit basis. Do not restate the specific "annual includes it, monthly gets a six-month rebate" mechanic from the prior draft until it is confirmed against what the platform actually does.]</w:t>
      </w:r>
    </w:p>
    <w:p>
      <w:pPr>
        <w:pStyle w:val="Heading1"/>
        <w:spacing w:after="160" w:before="240"/>
      </w:pPr>
      <w:r>
        <w:rPr>
          <w:color w:val="0E7C52"/>
        </w:rPr>
        <w:t xml:space="preserve">Cancelling and refunds</w:t>
      </w:r>
    </w:p>
    <w:p>
      <w:pPr>
        <w:spacing w:after="160"/>
      </w:pPr>
      <w:r>
        <w:t xml:space="preserve">You can cancel at any time from your account settings. Cancelling stops your subscription from renewing; you keep full access through the end of the period you have already paid for. We do not provide a partial or pro-rata refund for the unused portion of a period you cancel mid-cycle, except where required by applicable law or where we decide, at our discretion, that a billing error or a service failure attributable to us warrants one.</w:t>
      </w:r>
    </w:p>
    <w:p>
      <w:pPr>
        <w:spacing w:after="160"/>
      </w:pPr>
      <w:r>
        <w:rPr>
          <w:b/>
          <w:bCs/>
          <w:color w:val="C0392B"/>
        </w:rPr>
        <w:t xml:space="preserve">[Counsel to confirm whether Nigerian consumer protection law (the FCCPC framework) requires a cooling-off period or a different refund position than the one stated above. See the accompanying memo, Question 8.]</w:t>
      </w:r>
    </w:p>
    <w:p>
      <w:pPr>
        <w:pStyle w:val="Heading1"/>
        <w:spacing w:after="160" w:before="240"/>
      </w:pPr>
      <w:r>
        <w:rPr>
          <w:color w:val="0E7C52"/>
        </w:rPr>
        <w:t xml:space="preserve">Your monitoring device</w:t>
      </w:r>
    </w:p>
    <w:p>
      <w:pPr>
        <w:spacing w:after="160"/>
      </w:pPr>
      <w:r>
        <w:t xml:space="preserve">Where your plan includes a device, it is provided to help you monitor your condition accurately. Depending on your plan, it may be sold to you, provided on a service-credit basis, or provided on a deposit-and-loan basis (in which case it remains TarragonHealth's property) — we will always tell you which applies before you take a device. We never finance a device over instalments. If your device is faulty, tell us — a device we cannot trust to give you a real reading undermines the reason we gave it to you.</w:t>
      </w:r>
    </w:p>
    <w:p>
      <w:pPr>
        <w:pStyle w:val="Heading1"/>
        <w:spacing w:after="160" w:before="240"/>
      </w:pPr>
      <w:r>
        <w:rPr>
          <w:color w:val="0E7C52"/>
        </w:rPr>
        <w:t xml:space="preserve">Fees and price changes</w:t>
      </w:r>
    </w:p>
    <w:p>
      <w:pPr>
        <w:spacing w:after="160"/>
      </w:pPr>
      <w:r>
        <w:t xml:space="preserve">We may change our prices. If a change affects your existing subscription, we will give you at least 30 days' notice before it takes effect, and you may cancel before the new price applies.</w:t>
      </w:r>
    </w:p>
    <w:p>
      <w:pPr>
        <w:pStyle w:val="Heading1"/>
        <w:spacing w:after="160" w:before="240"/>
      </w:pPr>
      <w:r>
        <w:rPr>
          <w:color w:val="0E7C52"/>
        </w:rPr>
        <w:t xml:space="preserve">Acceptable use</w:t>
      </w:r>
    </w:p>
    <w:p>
      <w:pPr>
        <w:spacing w:after="160"/>
      </w:pPr>
      <w:r>
        <w:t xml:space="preserve">You agree to provide accurate information, not to impersonate another person or misrepresent your relationship to a dependant you manage, not to misuse the platform to harass our staff or other users, and not to attempt to bypass the platform's security or access controls.</w:t>
      </w:r>
    </w:p>
    <w:p>
      <w:pPr>
        <w:pStyle w:val="Heading1"/>
        <w:spacing w:after="160" w:before="240"/>
      </w:pPr>
      <w:r>
        <w:rPr>
          <w:color w:val="0E7C52"/>
        </w:rPr>
        <w:t xml:space="preserve">Intellectual property</w:t>
      </w:r>
    </w:p>
    <w:p>
      <w:pPr>
        <w:spacing w:after="160"/>
      </w:pPr>
      <w:r>
        <w:t xml:space="preserve">The TarragonHealth name, brand, and the software and content that make up the platform belong to us or our licensors. We grant you a personal, non-transferable licence to use the platform for your own care or the care of a dependant you manage. You may not copy, resell, or build a competing service from our platform or content.</w:t>
      </w:r>
    </w:p>
    <w:p>
      <w:pPr>
        <w:pStyle w:val="Heading1"/>
        <w:spacing w:after="160" w:before="240"/>
      </w:pPr>
      <w:r>
        <w:rPr>
          <w:color w:val="0E7C52"/>
        </w:rPr>
        <w:t xml:space="preserve">Third-party services</w:t>
      </w:r>
    </w:p>
    <w:p>
      <w:pPr>
        <w:spacing w:after="160"/>
      </w:pPr>
      <w:r>
        <w:t xml:space="preserve">The platform links to and integrates with services we do not control, including Paystack, Stripe, WhatsApp, and our partner laboratories and pharmacies. Your use of those services is subject to their own terms, and we are not responsible for their acts, omissions, or availability.</w:t>
      </w:r>
    </w:p>
    <w:p>
      <w:pPr>
        <w:pStyle w:val="Heading1"/>
        <w:spacing w:after="160" w:before="240"/>
      </w:pPr>
      <w:r>
        <w:rPr>
          <w:color w:val="0E7C52"/>
        </w:rPr>
        <w:t xml:space="preserve">Disclaimers and limitation of liability</w:t>
      </w:r>
    </w:p>
    <w:p>
      <w:pPr>
        <w:spacing w:after="160"/>
      </w:pPr>
      <w:r>
        <w:t xml:space="preserve">The platform is provided on an "as available" basis. To the maximum extent permitted by law, our liability to you is limited.</w:t>
      </w:r>
    </w:p>
    <w:p>
      <w:pPr>
        <w:spacing w:after="160"/>
      </w:pPr>
      <w:r>
        <w:rPr>
          <w:b/>
          <w:bCs/>
          <w:color w:val="C0392B"/>
        </w:rPr>
        <w:t xml:space="preserve">[Counsel to set the specific limitation-of-liability cap and structure, and confirm it is enforceable for a health-adjacent consumer service under Nigerian law.]</w:t>
      </w:r>
    </w:p>
    <w:p>
      <w:pPr>
        <w:pStyle w:val="Heading1"/>
        <w:spacing w:after="160" w:before="240"/>
      </w:pPr>
      <w:r>
        <w:rPr>
          <w:color w:val="0E7C52"/>
        </w:rPr>
        <w:t xml:space="preserve">Termination</w:t>
      </w:r>
    </w:p>
    <w:p>
      <w:pPr>
        <w:spacing w:after="160"/>
      </w:pPr>
      <w:r>
        <w:t xml:space="preserve">We may suspend or terminate your account if you breach these terms, do not pay a fee that is due, or engage in conduct that puts our staff, other users, or the platform at risk.</w:t>
      </w:r>
    </w:p>
    <w:p>
      <w:pPr>
        <w:pStyle w:val="Heading1"/>
        <w:spacing w:after="160" w:before="240"/>
      </w:pPr>
      <w:r>
        <w:rPr>
          <w:color w:val="0E7C52"/>
        </w:rPr>
        <w:t xml:space="preserve">Changes to these terms</w:t>
      </w:r>
    </w:p>
    <w:p>
      <w:pPr>
        <w:spacing w:after="160"/>
      </w:pPr>
      <w:r>
        <w:t xml:space="preserve">We may update these terms as the platform changes. We will show you the current version and ask you to accept it again if a material change affects your rights or obligations.</w:t>
      </w:r>
    </w:p>
    <w:p>
      <w:pPr>
        <w:pStyle w:val="Heading1"/>
        <w:spacing w:after="160" w:before="240"/>
      </w:pPr>
      <w:r>
        <w:rPr>
          <w:color w:val="0E7C52"/>
        </w:rPr>
        <w:t xml:space="preserve">Governing law and disputes</w:t>
      </w:r>
    </w:p>
    <w:p>
      <w:pPr>
        <w:spacing w:after="160"/>
      </w:pPr>
      <w:r>
        <w:t xml:space="preserve">These terms are governed by the laws of the Federal Republic of Nigeria.</w:t>
      </w:r>
    </w:p>
    <w:p>
      <w:pPr>
        <w:spacing w:after="160"/>
      </w:pPr>
      <w:r>
        <w:rPr>
          <w:b/>
          <w:bCs/>
          <w:color w:val="C0392B"/>
        </w:rPr>
        <w:t xml:space="preserve">[The specific dispute-resolution venue and mechanism is being finalised with counsel.]</w:t>
      </w:r>
    </w:p>
    <w:p>
      <w:pPr>
        <w:spacing w:after="160"/>
      </w:pPr>
      <w:r>
        <w:t xml:space="preserve">Nothing in this clause limits any right you have under the Federal Competition and Consumer Protection Act 2018 to complain to the FCCPC, or your right to complain to the Nigeria Data Protection Commission under our Data Processing Consent.</w:t>
      </w:r>
    </w:p>
    <w:p>
      <w:pPr>
        <w:pStyle w:val="Heading1"/>
        <w:spacing w:after="160" w:before="240"/>
      </w:pPr>
      <w:r>
        <w:rPr>
          <w:color w:val="0E7C52"/>
        </w:rPr>
        <w:t xml:space="preserve">Contact</w:t>
      </w:r>
    </w:p>
    <w:p>
      <w:pPr>
        <w:spacing w:after="160"/>
      </w:pPr>
      <w:r>
        <w:t xml:space="preserve">Questions about these terms: legal@tarragonhealth.ng.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2026-07-30T22:26:38.240Z</dcterms:created>
  <dcterms:modified xsi:type="dcterms:W3CDTF">2026-07-30T22:26:38.241Z</dcterms:modified>
</cp:coreProperties>
</file>

<file path=docProps/custom.xml><?xml version="1.0" encoding="utf-8"?>
<Properties xmlns="http://schemas.openxmlformats.org/officeDocument/2006/custom-properties" xmlns:vt="http://schemas.openxmlformats.org/officeDocument/2006/docPropsVTypes"/>
</file>