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66666"/>
          <w:sz w:val="20"/>
          <w:szCs w:val="20"/>
        </w:rPr>
        <w:t xml:space="preserve">Schedule D</w:t>
      </w:r>
    </w:p>
    <w:p>
      <w:pPr>
        <w:pStyle w:val="Title"/>
        <w:spacing w:after="200"/>
        <w:jc w:val="center"/>
      </w:pPr>
      <w:r>
        <w:rPr>
          <w:b/>
          <w:bCs/>
          <w:color w:val="0E7C52"/>
        </w:rPr>
        <w:t xml:space="preserve">Lab Services Partnership Agreement</w:t>
      </w:r>
    </w:p>
    <w:p>
      <w:pPr>
        <w:spacing w:after="240"/>
        <w:jc w:val="center"/>
      </w:pPr>
      <w:r>
        <w:rPr>
          <w:i/>
          <w:iCs/>
          <w:color w:val="666666"/>
          <w:sz w:val="24"/>
          <w:szCs w:val="24"/>
        </w:rPr>
        <w:t xml:space="preserve">and Data Processing Addendum</w:t>
      </w:r>
    </w:p>
    <w:p>
      <w:pPr>
        <w:pBdr>
          <w:top w:val="single" w:color="C0392B" w:sz="8" w:space="6"/>
          <w:bottom w:val="single" w:color="C0392B" w:sz="8" w:space="6"/>
          <w:left w:val="single" w:color="C0392B" w:sz="8" w:space="6"/>
          <w:right w:val="single" w:color="C0392B" w:sz="8" w:space="6"/>
        </w:pBdr>
        <w:shd w:fill="FDECEA" w:val="clear"/>
        <w:spacing w:after="240"/>
      </w:pPr>
      <w:r>
        <w:rPr>
          <w:b/>
          <w:bCs/>
          <w:color w:val="C0392B"/>
          <w:sz w:val="24"/>
          <w:szCs w:val="24"/>
        </w:rPr>
        <w:t xml:space="preserve">STATUS: DRAFT FOR INTERNAL REVIEW. NOT FOR EXECUTION.</w:t>
      </w:r>
      <w:r>
        <w:rPr>
          <w:sz w:val="22"/>
          <w:szCs w:val="22"/>
        </w:rPr>
        <w:br/>
        <w:t xml:space="preserve">  Every figure marked in red below is a placeholder. Do not send this to a prospective lab partner until the founder has filled in every placeholder AND outside counsel has reviewed it alongside Schedules A–C.</w:t>
      </w:r>
    </w:p>
    <w:p>
      <w:pPr>
        <w:spacing w:after="160" w:before="0"/>
      </w:pPr>
      <w:r>
        <w:rPr>
          <w:i/>
          <w:iCs/>
          <w:color w:val="666666"/>
          <w:sz w:val="20"/>
          <w:szCs w:val="20"/>
        </w:rPr>
        <w:t xml:space="preserve">Note on Schedules A–C: those three documents (dated 29 July 2026) were drafted against a narrower, cardiometabolic-only product description that was reversed the same evening (see CLAUDE.md's "PIVOT REVERSED" banner). Some of their platform-context language no longer matches what is actually built. This schedule describes the platform as it exists today; it does not attempt to fix A–C — that is a separate, flagged follow-up.</w:t>
      </w:r>
    </w:p>
    <w:p>
      <w:pPr>
        <w:pBdr>
          <w:bottom w:val="single" w:color="CCCCCC" w:sz="6" w:space="4"/>
        </w:pBdr>
        <w:spacing w:after="240"/>
      </w:pPr>
    </w:p>
    <w:p>
      <w:pPr>
        <w:pStyle w:val="Heading1"/>
        <w:spacing w:after="160" w:before="0"/>
      </w:pPr>
      <w:r>
        <w:rPr>
          <w:color w:val="0E7C52"/>
        </w:rPr>
        <w:t xml:space="preserve">Part 1 — Lab Services Partnership Agreement</w:t>
      </w:r>
    </w:p>
    <w:p>
      <w:pPr>
        <w:spacing w:after="160" w:before="0"/>
      </w:pPr>
      <w:r>
        <w:rPr>
          <w:b w:val="false"/>
          <w:bCs w:val="false"/>
        </w:rPr>
        <w:t xml:space="preserve">Between: Tarragon Health Ltd (RC 9702108), a company incorporated in Nigeria ("Tarragon"),</w:t>
      </w:r>
    </w:p>
    <w:p>
      <w:pPr>
        <w:spacing w:after="160" w:before="0"/>
      </w:pPr>
      <w:r>
        <w:t xml:space="preserve">And: </w:t>
      </w:r>
      <w:r>
        <w:rPr>
          <w:b/>
          <w:bCs/>
          <w:color w:val="C0392B"/>
        </w:rPr>
        <w:t xml:space="preserve">[CONFIRM: partner lab legal entity name and registration number]</w:t>
      </w:r>
      <w:r>
        <w:t xml:space="preserve"> ("Partner").</w:t>
      </w:r>
    </w:p>
    <w:p>
      <w:pPr>
        <w:pStyle w:val="Heading2"/>
        <w:spacing w:after="160" w:before="0"/>
      </w:pPr>
      <w:r>
        <w:t xml:space="preserve">1. Background</w:t>
      </w:r>
    </w:p>
    <w:p>
      <w:pPr>
        <w:spacing w:after="160" w:before="0"/>
      </w:pPr>
      <w:r>
        <w:t xml:space="preserve">Tarragon operates a digital health platform connecting patients with clinicians, laboratories, pharmacies, and specialists across five service categories: chronic disease management, preventive screening, care coordination, institutional (employer/HMO) programmes, and the underlying notification/decisioning infrastructure that ties them together. Tarragon does not operate its own laboratories. Partner is a licensed clinical laboratory in Nigeria. The parties wish to establish a referral and fulfilment relationship under which Tarragon refers patients to Partner for laboratory testing, and Partner performs those tests and returns results through the Tarragon platform.</w:t>
      </w:r>
    </w:p>
    <w:p>
      <w:pPr>
        <w:pStyle w:val="Heading2"/>
        <w:spacing w:after="160" w:before="0"/>
      </w:pPr>
      <w:r>
        <w:t xml:space="preserve">2. Scope of services</w:t>
      </w:r>
    </w:p>
    <w:p>
      <w:pPr>
        <w:spacing w:after="160" w:before="0"/>
      </w:pPr>
      <w:r>
        <w:t xml:space="preserve">2.1. Tarragon will make Partner discoverable to patients booking laboratory tests through the platform, at the branch/location(s) Partner maintains in its own facility listing (see §5).</w:t>
      </w:r>
    </w:p>
    <w:p>
      <w:pPr>
        <w:spacing w:after="160" w:before="0"/>
      </w:pPr>
      <w:r>
        <w:t xml:space="preserve">2.2. Partner will perform the ordered test(s), collect samples where applicable (including, where agreed, home sample collection — see §2.4), and upload the result to the patient's record through the platform within the turnaround time agreed at §4.</w:t>
      </w:r>
    </w:p>
    <w:p>
      <w:pPr>
        <w:spacing w:after="160" w:before="0"/>
      </w:pPr>
      <w:r>
        <w:t xml:space="preserve">2.3. Partner may access the platform in either of two ways, at Partner's choice, and may use both for different staff:</w:t>
      </w:r>
    </w:p>
    <w:p>
      <w:pPr>
        <w:pStyle w:val="ListParagraph"/>
        <w:numPr>
          <w:ilvl w:val="0"/>
          <w:numId w:val="1"/>
        </w:numPr>
        <w:spacing w:after="100"/>
      </w:pPr>
      <w:r>
        <w:t xml:space="preserve">Partner-operated login ("Lab Partner" account) — Partner's own staff log into a dedicated dashboard, see only orders routed to Partner, and upload results directly; or</w:t>
      </w:r>
    </w:p>
    <w:p>
      <w:pPr>
        <w:pStyle w:val="ListParagraph"/>
        <w:numPr>
          <w:ilvl w:val="0"/>
          <w:numId w:val="1"/>
        </w:numPr>
        <w:spacing w:after="100"/>
      </w:pPr>
      <w:r>
        <w:t xml:space="preserve">Liaison-assisted — Partner sends results to Tarragon's Lab Liaison function (by the channel agreed at onboarding), and Tarragon staff upload on Partner's behalf.</w:t>
      </w:r>
    </w:p>
    <w:p>
      <w:pPr>
        <w:spacing w:after="160" w:before="0"/>
      </w:pPr>
      <w:r>
        <w:t xml:space="preserve">2.4. Home sample collection, where offered, is governed by the same turnaround and quality standards as in-branch collection, and is subject to Tarragon's separate home-collection logistics terms if a third-party courier is involved.</w:t>
      </w:r>
    </w:p>
    <w:p>
      <w:pPr>
        <w:spacing w:after="160" w:before="0"/>
      </w:pPr>
      <w:r>
        <w:t xml:space="preserve">2.5. Partner is responsible for the clinical and analytical accuracy of every result it uploads. Tarragon is responsible for correctly routing the order, correctly attributing the result to the right patient record, and for its own escalation of abnormal results to the patient's care team — Tarragon does not re-interpret or alter Partner's result.</w:t>
      </w:r>
    </w:p>
    <w:p>
      <w:pPr>
        <w:pStyle w:val="Heading2"/>
        <w:spacing w:after="160" w:before="0"/>
      </w:pPr>
      <w:r>
        <w:t xml:space="preserve">3. Commercial terms</w:t>
      </w:r>
    </w:p>
    <w:p>
      <w:pPr>
        <w:spacing w:after="160" w:before="0"/>
      </w:pPr>
      <w:r>
        <w:t xml:space="preserve">3.1. Commission. Tarragon will pay Partner </w:t>
      </w:r>
      <w:r>
        <w:rPr>
          <w:b/>
          <w:bCs/>
          <w:color w:val="C0392B"/>
        </w:rPr>
        <w:t xml:space="preserve">[CONFIRM: commission % or fixed fee structure — e.g. "Partner retains 100% of the patient-facing price; Tarragon invoices Partner X% of gross test value as a platform fee" OR "Tarragon collects payment and remits Y% to Partner"]</w:t>
      </w:r>
      <w:r>
        <w:t xml:space="preserve"> per completed, resulted order. State clearly which party collects payment from the patient — the platform's default is that Tarragon collects via Paystack/Stripe at time of booking and a commission is recorded against Partner at that point.</w:t>
      </w:r>
    </w:p>
    <w:p>
      <w:pPr>
        <w:spacing w:after="160" w:before="0"/>
      </w:pPr>
      <w:r>
        <w:t xml:space="preserve">3.2. Payment cadence. </w:t>
      </w:r>
      <w:r>
        <w:rPr>
          <w:b/>
          <w:bCs/>
          <w:color w:val="C0392B"/>
        </w:rPr>
        <w:t xml:space="preserve">[CONFIRM: e.g. net-15 or net-30 from month-end, paid by bank transfer]</w:t>
      </w:r>
      <w:r>
        <w:t xml:space="preserve">.</w:t>
      </w:r>
    </w:p>
    <w:p>
      <w:pPr>
        <w:spacing w:after="160" w:before="0"/>
      </w:pPr>
      <w:r>
        <w:t xml:space="preserve">3.3. Minimum volume. </w:t>
      </w:r>
      <w:r>
        <w:rPr>
          <w:b/>
          <w:bCs/>
          <w:color w:val="C0392B"/>
        </w:rPr>
        <w:t xml:space="preserve">[CONFIRM: none, or a stated minimum]</w:t>
      </w:r>
      <w:r>
        <w:t xml:space="preserve">. If none, state that explicitly — do not leave this silently blank in the executed version.</w:t>
      </w:r>
    </w:p>
    <w:p>
      <w:pPr>
        <w:spacing w:after="160" w:before="0"/>
      </w:pPr>
      <w:r>
        <w:t xml:space="preserve">3.4. Price list. Test prices are as published in Tarragon's live catalogue at the time of order. </w:t>
      </w:r>
      <w:r>
        <w:rPr>
          <w:b/>
          <w:bCs/>
          <w:color w:val="C0392B"/>
        </w:rPr>
        <w:t xml:space="preserve">[CONFIRM: process for Partner to request a price change, and notice period]</w:t>
      </w:r>
      <w:r>
        <w:t xml:space="preserve">.</w:t>
      </w:r>
    </w:p>
    <w:p>
      <w:pPr>
        <w:spacing w:after="160" w:before="0"/>
      </w:pPr>
      <w:r>
        <w:t xml:space="preserve">3.5. Currency. Naira (₦), unless the parties separately agree a foreign-currency arrangement.</w:t>
      </w:r>
    </w:p>
    <w:p>
      <w:pPr>
        <w:pStyle w:val="Heading2"/>
        <w:spacing w:after="160" w:before="0"/>
      </w:pPr>
      <w:r>
        <w:t xml:space="preserve">4. Turnaround-time service standard</w:t>
      </w:r>
    </w:p>
    <w:p>
      <w:pPr>
        <w:spacing w:after="160" w:before="0"/>
      </w:pPr>
      <w:r>
        <w:t xml:space="preserve">4.1. Partner will use commercially reasonable efforts to upload results within </w:t>
      </w:r>
      <w:r>
        <w:rPr>
          <w:b/>
          <w:bCs/>
          <w:color w:val="C0392B"/>
        </w:rPr>
        <w:t xml:space="preserve">[CONFIRM: target hours per test type — e.g. 24h for routine chemistry, 4h for urgent panels]</w:t>
      </w:r>
      <w:r>
        <w:t xml:space="preserve"> of payment confirmation.</w:t>
      </w:r>
    </w:p>
    <w:p>
      <w:pPr>
        <w:spacing w:after="160" w:before="0"/>
      </w:pPr>
      <w:r>
        <w:t xml:space="preserve">4.2. Both parties can see the real number, not just promise one. The platform records the time from payment confirmation to result upload for every order, and Partner can view its own turnaround statistics (order count, average, median, and percentage over 72 hours) at any time through its own dashboard — the same numbers Tarragon's admin team sees. </w:t>
      </w:r>
      <w:r>
        <w:rPr>
          <w:b/>
          <w:bCs/>
          <w:color w:val="C0392B"/>
        </w:rPr>
        <w:t xml:space="preserve">[CONFIRM: review cadence — e.g. a quarterly call to discuss the numbers if turnaround consistently exceeds the target]</w:t>
      </w:r>
      <w:r>
        <w:t xml:space="preserve">.</w:t>
      </w:r>
    </w:p>
    <w:p>
      <w:pPr>
        <w:spacing w:after="160" w:before="0"/>
      </w:pPr>
      <w:r>
        <w:t xml:space="preserve">4.3. Consistent, material breach of the agreed turnaround time is a ground for termination under §7, subject to the cure period there.</w:t>
      </w:r>
    </w:p>
    <w:p>
      <w:pPr>
        <w:pStyle w:val="Heading2"/>
        <w:spacing w:after="160" w:before="0"/>
      </w:pPr>
      <w:r>
        <w:t xml:space="preserve">5. Facility / branch listing</w:t>
      </w:r>
    </w:p>
    <w:p>
      <w:pPr>
        <w:spacing w:after="160" w:before="0"/>
      </w:pPr>
      <w:r>
        <w:t xml:space="preserve">5.1. Partner is responsible for keeping its own branch listing (name, state, city, area, address, contact details, active/inactive status) accurate through its own dashboard. Tarragon is not responsible for a patient being sent to a branch Partner has not kept current.</w:t>
      </w:r>
    </w:p>
    <w:p>
      <w:pPr>
        <w:spacing w:after="160" w:before="0"/>
      </w:pPr>
      <w:r>
        <w:t xml:space="preserve">5.2. Partner will provide and keep current a real contact email and phone number for order notifications — not a placeholder address. </w:t>
      </w:r>
      <w:r>
        <w:rPr>
          <w:b/>
          <w:bCs/>
          <w:color w:val="C0392B"/>
        </w:rPr>
        <w:t xml:space="preserve">[CONFIRM at onboarding — do not leave a seeded placeholder address live; verified per-partner in the admin console.]</w:t>
      </w:r>
    </w:p>
    <w:p>
      <w:pPr>
        <w:pStyle w:val="Heading2"/>
        <w:spacing w:after="160" w:before="0"/>
      </w:pPr>
      <w:r>
        <w:t xml:space="preserve">6. Data protection</w:t>
      </w:r>
    </w:p>
    <w:p>
      <w:pPr>
        <w:spacing w:after="160" w:before="0"/>
      </w:pPr>
      <w:r>
        <w:t xml:space="preserve">See Part 2 (Data Processing Addendum) below, which forms part of this Agreement.</w:t>
      </w:r>
    </w:p>
    <w:p>
      <w:pPr>
        <w:pStyle w:val="Heading2"/>
        <w:spacing w:after="160" w:before="0"/>
      </w:pPr>
      <w:r>
        <w:t xml:space="preserve">7. Term, termination, and liability</w:t>
      </w:r>
    </w:p>
    <w:p>
      <w:pPr>
        <w:spacing w:after="160" w:before="0"/>
      </w:pPr>
      <w:r>
        <w:t xml:space="preserve">7.1. Term. </w:t>
      </w:r>
      <w:r>
        <w:rPr>
          <w:b/>
          <w:bCs/>
          <w:color w:val="C0392B"/>
        </w:rPr>
        <w:t xml:space="preserve">[CONFIRM: initial term — e.g. 12 months, auto-renewing]</w:t>
      </w:r>
      <w:r>
        <w:t xml:space="preserve">.</w:t>
      </w:r>
    </w:p>
    <w:p>
      <w:pPr>
        <w:spacing w:after="160" w:before="0"/>
      </w:pPr>
      <w:r>
        <w:t xml:space="preserve">7.2. Termination for convenience. Either party may terminate on </w:t>
      </w:r>
      <w:r>
        <w:rPr>
          <w:b/>
          <w:bCs/>
          <w:color w:val="C0392B"/>
        </w:rPr>
        <w:t xml:space="preserve">[CONFIRM: e.g. 30 days']</w:t>
      </w:r>
      <w:r>
        <w:t xml:space="preserve"> written notice.</w:t>
      </w:r>
    </w:p>
    <w:p>
      <w:pPr>
        <w:spacing w:after="160" w:before="0"/>
      </w:pPr>
      <w:r>
        <w:t xml:space="preserve">7.3. Termination for cause. Either party may terminate immediately on written notice if the other materially breaches this Agreement (including, for Partner, a sustained turnaround-time or quality failure under §4) and fails to cure within </w:t>
      </w:r>
      <w:r>
        <w:rPr>
          <w:b/>
          <w:bCs/>
          <w:color w:val="C0392B"/>
        </w:rPr>
        <w:t xml:space="preserve">[CONFIRM: e.g. 14 days]</w:t>
      </w:r>
      <w:r>
        <w:t xml:space="preserve"> of notice.</w:t>
      </w:r>
    </w:p>
    <w:p>
      <w:pPr>
        <w:spacing w:after="160" w:before="0"/>
      </w:pPr>
      <w:r>
        <w:t xml:space="preserve">7.4. Liability. </w:t>
      </w:r>
      <w:r>
        <w:rPr>
          <w:b/>
          <w:bCs/>
          <w:color w:val="C0392B"/>
        </w:rPr>
        <w:t xml:space="preserve">[CONFIRM WITH COUNSEL — placeholder only]</w:t>
      </w:r>
      <w:r>
        <w:t xml:space="preserve">: each party is responsible for losses directly caused by its own breach, negligence, or (for Partner) an incorrect or mislabelled result; neither party is liable for the other's indirect or consequential losses; </w:t>
      </w:r>
      <w:r>
        <w:rPr>
          <w:b/>
          <w:bCs/>
          <w:color w:val="C0392B"/>
        </w:rPr>
        <w:t xml:space="preserve">[CONFIRM: whether a liability cap applies, and its amount]</w:t>
      </w:r>
      <w:r>
        <w:t xml:space="preserve">.</w:t>
      </w:r>
    </w:p>
    <w:p>
      <w:pPr>
        <w:spacing w:after="160" w:before="0"/>
      </w:pPr>
      <w:r>
        <w:t xml:space="preserve">7.5. Indemnification. </w:t>
      </w:r>
      <w:r>
        <w:rPr>
          <w:b/>
          <w:bCs/>
          <w:color w:val="C0392B"/>
        </w:rPr>
        <w:t xml:space="preserve">[CONFIRM WITH COUNSEL]</w:t>
      </w:r>
      <w:r>
        <w:t xml:space="preserve"> — each party indemnifies the other against third-party claims arising from its own breach of this Agreement or applicable law.</w:t>
      </w:r>
    </w:p>
    <w:p>
      <w:pPr>
        <w:pStyle w:val="Heading2"/>
        <w:spacing w:after="160" w:before="0"/>
      </w:pPr>
      <w:r>
        <w:t xml:space="preserve">8. Confidentiality</w:t>
      </w:r>
    </w:p>
    <w:p>
      <w:pPr>
        <w:spacing w:after="160" w:before="0"/>
      </w:pPr>
      <w:r>
        <w:t xml:space="preserve">Each party will keep the other's confidential business information (including pricing, volumes, and this Agreement's terms) confidential, using it only to perform this Agreement.</w:t>
      </w:r>
    </w:p>
    <w:p>
      <w:pPr>
        <w:pStyle w:val="Heading2"/>
        <w:spacing w:after="160" w:before="0"/>
      </w:pPr>
      <w:r>
        <w:t xml:space="preserve">9. Governing law and dispute resolution</w:t>
      </w:r>
    </w:p>
    <w:p>
      <w:pPr>
        <w:spacing w:after="160" w:before="0"/>
      </w:pPr>
      <w:r>
        <w:t xml:space="preserve">This Agreement is governed by the laws of the Federal Republic of Nigeria. </w:t>
      </w:r>
      <w:r>
        <w:rPr>
          <w:b/>
          <w:bCs/>
          <w:color w:val="C0392B"/>
        </w:rPr>
        <w:t xml:space="preserve">[CONFIRM WITH COUNSEL: dispute resolution mechanism — litigation venue vs. arbitration, and seat/venue]</w:t>
      </w:r>
      <w:r>
        <w:t xml:space="preserve">.</w:t>
      </w:r>
    </w:p>
    <w:p>
      <w:pPr>
        <w:pStyle w:val="Heading2"/>
        <w:spacing w:after="160" w:before="0"/>
      </w:pPr>
      <w:r>
        <w:t xml:space="preserve">10. Signatures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FEFEF" w:val="clear"/>
            <w:tcMar>
              <w:top w:type="dxa" w:w="120"/>
              <w:left w:type="dxa" w:w="120"/>
              <w:bottom w:type="dxa" w:w="120"/>
              <w:right w:type="dxa" w:w="120"/>
            </w:tcMar>
          </w:tcPr>
          <w:p>
            <w:r>
              <w:rPr>
                <w:b/>
                <w:bCs/>
                <w:sz w:val="20"/>
                <w:szCs w:val="20"/>
              </w:rPr>
              <w:t xml:space="preserve">For Tarragon Health Ltd</w:t>
            </w:r>
          </w:p>
        </w:tc>
        <w:tc>
          <w:tcPr>
            <w:tcW w:type="dxa" w:w="4500"/>
            <w:shd w:fill="EFEFEF" w:val="clear"/>
            <w:tcMar>
              <w:top w:type="dxa" w:w="120"/>
              <w:left w:type="dxa" w:w="120"/>
              <w:bottom w:type="dxa" w:w="120"/>
              <w:right w:type="dxa" w:w="120"/>
            </w:tcMar>
          </w:tcPr>
          <w:p>
            <w:r>
              <w:rPr>
                <w:b/>
                <w:bCs/>
                <w:sz w:val="20"/>
                <w:szCs w:val="20"/>
              </w:rPr>
              <w:t xml:space="preserve">For [Partner name]</w:t>
            </w:r>
          </w:p>
        </w:tc>
      </w:tr>
      <w:tr>
        <w:tc>
          <w:tcPr>
            <w:tcW w:type="dxa" w:w="4500"/>
            <w:tcMar>
              <w:top w:type="dxa" w:w="120"/>
              <w:left w:type="dxa" w:w="120"/>
              <w:bottom w:type="dxa" w:w="120"/>
              <w:right w:type="dxa" w:w="120"/>
            </w:tcMar>
          </w:tcPr>
          <w:p>
            <w:r>
              <w:rPr>
                <w:b w:val="false"/>
                <w:bCs w:val="false"/>
                <w:sz w:val="20"/>
                <w:szCs w:val="20"/>
              </w:rPr>
              <w:t xml:space="preserve">Name:</w:t>
            </w:r>
          </w:p>
        </w:tc>
        <w:tc>
          <w:tcPr>
            <w:tcW w:type="dxa" w:w="4500"/>
            <w:tcMar>
              <w:top w:type="dxa" w:w="120"/>
              <w:left w:type="dxa" w:w="120"/>
              <w:bottom w:type="dxa" w:w="120"/>
              <w:right w:type="dxa" w:w="120"/>
            </w:tcMar>
          </w:tcPr>
          <w:p>
            <w:r>
              <w:rPr>
                <w:b w:val="false"/>
                <w:bCs w:val="false"/>
                <w:sz w:val="20"/>
                <w:szCs w:val="20"/>
              </w:rPr>
              <w:t xml:space="preserve">Name:</w:t>
            </w:r>
          </w:p>
        </w:tc>
      </w:tr>
      <w:tr>
        <w:tc>
          <w:tcPr>
            <w:tcW w:type="dxa" w:w="4500"/>
            <w:tcMar>
              <w:top w:type="dxa" w:w="120"/>
              <w:left w:type="dxa" w:w="120"/>
              <w:bottom w:type="dxa" w:w="120"/>
              <w:right w:type="dxa" w:w="120"/>
            </w:tcMar>
          </w:tcPr>
          <w:p>
            <w:r>
              <w:rPr>
                <w:b w:val="false"/>
                <w:bCs w:val="false"/>
                <w:sz w:val="20"/>
                <w:szCs w:val="20"/>
              </w:rPr>
              <w:t xml:space="preserve">Title:</w:t>
            </w:r>
          </w:p>
        </w:tc>
        <w:tc>
          <w:tcPr>
            <w:tcW w:type="dxa" w:w="4500"/>
            <w:tcMar>
              <w:top w:type="dxa" w:w="120"/>
              <w:left w:type="dxa" w:w="120"/>
              <w:bottom w:type="dxa" w:w="120"/>
              <w:right w:type="dxa" w:w="120"/>
            </w:tcMar>
          </w:tcPr>
          <w:p>
            <w:r>
              <w:rPr>
                <w:b w:val="false"/>
                <w:bCs w:val="false"/>
                <w:sz w:val="20"/>
                <w:szCs w:val="20"/>
              </w:rPr>
              <w:t xml:space="preserve">Title:</w:t>
            </w:r>
          </w:p>
        </w:tc>
      </w:tr>
      <w:tr>
        <w:tc>
          <w:tcPr>
            <w:tcW w:type="dxa" w:w="4500"/>
            <w:tcMar>
              <w:top w:type="dxa" w:w="120"/>
              <w:left w:type="dxa" w:w="120"/>
              <w:bottom w:type="dxa" w:w="120"/>
              <w:right w:type="dxa" w:w="120"/>
            </w:tcMar>
          </w:tcPr>
          <w:p>
            <w:r>
              <w:rPr>
                <w:b w:val="false"/>
                <w:bCs w:val="false"/>
                <w:sz w:val="20"/>
                <w:szCs w:val="20"/>
              </w:rPr>
              <w:t xml:space="preserve">Date:</w:t>
            </w:r>
          </w:p>
        </w:tc>
        <w:tc>
          <w:tcPr>
            <w:tcW w:type="dxa" w:w="4500"/>
            <w:tcMar>
              <w:top w:type="dxa" w:w="120"/>
              <w:left w:type="dxa" w:w="120"/>
              <w:bottom w:type="dxa" w:w="120"/>
              <w:right w:type="dxa" w:w="120"/>
            </w:tcMar>
          </w:tcPr>
          <w:p>
            <w:r>
              <w:rPr>
                <w:b w:val="false"/>
                <w:bCs w:val="false"/>
                <w:sz w:val="20"/>
                <w:szCs w:val="20"/>
              </w:rPr>
              <w:t xml:space="preserve">Date:</w:t>
            </w:r>
          </w:p>
        </w:tc>
      </w:tr>
      <w:tr>
        <w:tc>
          <w:tcPr>
            <w:tcW w:type="dxa" w:w="4500"/>
            <w:tcMar>
              <w:top w:type="dxa" w:w="120"/>
              <w:left w:type="dxa" w:w="120"/>
              <w:bottom w:type="dxa" w:w="120"/>
              <w:right w:type="dxa" w:w="120"/>
            </w:tcMar>
          </w:tcPr>
          <w:p>
            <w:r>
              <w:rPr>
                <w:b w:val="false"/>
                <w:bCs w:val="false"/>
                <w:sz w:val="20"/>
                <w:szCs w:val="20"/>
              </w:rPr>
              <w:t xml:space="preserve">Signature:</w:t>
            </w:r>
          </w:p>
        </w:tc>
        <w:tc>
          <w:tcPr>
            <w:tcW w:type="dxa" w:w="4500"/>
            <w:tcMar>
              <w:top w:type="dxa" w:w="120"/>
              <w:left w:type="dxa" w:w="120"/>
              <w:bottom w:type="dxa" w:w="120"/>
              <w:right w:type="dxa" w:w="120"/>
            </w:tcMar>
          </w:tcPr>
          <w:p>
            <w:r>
              <w:rPr>
                <w:b w:val="false"/>
                <w:bCs w:val="false"/>
                <w:sz w:val="20"/>
                <w:szCs w:val="20"/>
              </w:rPr>
              <w:t xml:space="preserve">Signature:</w:t>
            </w:r>
          </w:p>
        </w:tc>
      </w:tr>
    </w:tbl>
    <w:p>
      <w:pPr>
        <w:spacing w:after="240"/>
      </w:pPr>
    </w:p>
    <w:p>
      <w:pPr>
        <w:pBdr>
          <w:bottom w:val="single" w:color="CCCCCC" w:sz="6" w:space="4"/>
        </w:pBdr>
        <w:spacing w:after="240"/>
      </w:pPr>
    </w:p>
    <w:p>
      <w:pPr>
        <w:pStyle w:val="Heading1"/>
        <w:spacing w:after="160" w:before="0"/>
      </w:pPr>
      <w:r>
        <w:rPr>
          <w:color w:val="0E7C52"/>
        </w:rPr>
        <w:t xml:space="preserve">Part 2 — Data Processing Addendum</w:t>
      </w:r>
    </w:p>
    <w:p>
      <w:pPr>
        <w:spacing w:after="160" w:before="0"/>
      </w:pPr>
      <w:r>
        <w:t xml:space="preserve">This Addendum governs personal data Tarragon shares with Partner, and personal data Partner generates (test results) and returns to Tarragon, in the course of the Agreement above.</w:t>
      </w:r>
    </w:p>
    <w:p>
      <w:pPr>
        <w:pStyle w:val="Heading2"/>
        <w:spacing w:after="160" w:before="0"/>
      </w:pPr>
      <w:r>
        <w:t xml:space="preserve">1. Roles</w:t>
      </w:r>
    </w:p>
    <w:p>
      <w:pPr>
        <w:spacing w:after="160" w:before="0"/>
      </w:pPr>
      <w:r>
        <w:t xml:space="preserve">For the limited data exchanged under this Agreement — a patient's identity, the test(s) ordered, and the resulting values — each party acts as an independent data controller for its own records (Partner's own laboratory information system, if any, and its own regulatory retention obligations under Nigerian medical-laboratory practice rules; Tarragon's patient record on the platform). Neither party processes data on the other's behalf as a service provider. </w:t>
      </w:r>
      <w:r>
        <w:rPr>
          <w:b/>
          <w:bCs/>
          <w:color w:val="C0392B"/>
        </w:rPr>
        <w:t xml:space="preserve">[CONFIRM WITH COUNSEL: whether this characterisation is correct, or whether Partner should instead be treated as a processor for the specific act of returning a result into Tarragon's platform.]</w:t>
      </w:r>
    </w:p>
    <w:p>
      <w:pPr>
        <w:pStyle w:val="Heading2"/>
        <w:spacing w:after="160" w:before="0"/>
      </w:pPr>
      <w:r>
        <w:t xml:space="preserve">2. What is shared</w:t>
      </w:r>
    </w:p>
    <w:p>
      <w:pPr>
        <w:pStyle w:val="ListParagraph"/>
        <w:numPr>
          <w:ilvl w:val="0"/>
          <w:numId w:val="1"/>
        </w:numPr>
        <w:spacing w:after="100"/>
      </w:pPr>
      <w:r>
        <w:t xml:space="preserve">Tarragon → Partner: the patient's name, a Tarragon-generated patient number (not a national ID), the test(s) ordered, and — only through the scoped worklist described in §2.3 of Part 1 — nothing beyond what is needed to perform and report the test.</w:t>
      </w:r>
    </w:p>
    <w:p>
      <w:pPr>
        <w:pStyle w:val="ListParagraph"/>
        <w:numPr>
          <w:ilvl w:val="0"/>
          <w:numId w:val="1"/>
        </w:numPr>
        <w:spacing w:after="100"/>
      </w:pPr>
      <w:r>
        <w:t xml:space="preserve">Partner → Tarragon: the result value(s) and any accompanying report/document.</w:t>
      </w:r>
    </w:p>
    <w:p>
      <w:pPr>
        <w:spacing w:after="160" w:before="0"/>
      </w:pPr>
      <w:r>
        <w:t xml:space="preserve">Partner does not receive broad access to a patient's full clinical record, medication list, or any other platform data beyond the order itself.</w:t>
      </w:r>
    </w:p>
    <w:p>
      <w:pPr>
        <w:pStyle w:val="Heading2"/>
        <w:spacing w:after="160" w:before="0"/>
      </w:pPr>
      <w:r>
        <w:t xml:space="preserve">3. Where the data lives</w:t>
      </w:r>
    </w:p>
    <w:p>
      <w:pPr>
        <w:spacing w:after="160" w:before="0"/>
      </w:pPr>
      <w:r>
        <w:t xml:space="preserve">Tarragon's platform database runs on Supabase (PostgreSQL) in AWS's eu-west-1 region (Dublin, Ireland), because Tarragon's infrastructure provider does not currently operate a data centre in Nigeria or elsewhere in Africa. This means patient data, including the order and result shared under this Agreement, is transferred outside Nigeria as a routine infrastructure fact, not an occasional event. This is flagged as the highest-priority open item in Tarragon's own legal review (see docs/legal/cover-memo-to-counsel.md, Question 1) and is not yet resolved as of this draft. Partner should retain the right to be told once Tarragon's cross-border transfer position is finalised, and Tarragon should not represent this Addendum as final until that happens.</w:t>
      </w:r>
    </w:p>
    <w:p>
      <w:pPr>
        <w:spacing w:after="160" w:before="0"/>
      </w:pPr>
      <w:r>
        <w:rPr>
          <w:b/>
          <w:bCs/>
          <w:color w:val="C0392B"/>
        </w:rPr>
        <w:t xml:space="preserve">[CONFIRM WITH COUNSEL: the lawful transfer mechanism this Addendum should rely on, once decided — do not leave this paragraph as the final word in an executed version.]</w:t>
      </w:r>
    </w:p>
    <w:p>
      <w:pPr>
        <w:pStyle w:val="Heading2"/>
        <w:spacing w:after="160" w:before="0"/>
      </w:pPr>
      <w:r>
        <w:t xml:space="preserve">4. Security measures</w:t>
      </w:r>
    </w:p>
    <w:p>
      <w:pPr>
        <w:spacing w:after="160" w:before="0"/>
      </w:pPr>
      <w:r>
        <w:t xml:space="preserve">Tarragon protects data in transit and at rest via its infrastructure provider's standard controls, enforces row-level database access control scoped to each party's own orders (a Partner account can see and act on orders routed to it and no others — this is a database-level guarantee, not just an application-layer convention), and logs administrative access to partner data for audit. </w:t>
      </w:r>
      <w:r>
        <w:rPr>
          <w:b/>
          <w:bCs/>
          <w:color w:val="C0392B"/>
        </w:rPr>
        <w:t xml:space="preserve">[CONFIRM: whether Partner has its own security commitments to state here — e.g. encryption of any local copy of a result before it is uploaded.]</w:t>
      </w:r>
    </w:p>
    <w:p>
      <w:pPr>
        <w:pStyle w:val="Heading2"/>
        <w:spacing w:after="160" w:before="0"/>
      </w:pPr>
      <w:r>
        <w:t xml:space="preserve">5. Retention</w:t>
      </w:r>
    </w:p>
    <w:p>
      <w:pPr>
        <w:spacing w:after="160" w:before="0"/>
      </w:pPr>
      <w:r>
        <w:rPr>
          <w:b/>
          <w:bCs/>
          <w:color w:val="C0392B"/>
        </w:rPr>
        <w:t xml:space="preserve">[CONFIRM: retention period for order/result data after the relationship ends — align with Nigerian medical-laboratory record-retention requirements, which may exceed Tarragon's own default.]</w:t>
      </w:r>
    </w:p>
    <w:p>
      <w:pPr>
        <w:pStyle w:val="Heading2"/>
        <w:spacing w:after="160" w:before="0"/>
      </w:pPr>
      <w:r>
        <w:t xml:space="preserve">6. Breach notification</w:t>
      </w:r>
    </w:p>
    <w:p>
      <w:pPr>
        <w:spacing w:after="160" w:before="0"/>
      </w:pPr>
      <w:r>
        <w:t xml:space="preserve">Each party will notify the other without undue delay, and in any case within </w:t>
      </w:r>
      <w:r>
        <w:rPr>
          <w:b/>
          <w:bCs/>
          <w:color w:val="C0392B"/>
        </w:rPr>
        <w:t xml:space="preserve">[CONFIRM: e.g. 72 hours]</w:t>
      </w:r>
      <w:r>
        <w:t xml:space="preserve">, of becoming aware of a security incident affecting data shared under this Agreement.</w:t>
      </w:r>
    </w:p>
    <w:p>
      <w:pPr>
        <w:pStyle w:val="Heading2"/>
        <w:spacing w:after="160" w:before="0"/>
      </w:pPr>
      <w:r>
        <w:t xml:space="preserve">7. Audit</w:t>
      </w:r>
    </w:p>
    <w:p>
      <w:pPr>
        <w:spacing w:after="160" w:before="0"/>
      </w:pPr>
      <w:r>
        <w:rPr>
          <w:b/>
          <w:bCs/>
          <w:color w:val="C0392B"/>
        </w:rPr>
        <w:t xml:space="preserve">[CONFIRM: whether either party may request evidence of the other's compliance with this Addendum, and how often.]</w:t>
      </w:r>
    </w:p>
    <w:p>
      <w:pPr>
        <w:pBdr>
          <w:bottom w:val="single" w:color="CCCCCC" w:sz="6" w:space="4"/>
        </w:pBdr>
        <w:spacing w:after="240"/>
      </w:pPr>
    </w:p>
    <w:p>
      <w:pPr>
        <w:spacing w:after="160" w:before="0"/>
      </w:pPr>
      <w:r>
        <w:rPr>
          <w:i/>
          <w:iCs/>
          <w:color w:val="666666"/>
          <w:sz w:val="20"/>
          <w:szCs w:val="20"/>
        </w:rPr>
        <w:t xml:space="preserve">This schedule was prepared as an internal draft. It has not been reviewed by outside counsel and carries the same open-items discipline as Schedules A–C: nothing marked </w:t>
      </w:r>
      <w:r>
        <w:rPr>
          <w:b/>
          <w:bCs/>
          <w:i/>
          <w:iCs/>
          <w:color w:val="C0392B"/>
          <w:sz w:val="20"/>
          <w:szCs w:val="20"/>
        </w:rPr>
        <w:t xml:space="preserve">[CONFIRM]</w:t>
      </w:r>
      <w:r>
        <w:rPr>
          <w:i/>
          <w:iCs/>
          <w:color w:val="666666"/>
          <w:sz w:val="20"/>
          <w:szCs w:val="20"/>
        </w:rPr>
        <w:t xml:space="preserve"> should be treated as agreed until the founder and counsel have both signed 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2026-07-30T22:08:46.444Z</dcterms:created>
  <dcterms:modified xsi:type="dcterms:W3CDTF">2026-07-30T22:08:46.445Z</dcterms:modified>
</cp:coreProperties>
</file>

<file path=docProps/custom.xml><?xml version="1.0" encoding="utf-8"?>
<Properties xmlns="http://schemas.openxmlformats.org/officeDocument/2006/custom-properties" xmlns:vt="http://schemas.openxmlformats.org/officeDocument/2006/docPropsVTypes"/>
</file>