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drawing>
          <wp:inline distT="0" distB="0" distL="0" distR="0">
            <wp:extent cx="447675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190625"/>
                    </a:xfrm>
                    <a:prstGeom prst="rect">
                      <a:avLst/>
                    </a:prstGeom>
                  </pic:spPr>
                </pic:pic>
              </a:graphicData>
            </a:graphic>
          </wp:inline>
        </w:drawing>
      </w:r>
    </w:p>
    <w:p>
      <w:pPr>
        <w:spacing w:after="80" w:before="600"/>
        <w:jc w:val="center"/>
      </w:pPr>
      <w:r>
        <w:rPr>
          <w:rFonts w:ascii="Calibri" w:cs="Calibri" w:eastAsia="Calibri" w:hAnsi="Calibri"/>
          <w:b/>
          <w:bCs/>
          <w:color w:val="12211B"/>
          <w:sz w:val="40"/>
          <w:szCs w:val="40"/>
        </w:rPr>
        <w:t xml:space="preserve">MASTER BRAND PACKAGE</w:t>
      </w:r>
    </w:p>
    <w:p>
      <w:pPr>
        <w:spacing w:after="40"/>
        <w:jc w:val="center"/>
      </w:pPr>
      <w:r>
        <w:rPr>
          <w:rFonts w:ascii="Calibri" w:cs="Calibri" w:eastAsia="Calibri" w:hAnsi="Calibri"/>
          <w:color w:val="4A5750"/>
          <w:sz w:val="24"/>
          <w:szCs w:val="24"/>
        </w:rPr>
        <w:t xml:space="preserve">The Definitive Brand System — Tagline, Voice, Visual Identity &amp; Applications</w:t>
      </w:r>
    </w:p>
    <w:p>
      <w:pPr>
        <w:spacing w:after="40"/>
        <w:jc w:val="center"/>
      </w:pPr>
      <w:r>
        <w:rPr>
          <w:rFonts w:ascii="Calibri" w:cs="Calibri" w:eastAsia="Calibri" w:hAnsi="Calibri"/>
          <w:b/>
          <w:bCs/>
          <w:color w:val="4A5750"/>
          <w:sz w:val="22"/>
          <w:szCs w:val="22"/>
        </w:rPr>
        <w:t xml:space="preserve">Version 2 — Consolidated &amp; Reconciled</w:t>
      </w:r>
    </w:p>
    <w:p>
      <w:pPr>
        <w:spacing w:after="800"/>
        <w:jc w:val="center"/>
      </w:pPr>
      <w:r>
        <w:rPr>
          <w:rFonts w:ascii="Calibri" w:cs="Calibri" w:eastAsia="Calibri" w:hAnsi="Calibri"/>
          <w:i/>
          <w:iCs/>
          <w:color w:val="4A5750"/>
          <w:sz w:val="20"/>
          <w:szCs w:val="20"/>
        </w:rPr>
        <w:t xml:space="preserve">July 2026 · Confidential · Founder &amp; Design Reference</w:t>
      </w:r>
    </w:p>
    <w:p>
      <w:pPr>
        <w:pBdr>
          <w:top w:val="single" w:color="E7F3EC" w:sz="6"/>
        </w:pBdr>
        <w:spacing w:before="2400"/>
        <w:jc w:val="center"/>
      </w:pPr>
      <w:r>
        <w:rPr>
          <w:rFonts w:ascii="Calibri" w:cs="Calibri" w:eastAsia="Calibri" w:hAnsi="Calibri"/>
          <w:i/>
          <w:iCs/>
          <w:color w:val="4A5750"/>
          <w:sz w:val="20"/>
          <w:szCs w:val="20"/>
        </w:rPr>
        <w:t xml:space="preserve">Guard Leaf — the shield that watches over every reading, every refill, every family.</w:t>
      </w:r>
    </w:p>
    <w:p>
      <w:r>
        <w:br w:type="page"/>
      </w:r>
    </w:p>
    <w:p>
      <w:pPr>
        <w:pStyle w:val="Heading1"/>
        <w:spacing w:after="200" w:before="480"/>
      </w:pPr>
      <w:r>
        <w:rPr>
          <w:rFonts w:ascii="Calibri" w:cs="Calibri" w:eastAsia="Calibri" w:hAnsi="Calibri"/>
          <w:b/>
          <w:bCs/>
          <w:color w:val="0E7C52"/>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rPr>
          <w:rFonts w:ascii="Calibri" w:cs="Calibri" w:eastAsia="Calibri" w:hAnsi="Calibri"/>
          <w:b/>
          <w:bCs/>
          <w:color w:val="0E7C52"/>
          <w:sz w:val="32"/>
          <w:szCs w:val="32"/>
        </w:rPr>
        <w:t xml:space="preserve">0. How This Document Was Built</w:t>
      </w:r>
    </w:p>
    <w:p>
      <w:pPr>
        <w:spacing w:after="160" w:line="300"/>
      </w:pPr>
      <w:r>
        <w:rPr>
          <w:rFonts w:ascii="Calibri" w:cs="Calibri" w:eastAsia="Calibri" w:hAnsi="Calibri"/>
          <w:b w:val="false"/>
          <w:bCs w:val="false"/>
          <w:i w:val="false"/>
          <w:iCs w:val="false"/>
          <w:color w:val="12211B"/>
          <w:sz w:val="22"/>
          <w:szCs w:val="22"/>
        </w:rPr>
        <w:t xml:space="preserve">This is the single source of truth. It reconciles two prior branding drafts into one system, keeping the strongest element from each and resolving every conflict with a clear, stated decision. Where the two drafts disagreed, the reasoning is shown so you can overrule any call.</w:t>
      </w:r>
    </w:p>
    <w:p>
      <w:pPr>
        <w:pStyle w:val="Heading2"/>
        <w:spacing w:after="140" w:before="320"/>
      </w:pPr>
      <w:r>
        <w:rPr>
          <w:rFonts w:ascii="Calibri" w:cs="Calibri" w:eastAsia="Calibri" w:hAnsi="Calibri"/>
          <w:b/>
          <w:bCs/>
          <w:color w:val="0A5C3D"/>
          <w:sz w:val="26"/>
          <w:szCs w:val="26"/>
        </w:rPr>
        <w:t xml:space="preserve">0.1 What Each Draft Contributed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Element</w:t>
            </w:r>
          </w:p>
        </w:tc>
        <w:tc>
          <w:tcPr>
            <w:tcW w:type="dxa" w:w="3117"/>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Draft A (design-led)</w:t>
            </w:r>
          </w:p>
        </w:tc>
        <w:tc>
          <w:tcPr>
            <w:tcW w:type="dxa" w:w="3116"/>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Draft B (strategy-led)</w:t>
            </w:r>
          </w:p>
        </w:tc>
      </w:tr>
      <w:tr>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Kept from A</w:t>
            </w:r>
          </w:p>
        </w:tc>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Guard Leaf logo, hex palette + usage ratios, tagline extension system, logo anatomy &amp; misuse rules, voice do/don't, naming architecture</w:t>
            </w:r>
          </w:p>
        </w:tc>
        <w:tc>
          <w:tcPr>
            <w:tcW w:type="dxa" w:w="3116"/>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w:t>
            </w:r>
          </w:p>
        </w:tc>
      </w:tr>
      <w:tr>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Kept from B</w:t>
            </w:r>
          </w:p>
        </w:tc>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w:t>
            </w:r>
          </w:p>
        </w:tc>
        <w:tc>
          <w:tcPr>
            <w:tcW w:type="dxa" w:w="3116"/>
            <w:tcMar>
              <w:top w:type="dxa" w:w="100"/>
              <w:left w:type="dxa" w:w="120"/>
              <w:bottom w:type="dxa" w:w="100"/>
              <w:right w:type="dxa" w:w="120"/>
            </w:tcMar>
          </w:tcPr>
          <w:p>
            <w:r>
              <w:rPr>
                <w:rFonts w:ascii="Calibri" w:cs="Calibri" w:eastAsia="Calibri" w:hAnsi="Calibri"/>
                <w:b w:val="false"/>
                <w:bCs w:val="false"/>
                <w:color w:val="12211B"/>
                <w:sz w:val="20"/>
                <w:szCs w:val="20"/>
              </w:rPr>
              <w:t xml:space="preserve">Master tagline, Guardian/Guide archetype, product messaging matrix, 6 campaign concepts, words-to-use/avoid, social &amp; app-store copy, dashboard card specs, icon system</w:t>
            </w:r>
          </w:p>
        </w:tc>
      </w:tr>
    </w:tbl>
    <w:p>
      <w:pPr>
        <w:pStyle w:val="Heading2"/>
        <w:spacing w:after="140" w:before="320"/>
      </w:pPr>
      <w:r>
        <w:rPr>
          <w:rFonts w:ascii="Calibri" w:cs="Calibri" w:eastAsia="Calibri" w:hAnsi="Calibri"/>
          <w:b/>
          <w:bCs/>
          <w:color w:val="0A5C3D"/>
          <w:sz w:val="26"/>
          <w:szCs w:val="26"/>
        </w:rPr>
        <w:t xml:space="preserve">0.2 The Conflicts — and How They Were Resolved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50"/>
      </w:tblGrid>
      <w:tr>
        <w:tc>
          <w:tcPr>
            <w:tcW w:type="dxa" w:w="22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Conflict</w:t>
            </w:r>
          </w:p>
        </w:tc>
        <w:tc>
          <w:tcPr>
            <w:tcW w:type="dxa" w:w="26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Draft A</w:t>
            </w:r>
          </w:p>
        </w:tc>
        <w:tc>
          <w:tcPr>
            <w:tcW w:type="dxa" w:w="26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Draft B</w:t>
            </w:r>
          </w:p>
        </w:tc>
        <w:tc>
          <w:tcPr>
            <w:tcW w:type="dxa" w:w="195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Decision</w:t>
            </w:r>
          </w:p>
        </w:tc>
      </w:tr>
      <w:tr>
        <w:tc>
          <w:tcPr>
            <w:tcW w:type="dxa" w:w="22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Master tagline</w:t>
            </w:r>
          </w:p>
        </w:tc>
        <w:tc>
          <w:tcPr>
            <w:tcW w:type="dxa" w:w="26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"Well within reach."</w:t>
            </w:r>
          </w:p>
        </w:tc>
        <w:tc>
          <w:tcPr>
            <w:tcW w:type="dxa" w:w="26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"Care that stays with you."</w:t>
            </w:r>
          </w:p>
        </w:tc>
        <w:tc>
          <w:tcPr>
            <w:tcW w:type="dxa" w:w="19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B wins → master. A → campaign line.</w:t>
            </w:r>
          </w:p>
        </w:tc>
      </w:tr>
      <w:tr>
        <w:tc>
          <w:tcPr>
            <w:tcW w:type="dxa" w:w="2200"/>
            <w:tcMar>
              <w:top w:type="dxa" w:w="100"/>
              <w:left w:type="dxa" w:w="120"/>
              <w:bottom w:type="dxa" w:w="100"/>
              <w:right w:type="dxa" w:w="120"/>
            </w:tcMar>
          </w:tcPr>
          <w:p>
            <w:r>
              <w:rPr>
                <w:rFonts w:ascii="Calibri" w:cs="Calibri" w:eastAsia="Calibri" w:hAnsi="Calibri"/>
                <w:b w:val="false"/>
                <w:bCs w:val="false"/>
                <w:color w:val="12211B"/>
                <w:sz w:val="20"/>
                <w:szCs w:val="20"/>
              </w:rPr>
              <w:t xml:space="preserve">Wordmark case</w:t>
            </w:r>
          </w:p>
        </w:tc>
        <w:tc>
          <w:tcPr>
            <w:tcW w:type="dxa" w:w="2600"/>
            <w:tcMar>
              <w:top w:type="dxa" w:w="100"/>
              <w:left w:type="dxa" w:w="120"/>
              <w:bottom w:type="dxa" w:w="100"/>
              <w:right w:type="dxa" w:w="120"/>
            </w:tcMar>
          </w:tcPr>
          <w:p>
            <w:r>
              <w:rPr>
                <w:rFonts w:ascii="Calibri" w:cs="Calibri" w:eastAsia="Calibri" w:hAnsi="Calibri"/>
                <w:b w:val="false"/>
                <w:bCs w:val="false"/>
                <w:color w:val="12211B"/>
                <w:sz w:val="20"/>
                <w:szCs w:val="20"/>
              </w:rPr>
              <w:t xml:space="preserve">lowercase "tarragonhealth"</w:t>
            </w:r>
          </w:p>
        </w:tc>
        <w:tc>
          <w:tcPr>
            <w:tcW w:type="dxa" w:w="2600"/>
            <w:tcMar>
              <w:top w:type="dxa" w:w="100"/>
              <w:left w:type="dxa" w:w="120"/>
              <w:bottom w:type="dxa" w:w="100"/>
              <w:right w:type="dxa" w:w="120"/>
            </w:tcMar>
          </w:tcPr>
          <w:p>
            <w:r>
              <w:rPr>
                <w:rFonts w:ascii="Calibri" w:cs="Calibri" w:eastAsia="Calibri" w:hAnsi="Calibri"/>
                <w:b w:val="false"/>
                <w:bCs w:val="false"/>
                <w:color w:val="12211B"/>
                <w:sz w:val="20"/>
                <w:szCs w:val="20"/>
              </w:rPr>
              <w:t xml:space="preserve">Capitalised "TarragonHealth"</w:t>
            </w:r>
          </w:p>
        </w:tc>
        <w:tc>
          <w:tcPr>
            <w:tcW w:type="dxa" w:w="1950"/>
            <w:tcMar>
              <w:top w:type="dxa" w:w="100"/>
              <w:left w:type="dxa" w:w="120"/>
              <w:bottom w:type="dxa" w:w="100"/>
              <w:right w:type="dxa" w:w="120"/>
            </w:tcMar>
          </w:tcPr>
          <w:p>
            <w:r>
              <w:rPr>
                <w:rFonts w:ascii="Calibri" w:cs="Calibri" w:eastAsia="Calibri" w:hAnsi="Calibri"/>
                <w:b w:val="false"/>
                <w:bCs w:val="false"/>
                <w:color w:val="12211B"/>
                <w:sz w:val="20"/>
                <w:szCs w:val="20"/>
              </w:rPr>
              <w:t xml:space="preserve">B wins — cleaner, per your note.</w:t>
            </w:r>
          </w:p>
        </w:tc>
      </w:tr>
      <w:tr>
        <w:tc>
          <w:tcPr>
            <w:tcW w:type="dxa" w:w="22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Descriptor</w:t>
            </w:r>
          </w:p>
        </w:tc>
        <w:tc>
          <w:tcPr>
            <w:tcW w:type="dxa" w:w="26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"Trusted health monitoring…"</w:t>
            </w:r>
          </w:p>
        </w:tc>
        <w:tc>
          <w:tcPr>
            <w:tcW w:type="dxa" w:w="26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"Clinician-led health monitoring…"</w:t>
            </w:r>
          </w:p>
        </w:tc>
        <w:tc>
          <w:tcPr>
            <w:tcW w:type="dxa" w:w="19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B wins — "clinician-led" adds credibility.</w:t>
            </w:r>
          </w:p>
        </w:tc>
      </w:tr>
      <w:tr>
        <w:tc>
          <w:tcPr>
            <w:tcW w:type="dxa" w:w="2200"/>
            <w:tcMar>
              <w:top w:type="dxa" w:w="100"/>
              <w:left w:type="dxa" w:w="120"/>
              <w:bottom w:type="dxa" w:w="100"/>
              <w:right w:type="dxa" w:w="120"/>
            </w:tcMar>
          </w:tcPr>
          <w:p>
            <w:r>
              <w:rPr>
                <w:rFonts w:ascii="Calibri" w:cs="Calibri" w:eastAsia="Calibri" w:hAnsi="Calibri"/>
                <w:b w:val="false"/>
                <w:bCs w:val="false"/>
                <w:color w:val="12211B"/>
                <w:sz w:val="20"/>
                <w:szCs w:val="20"/>
              </w:rPr>
              <w:t xml:space="preserve">Palette accent</w:t>
            </w:r>
          </w:p>
        </w:tc>
        <w:tc>
          <w:tcPr>
            <w:tcW w:type="dxa" w:w="2600"/>
            <w:tcMar>
              <w:top w:type="dxa" w:w="100"/>
              <w:left w:type="dxa" w:w="120"/>
              <w:bottom w:type="dxa" w:w="100"/>
              <w:right w:type="dxa" w:w="120"/>
            </w:tcMar>
          </w:tcPr>
          <w:p>
            <w:r>
              <w:rPr>
                <w:rFonts w:ascii="Calibri" w:cs="Calibri" w:eastAsia="Calibri" w:hAnsi="Calibri"/>
                <w:b w:val="false"/>
                <w:bCs w:val="false"/>
                <w:color w:val="12211B"/>
                <w:sz w:val="20"/>
                <w:szCs w:val="20"/>
              </w:rPr>
              <w:t xml:space="preserve">Green + Gold only</w:t>
            </w:r>
          </w:p>
        </w:tc>
        <w:tc>
          <w:tcPr>
            <w:tcW w:type="dxa" w:w="2600"/>
            <w:tcMar>
              <w:top w:type="dxa" w:w="100"/>
              <w:left w:type="dxa" w:w="120"/>
              <w:bottom w:type="dxa" w:w="100"/>
              <w:right w:type="dxa" w:w="120"/>
            </w:tcMar>
          </w:tcPr>
          <w:p>
            <w:r>
              <w:rPr>
                <w:rFonts w:ascii="Calibri" w:cs="Calibri" w:eastAsia="Calibri" w:hAnsi="Calibri"/>
                <w:b w:val="false"/>
                <w:bCs w:val="false"/>
                <w:color w:val="12211B"/>
                <w:sz w:val="20"/>
                <w:szCs w:val="20"/>
              </w:rPr>
              <w:t xml:space="preserve">Green + Navy + Ivory</w:t>
            </w:r>
          </w:p>
        </w:tc>
        <w:tc>
          <w:tcPr>
            <w:tcW w:type="dxa" w:w="1950"/>
            <w:tcMar>
              <w:top w:type="dxa" w:w="100"/>
              <w:left w:type="dxa" w:w="120"/>
              <w:bottom w:type="dxa" w:w="100"/>
              <w:right w:type="dxa" w:w="120"/>
            </w:tcMar>
          </w:tcPr>
          <w:p>
            <w:r>
              <w:rPr>
                <w:rFonts w:ascii="Calibri" w:cs="Calibri" w:eastAsia="Calibri" w:hAnsi="Calibri"/>
                <w:b w:val="false"/>
                <w:bCs w:val="false"/>
                <w:color w:val="12211B"/>
                <w:sz w:val="20"/>
                <w:szCs w:val="20"/>
              </w:rPr>
              <w:t xml:space="preserve">Merge both — Navy for B2B, Gold for prompts.</w:t>
            </w:r>
          </w:p>
        </w:tc>
      </w:tr>
      <w:tr>
        <w:tc>
          <w:tcPr>
            <w:tcW w:type="dxa" w:w="22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Clinical colours</w:t>
            </w:r>
          </w:p>
        </w:tc>
        <w:tc>
          <w:tcPr>
            <w:tcW w:type="dxa" w:w="26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Green/amber/red, muted</w:t>
            </w:r>
          </w:p>
        </w:tc>
        <w:tc>
          <w:tcPr>
            <w:tcW w:type="dxa" w:w="26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 Blue (info), Grey (pending)</w:t>
            </w:r>
          </w:p>
        </w:tc>
        <w:tc>
          <w:tcPr>
            <w:tcW w:type="dxa" w:w="19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Merge — B's 5-state system, A's muted tones.</w:t>
            </w:r>
          </w:p>
        </w:tc>
      </w:tr>
    </w:tbl>
    <w:p>
      <w:r>
        <w:br w:type="page"/>
      </w:r>
    </w:p>
    <w:p>
      <w:pPr>
        <w:pStyle w:val="Heading1"/>
        <w:spacing w:after="200" w:before="480"/>
      </w:pPr>
      <w:r>
        <w:rPr>
          <w:rFonts w:ascii="Calibri" w:cs="Calibri" w:eastAsia="Calibri" w:hAnsi="Calibri"/>
          <w:b/>
          <w:bCs/>
          <w:color w:val="0E7C52"/>
          <w:sz w:val="32"/>
          <w:szCs w:val="32"/>
        </w:rPr>
        <w:t xml:space="preserve">1. Brand Foundations</w:t>
      </w:r>
    </w:p>
    <w:p>
      <w:pPr>
        <w:pStyle w:val="Heading2"/>
        <w:spacing w:after="140" w:before="320"/>
      </w:pPr>
      <w:r>
        <w:rPr>
          <w:rFonts w:ascii="Calibri" w:cs="Calibri" w:eastAsia="Calibri" w:hAnsi="Calibri"/>
          <w:b/>
          <w:bCs/>
          <w:color w:val="0A5C3D"/>
          <w:sz w:val="26"/>
          <w:szCs w:val="26"/>
        </w:rPr>
        <w:t xml:space="preserve">1.1 The Brand Truth</w:t>
      </w:r>
    </w:p>
    <w:p>
      <w:pPr>
        <w:spacing w:after="160" w:line="300"/>
      </w:pPr>
      <w:r>
        <w:rPr>
          <w:rFonts w:ascii="Calibri" w:cs="Calibri" w:eastAsia="Calibri" w:hAnsi="Calibri"/>
          <w:b w:val="false"/>
          <w:bCs w:val="false"/>
          <w:i w:val="false"/>
          <w:iCs w:val="false"/>
          <w:color w:val="12211B"/>
          <w:sz w:val="22"/>
          <w:szCs w:val="22"/>
        </w:rPr>
        <w:t xml:space="preserve">Tarragon Health is not selling healthcare. It is selling continuity — the thing Nigerian families have never reliably had. The brand idea in four words: the care between doctor visits. Every element exists to make one thing felt in five seconds: someone is watching over this, consistently, so you don't have to carry it alone.</w:t>
      </w:r>
    </w:p>
    <w:p>
      <w:pPr>
        <w:pStyle w:val="Heading2"/>
        <w:spacing w:after="140" w:before="320"/>
      </w:pPr>
      <w:r>
        <w:rPr>
          <w:rFonts w:ascii="Calibri" w:cs="Calibri" w:eastAsia="Calibri" w:hAnsi="Calibri"/>
          <w:b/>
          <w:bCs/>
          <w:color w:val="0A5C3D"/>
          <w:sz w:val="26"/>
          <w:szCs w:val="26"/>
        </w:rPr>
        <w:t xml:space="preserve">1.2 Positioning Statement</w:t>
      </w:r>
    </w:p>
    <w:p>
      <w:pPr>
        <w:pBdr>
          <w:left w:val="single" w:color="0E7C52" w:sz="18" w:space="12"/>
        </w:pBdr>
        <w:spacing w:after="200" w:before="120"/>
        <w:ind w:left="360"/>
      </w:pPr>
      <w:r>
        <w:rPr>
          <w:rFonts w:ascii="Calibri" w:cs="Calibri" w:eastAsia="Calibri" w:hAnsi="Calibri"/>
          <w:i/>
          <w:iCs/>
          <w:color w:val="0A5C3D"/>
          <w:sz w:val="24"/>
          <w:szCs w:val="24"/>
        </w:rPr>
        <w:t xml:space="preserve">For Nigerian families managing hypertension, diabetes, and the health of loved ones near or far, Tarragon Health is the digital-first care coordination platform that keeps watch continuously — through nurses, AI, and a trusted partner network — unlike hospitals, telemedicine apps, and labs that only show up when something has already gone wrong.</w:t>
      </w:r>
    </w:p>
    <w:p>
      <w:pPr>
        <w:pStyle w:val="Heading2"/>
        <w:spacing w:after="140" w:before="320"/>
      </w:pPr>
      <w:r>
        <w:rPr>
          <w:rFonts w:ascii="Calibri" w:cs="Calibri" w:eastAsia="Calibri" w:hAnsi="Calibri"/>
          <w:b/>
          <w:bCs/>
          <w:color w:val="0A5C3D"/>
          <w:sz w:val="26"/>
          <w:szCs w:val="26"/>
        </w:rPr>
        <w:t xml:space="preserve">1.3 Positioning by Audience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c>
          <w:tcPr>
            <w:tcW w:type="dxa" w:w="2000"/>
            <w:shd w:fill="12324B" w:val="clear"/>
            <w:tcMar>
              <w:top w:type="dxa" w:w="100"/>
              <w:left w:type="dxa" w:w="120"/>
              <w:bottom w:type="dxa" w:w="100"/>
              <w:right w:type="dxa" w:w="120"/>
            </w:tcMar>
          </w:tcPr>
          <w:p>
            <w:r>
              <w:rPr>
                <w:rFonts w:ascii="Calibri" w:cs="Calibri" w:eastAsia="Calibri" w:hAnsi="Calibri"/>
                <w:b/>
                <w:bCs/>
                <w:color w:val="FFFFFF"/>
                <w:sz w:val="20"/>
                <w:szCs w:val="20"/>
              </w:rPr>
              <w:t xml:space="preserve">Investor</w:t>
            </w:r>
          </w:p>
        </w:tc>
        <w:tc>
          <w:tcPr>
            <w:tcW w:type="dxa" w:w="7350"/>
            <w:tcMar>
              <w:top w:type="dxa" w:w="100"/>
              <w:left w:type="dxa" w:w="120"/>
              <w:bottom w:type="dxa" w:w="100"/>
              <w:right w:type="dxa" w:w="120"/>
            </w:tcMar>
          </w:tcPr>
          <w:p>
            <w:r>
              <w:rPr>
                <w:rFonts w:ascii="Calibri" w:cs="Calibri" w:eastAsia="Calibri" w:hAnsi="Calibri"/>
                <w:b w:val="false"/>
                <w:bCs w:val="false"/>
                <w:color w:val="12211B"/>
                <w:sz w:val="20"/>
                <w:szCs w:val="20"/>
              </w:rPr>
              <w:t xml:space="preserve">Tarragon Health is building the chronic disease and preventive health operating system for Nigeria — starting with hypertension, diabetes, ParentCare, medication adherence, labs, pharmacy coordination, corporate health, and HMO population monitoring.</w:t>
            </w:r>
          </w:p>
        </w:tc>
      </w:tr>
      <w:tr>
        <w:tc>
          <w:tcPr>
            <w:tcW w:type="dxa" w:w="2000"/>
            <w:shd w:fill="12324B" w:val="clear"/>
            <w:tcMar>
              <w:top w:type="dxa" w:w="100"/>
              <w:left w:type="dxa" w:w="120"/>
              <w:bottom w:type="dxa" w:w="100"/>
              <w:right w:type="dxa" w:w="120"/>
            </w:tcMar>
          </w:tcPr>
          <w:p>
            <w:r>
              <w:rPr>
                <w:rFonts w:ascii="Calibri" w:cs="Calibri" w:eastAsia="Calibri" w:hAnsi="Calibri"/>
                <w:b/>
                <w:bCs/>
                <w:color w:val="FFFFFF"/>
                <w:sz w:val="20"/>
                <w:szCs w:val="20"/>
              </w:rPr>
              <w:t xml:space="preserve">Patient</w:t>
            </w:r>
          </w:p>
        </w:tc>
        <w:tc>
          <w:tcPr>
            <w:tcW w:type="dxa" w:w="73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Track your blood pressure, blood sugar, medication, lab checks, and health reminders — with support when you need closer monitoring.</w:t>
            </w:r>
          </w:p>
        </w:tc>
      </w:tr>
      <w:tr>
        <w:tc>
          <w:tcPr>
            <w:tcW w:type="dxa" w:w="2000"/>
            <w:shd w:fill="12324B" w:val="clear"/>
            <w:tcMar>
              <w:top w:type="dxa" w:w="100"/>
              <w:left w:type="dxa" w:w="120"/>
              <w:bottom w:type="dxa" w:w="100"/>
              <w:right w:type="dxa" w:w="120"/>
            </w:tcMar>
          </w:tcPr>
          <w:p>
            <w:r>
              <w:rPr>
                <w:rFonts w:ascii="Calibri" w:cs="Calibri" w:eastAsia="Calibri" w:hAnsi="Calibri"/>
                <w:b/>
                <w:bCs/>
                <w:color w:val="FFFFFF"/>
                <w:sz w:val="20"/>
                <w:szCs w:val="20"/>
              </w:rPr>
              <w:t xml:space="preserve">Family</w:t>
            </w:r>
          </w:p>
        </w:tc>
        <w:tc>
          <w:tcPr>
            <w:tcW w:type="dxa" w:w="7350"/>
            <w:tcMar>
              <w:top w:type="dxa" w:w="100"/>
              <w:left w:type="dxa" w:w="120"/>
              <w:bottom w:type="dxa" w:w="100"/>
              <w:right w:type="dxa" w:w="120"/>
            </w:tcMar>
          </w:tcPr>
          <w:p>
            <w:r>
              <w:rPr>
                <w:rFonts w:ascii="Calibri" w:cs="Calibri" w:eastAsia="Calibri" w:hAnsi="Calibri"/>
                <w:b w:val="false"/>
                <w:bCs w:val="false"/>
                <w:color w:val="12211B"/>
                <w:sz w:val="20"/>
                <w:szCs w:val="20"/>
              </w:rPr>
              <w:t xml:space="preserve">Stay informed about your parent or loved one's health, even when you are not physically there every day.</w:t>
            </w:r>
          </w:p>
        </w:tc>
      </w:tr>
      <w:tr>
        <w:tc>
          <w:tcPr>
            <w:tcW w:type="dxa" w:w="2000"/>
            <w:shd w:fill="12324B" w:val="clear"/>
            <w:tcMar>
              <w:top w:type="dxa" w:w="100"/>
              <w:left w:type="dxa" w:w="120"/>
              <w:bottom w:type="dxa" w:w="100"/>
              <w:right w:type="dxa" w:w="120"/>
            </w:tcMar>
          </w:tcPr>
          <w:p>
            <w:r>
              <w:rPr>
                <w:rFonts w:ascii="Calibri" w:cs="Calibri" w:eastAsia="Calibri" w:hAnsi="Calibri"/>
                <w:b/>
                <w:bCs/>
                <w:color w:val="FFFFFF"/>
                <w:sz w:val="20"/>
                <w:szCs w:val="20"/>
              </w:rPr>
              <w:t xml:space="preserve">Corporate / HMO</w:t>
            </w:r>
          </w:p>
        </w:tc>
        <w:tc>
          <w:tcPr>
            <w:tcW w:type="dxa" w:w="73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Visibility into chronic disease risk, care gaps, preventive screening, medication adherence, and population health outcomes.</w:t>
            </w:r>
          </w:p>
        </w:tc>
      </w:tr>
    </w:tbl>
    <w:p>
      <w:pPr>
        <w:pStyle w:val="Heading2"/>
        <w:spacing w:after="140" w:before="320"/>
      </w:pPr>
      <w:r>
        <w:rPr>
          <w:rFonts w:ascii="Calibri" w:cs="Calibri" w:eastAsia="Calibri" w:hAnsi="Calibri"/>
          <w:b/>
          <w:bCs/>
          <w:color w:val="0A5C3D"/>
          <w:sz w:val="26"/>
          <w:szCs w:val="26"/>
        </w:rPr>
        <w:t xml:space="preserve">1.4 Brand Promise</w:t>
      </w:r>
    </w:p>
    <w:p>
      <w:pPr>
        <w:spacing w:after="160" w:line="300"/>
      </w:pPr>
      <w:r>
        <w:rPr>
          <w:rFonts w:ascii="Calibri" w:cs="Calibri" w:eastAsia="Calibri" w:hAnsi="Calibri"/>
          <w:b w:val="false"/>
          <w:bCs w:val="false"/>
          <w:i w:val="false"/>
          <w:iCs w:val="false"/>
          <w:color w:val="12211B"/>
          <w:sz w:val="22"/>
          <w:szCs w:val="22"/>
        </w:rPr>
        <w:t xml:space="preserve">We help families monitor health, close care gaps, coordinate follow-up, and prevent avoidable crises — before problems become emergencies.</w:t>
      </w:r>
    </w:p>
    <w:p>
      <w:pPr>
        <w:pStyle w:val="Heading2"/>
        <w:spacing w:after="140" w:before="320"/>
      </w:pPr>
      <w:r>
        <w:rPr>
          <w:rFonts w:ascii="Calibri" w:cs="Calibri" w:eastAsia="Calibri" w:hAnsi="Calibri"/>
          <w:b/>
          <w:bCs/>
          <w:color w:val="0A5C3D"/>
          <w:sz w:val="26"/>
          <w:szCs w:val="26"/>
        </w:rPr>
        <w:t xml:space="preserve">1.5 Brand Archetype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Primary — Guardian</w:t>
            </w:r>
          </w:p>
        </w:tc>
        <w:tc>
          <w:tcPr>
            <w:tcW w:type="dxa" w:w="6233"/>
            <w:tcMar>
              <w:top w:type="dxa" w:w="100"/>
              <w:left w:type="dxa" w:w="120"/>
              <w:bottom w:type="dxa" w:w="100"/>
              <w:right w:type="dxa" w:w="120"/>
            </w:tcMar>
          </w:tcPr>
          <w:p>
            <w:r>
              <w:rPr>
                <w:rFonts w:ascii="Calibri" w:cs="Calibri" w:eastAsia="Calibri" w:hAnsi="Calibri"/>
                <w:b w:val="false"/>
                <w:bCs w:val="false"/>
                <w:color w:val="12211B"/>
                <w:sz w:val="20"/>
                <w:szCs w:val="20"/>
              </w:rPr>
              <w:t xml:space="preserve">Protective, watchful, safe. Tarragon guards against avoidable crises.</w:t>
            </w:r>
          </w:p>
        </w:tc>
      </w:tr>
      <w:tr>
        <w:tc>
          <w:tcPr>
            <w:tcW w:type="dxa" w:w="3117"/>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Secondary — Guide</w:t>
            </w:r>
          </w:p>
        </w:tc>
        <w:tc>
          <w:tcPr>
            <w:tcW w:type="dxa" w:w="6233"/>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Helps families and patients navigate a fragmented system with clarity.</w:t>
            </w:r>
          </w:p>
        </w:tc>
      </w:tr>
      <w:tr>
        <w:tc>
          <w:tcPr>
            <w:tcW w:type="dxa" w:w="3117"/>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Strategic — Infrastructure builder</w:t>
            </w:r>
          </w:p>
        </w:tc>
        <w:tc>
          <w:tcPr>
            <w:tcW w:type="dxa" w:w="6233"/>
            <w:tcMar>
              <w:top w:type="dxa" w:w="100"/>
              <w:left w:type="dxa" w:w="120"/>
              <w:bottom w:type="dxa" w:w="100"/>
              <w:right w:type="dxa" w:w="120"/>
            </w:tcMar>
          </w:tcPr>
          <w:p>
            <w:r>
              <w:rPr>
                <w:rFonts w:ascii="Calibri" w:cs="Calibri" w:eastAsia="Calibri" w:hAnsi="Calibri"/>
                <w:b w:val="false"/>
                <w:bCs w:val="false"/>
                <w:color w:val="12211B"/>
                <w:sz w:val="20"/>
                <w:szCs w:val="20"/>
              </w:rPr>
              <w:t xml:space="preserve">Long term, Tarragon is the coordination layer others build on.</w:t>
            </w:r>
          </w:p>
        </w:tc>
      </w:tr>
    </w:tbl>
    <w:p>
      <w:pPr>
        <w:spacing w:after="160" w:line="300"/>
      </w:pPr>
      <w:r>
        <w:rPr>
          <w:rFonts w:ascii="Calibri" w:cs="Calibri" w:eastAsia="Calibri" w:hAnsi="Calibri"/>
          <w:b w:val="false"/>
          <w:bCs w:val="false"/>
          <w:i/>
          <w:iCs/>
          <w:color w:val="12211B"/>
          <w:sz w:val="22"/>
          <w:szCs w:val="22"/>
        </w:rPr>
        <w:t xml:space="preserve">This means Tarragon should never sound like a trendy wellness brand. It should sound like a reliable health partner that families, clinicians, employers, HMOs, and investors can all trust.</w:t>
      </w:r>
    </w:p>
    <w:p>
      <w:r>
        <w:br w:type="page"/>
      </w:r>
    </w:p>
    <w:p>
      <w:pPr>
        <w:pStyle w:val="Heading1"/>
        <w:spacing w:after="200" w:before="480"/>
      </w:pPr>
      <w:r>
        <w:rPr>
          <w:rFonts w:ascii="Calibri" w:cs="Calibri" w:eastAsia="Calibri" w:hAnsi="Calibri"/>
          <w:b/>
          <w:bCs/>
          <w:color w:val="0E7C52"/>
          <w:sz w:val="32"/>
          <w:szCs w:val="32"/>
        </w:rPr>
        <w:t xml:space="preserve">2. Tagline System</w:t>
      </w:r>
    </w:p>
    <w:p>
      <w:pPr>
        <w:pStyle w:val="Heading2"/>
        <w:spacing w:after="140" w:before="320"/>
      </w:pPr>
      <w:r>
        <w:rPr>
          <w:rFonts w:ascii="Calibri" w:cs="Calibri" w:eastAsia="Calibri" w:hAnsi="Calibri"/>
          <w:b/>
          <w:bCs/>
          <w:color w:val="0A5C3D"/>
          <w:sz w:val="26"/>
          <w:szCs w:val="26"/>
        </w:rPr>
        <w:t xml:space="preserve">2.1 Master Tagline — Final</w:t>
      </w:r>
    </w:p>
    <w:p>
      <w:pPr>
        <w:shd w:fill="E7F3EC" w:val="clear"/>
        <w:spacing w:after="100" w:before="200"/>
        <w:jc w:val="center"/>
      </w:pPr>
      <w:r>
        <w:rPr>
          <w:rFonts w:ascii="Calibri" w:cs="Calibri" w:eastAsia="Calibri" w:hAnsi="Calibri"/>
          <w:b/>
          <w:bCs/>
          <w:color w:val="0E7C52"/>
          <w:sz w:val="44"/>
          <w:szCs w:val="44"/>
        </w:rPr>
        <w:t xml:space="preserve">"Care that stays with you."</w:t>
      </w:r>
    </w:p>
    <w:p>
      <w:pPr>
        <w:spacing w:after="160" w:line="300"/>
      </w:pPr>
      <w:r>
        <w:rPr>
          <w:rFonts w:ascii="Calibri" w:cs="Calibri" w:eastAsia="Calibri" w:hAnsi="Calibri"/>
          <w:b w:val="false"/>
          <w:bCs w:val="false"/>
          <w:i w:val="false"/>
          <w:iCs w:val="false"/>
          <w:color w:val="12211B"/>
          <w:sz w:val="22"/>
          <w:szCs w:val="22"/>
        </w:rPr>
        <w:t xml:space="preserve">Why this beats the alternative. Both candidate lines are strong, but continuity is Tarragon's entire strategic thesis — "the care between doctor visits." This line names the exact differentiator no competitor owns:</w:t>
      </w:r>
    </w:p>
    <w:p>
      <w:pPr>
        <w:pStyle w:val="ListParagraph"/>
        <w:numPr>
          <w:ilvl w:val="0"/>
          <w:numId w:val="2"/>
        </w:numPr>
        <w:spacing w:after="80"/>
      </w:pPr>
      <w:r>
        <w:rPr>
          <w:rFonts w:ascii="Calibri" w:cs="Calibri" w:eastAsia="Calibri" w:hAnsi="Calibri"/>
          <w:color w:val="12211B"/>
          <w:sz w:val="22"/>
          <w:szCs w:val="22"/>
        </w:rPr>
        <w:t xml:space="preserve">Emotional — it directly reassures the anxious diaspora daughter, who is the highest-LTV buyer in the whole model.</w:t>
      </w:r>
    </w:p>
    <w:p>
      <w:pPr>
        <w:pStyle w:val="ListParagraph"/>
        <w:numPr>
          <w:ilvl w:val="0"/>
          <w:numId w:val="2"/>
        </w:numPr>
        <w:spacing w:after="80"/>
      </w:pPr>
      <w:r>
        <w:rPr>
          <w:rFonts w:ascii="Calibri" w:cs="Calibri" w:eastAsia="Calibri" w:hAnsi="Calibri"/>
          <w:color w:val="12211B"/>
          <w:sz w:val="22"/>
          <w:szCs w:val="22"/>
        </w:rPr>
        <w:t xml:space="preserve">Strategic — it captures continuity, monitoring, prevention, follow-up, and long-term care in one phrase.</w:t>
      </w:r>
    </w:p>
    <w:p>
      <w:pPr>
        <w:pStyle w:val="ListParagraph"/>
        <w:numPr>
          <w:ilvl w:val="0"/>
          <w:numId w:val="2"/>
        </w:numPr>
        <w:spacing w:after="80"/>
      </w:pPr>
      <w:r>
        <w:rPr>
          <w:rFonts w:ascii="Calibri" w:cs="Calibri" w:eastAsia="Calibri" w:hAnsi="Calibri"/>
          <w:color w:val="12211B"/>
          <w:sz w:val="22"/>
          <w:szCs w:val="22"/>
        </w:rPr>
        <w:t xml:space="preserve">Broad — it works across hypertension, diabetes, ParentCare, preventive screening, corporate, and HMO products without rewording.</w:t>
      </w:r>
    </w:p>
    <w:p>
      <w:pPr>
        <w:pStyle w:val="ListParagraph"/>
        <w:numPr>
          <w:ilvl w:val="0"/>
          <w:numId w:val="2"/>
        </w:numPr>
        <w:spacing w:after="80"/>
      </w:pPr>
      <w:r>
        <w:rPr>
          <w:rFonts w:ascii="Calibri" w:cs="Calibri" w:eastAsia="Calibri" w:hAnsi="Calibri"/>
          <w:color w:val="12211B"/>
          <w:sz w:val="22"/>
          <w:szCs w:val="22"/>
        </w:rPr>
        <w:t xml:space="preserve">Durable &amp; scalable — it sounds trustworthy rather than app-trendy, and travels to diaspora and future African markets intact.</w:t>
      </w:r>
    </w:p>
    <w:p>
      <w:pPr>
        <w:pStyle w:val="Heading3"/>
        <w:spacing w:after="100" w:before="220"/>
      </w:pPr>
      <w:r>
        <w:rPr>
          <w:rFonts w:ascii="Calibri" w:cs="Calibri" w:eastAsia="Calibri" w:hAnsi="Calibri"/>
          <w:b/>
          <w:bCs/>
          <w:color w:val="12211B"/>
          <w:sz w:val="22"/>
          <w:szCs w:val="22"/>
        </w:rPr>
        <w:t xml:space="preserve">The runner-up, reassigned</w:t>
      </w:r>
    </w:p>
    <w:p>
      <w:pPr>
        <w:spacing w:after="160" w:line="300"/>
      </w:pPr>
      <w:r>
        <w:rPr>
          <w:rFonts w:ascii="Calibri" w:cs="Calibri" w:eastAsia="Calibri" w:hAnsi="Calibri"/>
          <w:b w:val="false"/>
          <w:bCs w:val="false"/>
          <w:i w:val="false"/>
          <w:iCs w:val="false"/>
          <w:color w:val="12211B"/>
          <w:sz w:val="22"/>
          <w:szCs w:val="22"/>
        </w:rPr>
        <w:t xml:space="preserve">"Well within reach." is not discarded — it becomes the attainability / accessibility campaign line, used where the message is that quality care is affordable and close. It is deliberately punchier and works well on billboards and paid social, but it is more generic than the master line, so it does not carry the brand alone.</w:t>
      </w:r>
    </w:p>
    <w:p>
      <w:pPr>
        <w:pStyle w:val="Heading2"/>
        <w:spacing w:after="140" w:before="320"/>
      </w:pPr>
      <w:r>
        <w:rPr>
          <w:rFonts w:ascii="Calibri" w:cs="Calibri" w:eastAsia="Calibri" w:hAnsi="Calibri"/>
          <w:b/>
          <w:bCs/>
          <w:color w:val="0A5C3D"/>
          <w:sz w:val="26"/>
          <w:szCs w:val="26"/>
        </w:rPr>
        <w:t xml:space="preserve">2.2 Secondary Taglines by Context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Use case</w:t>
            </w:r>
          </w:p>
        </w:tc>
        <w:tc>
          <w:tcPr>
            <w:tcW w:type="dxa" w:w="6233"/>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Tagline</w:t>
            </w:r>
          </w:p>
        </w:tc>
      </w:tr>
      <w:tr>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Website hero</w:t>
            </w:r>
          </w:p>
        </w:tc>
        <w:tc>
          <w:tcPr>
            <w:tcW w:type="dxa" w:w="6233"/>
            <w:tcMar>
              <w:top w:type="dxa" w:w="100"/>
              <w:left w:type="dxa" w:w="120"/>
              <w:bottom w:type="dxa" w:w="100"/>
              <w:right w:type="dxa" w:w="120"/>
            </w:tcMar>
          </w:tcPr>
          <w:p>
            <w:r>
              <w:rPr>
                <w:rFonts w:ascii="Calibri" w:cs="Calibri" w:eastAsia="Calibri" w:hAnsi="Calibri"/>
                <w:b w:val="false"/>
                <w:bCs w:val="false"/>
                <w:color w:val="12211B"/>
                <w:sz w:val="20"/>
                <w:szCs w:val="20"/>
              </w:rPr>
              <w:t xml:space="preserve">Trusted health monitoring for you, your parents, and your loved ones.</w:t>
            </w:r>
          </w:p>
        </w:tc>
      </w:tr>
      <w:tr>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Family product</w:t>
            </w:r>
          </w:p>
        </w:tc>
        <w:tc>
          <w:tcPr>
            <w:tcW w:type="dxa" w:w="6233"/>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Peace of mind for the people you love.</w:t>
            </w:r>
          </w:p>
        </w:tc>
      </w:tr>
      <w:tr>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Chronic disease</w:t>
            </w:r>
          </w:p>
        </w:tc>
        <w:tc>
          <w:tcPr>
            <w:tcW w:type="dxa" w:w="6233"/>
            <w:tcMar>
              <w:top w:type="dxa" w:w="100"/>
              <w:left w:type="dxa" w:w="120"/>
              <w:bottom w:type="dxa" w:w="100"/>
              <w:right w:type="dxa" w:w="120"/>
            </w:tcMar>
          </w:tcPr>
          <w:p>
            <w:r>
              <w:rPr>
                <w:rFonts w:ascii="Calibri" w:cs="Calibri" w:eastAsia="Calibri" w:hAnsi="Calibri"/>
                <w:b w:val="false"/>
                <w:bCs w:val="false"/>
                <w:color w:val="12211B"/>
                <w:sz w:val="20"/>
                <w:szCs w:val="20"/>
              </w:rPr>
              <w:t xml:space="preserve">Better follow-up. Better control. Better health.</w:t>
            </w:r>
          </w:p>
        </w:tc>
      </w:tr>
      <w:tr>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Preventive health</w:t>
            </w:r>
          </w:p>
        </w:tc>
        <w:tc>
          <w:tcPr>
            <w:tcW w:type="dxa" w:w="6233"/>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Find risks early. Act before crisis.</w:t>
            </w:r>
          </w:p>
        </w:tc>
      </w:tr>
      <w:tr>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Corporate / HMO</w:t>
            </w:r>
          </w:p>
        </w:tc>
        <w:tc>
          <w:tcPr>
            <w:tcW w:type="dxa" w:w="6233"/>
            <w:tcMar>
              <w:top w:type="dxa" w:w="100"/>
              <w:left w:type="dxa" w:w="120"/>
              <w:bottom w:type="dxa" w:w="100"/>
              <w:right w:type="dxa" w:w="120"/>
            </w:tcMar>
          </w:tcPr>
          <w:p>
            <w:r>
              <w:rPr>
                <w:rFonts w:ascii="Calibri" w:cs="Calibri" w:eastAsia="Calibri" w:hAnsi="Calibri"/>
                <w:b w:val="false"/>
                <w:bCs w:val="false"/>
                <w:color w:val="12211B"/>
                <w:sz w:val="20"/>
                <w:szCs w:val="20"/>
              </w:rPr>
              <w:t xml:space="preserve">Smarter monitoring for healthier populations.</w:t>
            </w:r>
          </w:p>
        </w:tc>
      </w:tr>
      <w:tr>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Accessibility campaign</w:t>
            </w:r>
          </w:p>
        </w:tc>
        <w:tc>
          <w:tcPr>
            <w:tcW w:type="dxa" w:w="6233"/>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Well within reach.</w:t>
            </w:r>
          </w:p>
        </w:tc>
      </w:tr>
      <w:tr>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Premium ParentCare</w:t>
            </w:r>
          </w:p>
        </w:tc>
        <w:tc>
          <w:tcPr>
            <w:tcW w:type="dxa" w:w="6233"/>
            <w:tcMar>
              <w:top w:type="dxa" w:w="100"/>
              <w:left w:type="dxa" w:w="120"/>
              <w:bottom w:type="dxa" w:w="100"/>
              <w:right w:type="dxa" w:w="120"/>
            </w:tcMar>
          </w:tcPr>
          <w:p>
            <w:r>
              <w:rPr>
                <w:rFonts w:ascii="Calibri" w:cs="Calibri" w:eastAsia="Calibri" w:hAnsi="Calibri"/>
                <w:b w:val="false"/>
                <w:bCs w:val="false"/>
                <w:color w:val="12211B"/>
                <w:sz w:val="20"/>
                <w:szCs w:val="20"/>
              </w:rPr>
              <w:t xml:space="preserve">Dedicated care coordination for your loved ones.</w:t>
            </w:r>
          </w:p>
        </w:tc>
      </w:tr>
      <w:tr>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Diaspora marketing</w:t>
            </w:r>
          </w:p>
        </w:tc>
        <w:tc>
          <w:tcPr>
            <w:tcW w:type="dxa" w:w="6233"/>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Look after home, even from far away.</w:t>
            </w:r>
          </w:p>
        </w:tc>
      </w:tr>
    </w:tbl>
    <w:p>
      <w:pPr>
        <w:pStyle w:val="Heading2"/>
        <w:spacing w:after="140" w:before="320"/>
      </w:pPr>
      <w:r>
        <w:rPr>
          <w:rFonts w:ascii="Calibri" w:cs="Calibri" w:eastAsia="Calibri" w:hAnsi="Calibri"/>
          <w:b/>
          <w:bCs/>
          <w:color w:val="0A5C3D"/>
          <w:sz w:val="26"/>
          <w:szCs w:val="26"/>
        </w:rPr>
        <w:t xml:space="preserve">2.3 Usage Rules</w:t>
      </w:r>
    </w:p>
    <w:p>
      <w:pPr>
        <w:pStyle w:val="ListParagraph"/>
        <w:numPr>
          <w:ilvl w:val="0"/>
          <w:numId w:val="2"/>
        </w:numPr>
        <w:spacing w:after="80"/>
      </w:pPr>
      <w:r>
        <w:rPr>
          <w:rFonts w:ascii="Calibri" w:cs="Calibri" w:eastAsia="Calibri" w:hAnsi="Calibri"/>
          <w:color w:val="12211B"/>
          <w:sz w:val="22"/>
          <w:szCs w:val="22"/>
        </w:rPr>
        <w:t xml:space="preserve">Master tagline always appears in sentence case with a full stop: "Care that stays with you." — never a question, never all-caps in body text.</w:t>
      </w:r>
    </w:p>
    <w:p>
      <w:pPr>
        <w:pStyle w:val="ListParagraph"/>
        <w:numPr>
          <w:ilvl w:val="0"/>
          <w:numId w:val="2"/>
        </w:numPr>
        <w:spacing w:after="80"/>
      </w:pPr>
      <w:r>
        <w:rPr>
          <w:rFonts w:ascii="Calibri" w:cs="Calibri" w:eastAsia="Calibri" w:hAnsi="Calibri"/>
          <w:color w:val="12211B"/>
          <w:sz w:val="22"/>
          <w:szCs w:val="22"/>
        </w:rPr>
        <w:t xml:space="preserve">The functional descriptor ("Clinician-led health monitoring for you, your parents, and your loved ones.") sits beneath the master line — it supports, never replaces it.</w:t>
      </w:r>
    </w:p>
    <w:p>
      <w:pPr>
        <w:pStyle w:val="ListParagraph"/>
        <w:numPr>
          <w:ilvl w:val="0"/>
          <w:numId w:val="2"/>
        </w:numPr>
        <w:spacing w:after="80"/>
      </w:pPr>
      <w:r>
        <w:rPr>
          <w:rFonts w:ascii="Calibri" w:cs="Calibri" w:eastAsia="Calibri" w:hAnsi="Calibri"/>
          <w:color w:val="12211B"/>
          <w:sz w:val="22"/>
          <w:szCs w:val="22"/>
        </w:rPr>
        <w:t xml:space="preserve">Only one secondary tagline per page or asset — never stack two.</w:t>
      </w:r>
    </w:p>
    <w:p>
      <w:r>
        <w:br w:type="page"/>
      </w:r>
    </w:p>
    <w:p>
      <w:pPr>
        <w:pStyle w:val="Heading1"/>
        <w:spacing w:after="200" w:before="480"/>
      </w:pPr>
      <w:r>
        <w:rPr>
          <w:rFonts w:ascii="Calibri" w:cs="Calibri" w:eastAsia="Calibri" w:hAnsi="Calibri"/>
          <w:b/>
          <w:bCs/>
          <w:color w:val="0E7C52"/>
          <w:sz w:val="32"/>
          <w:szCs w:val="32"/>
        </w:rPr>
        <w:t xml:space="preserve">3. Brand Personality &amp; Voice</w:t>
      </w:r>
    </w:p>
    <w:p>
      <w:pPr>
        <w:pStyle w:val="Heading2"/>
        <w:spacing w:after="140" w:before="320"/>
      </w:pPr>
      <w:r>
        <w:rPr>
          <w:rFonts w:ascii="Calibri" w:cs="Calibri" w:eastAsia="Calibri" w:hAnsi="Calibri"/>
          <w:b/>
          <w:bCs/>
          <w:color w:val="0A5C3D"/>
          <w:sz w:val="26"/>
          <w:szCs w:val="26"/>
        </w:rPr>
        <w:t xml:space="preserve">3.1 Personality Pillars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Trustworthy</w:t>
            </w:r>
          </w:p>
        </w:tc>
        <w:tc>
          <w:tcPr>
            <w:tcW w:type="dxa" w:w="6750"/>
            <w:tcMar>
              <w:top w:type="dxa" w:w="100"/>
              <w:left w:type="dxa" w:w="120"/>
              <w:bottom w:type="dxa" w:w="100"/>
              <w:right w:type="dxa" w:w="120"/>
            </w:tcMar>
          </w:tcPr>
          <w:p>
            <w:r>
              <w:rPr>
                <w:rFonts w:ascii="Calibri" w:cs="Calibri" w:eastAsia="Calibri" w:hAnsi="Calibri"/>
                <w:b w:val="false"/>
                <w:bCs w:val="false"/>
                <w:color w:val="12211B"/>
                <w:sz w:val="20"/>
                <w:szCs w:val="20"/>
              </w:rPr>
              <w:t xml:space="preserve">Clinically credible, safe, protocol-driven. We earn trust, we don't claim it.</w:t>
            </w:r>
          </w:p>
        </w:tc>
      </w:tr>
      <w:tr>
        <w:tc>
          <w:tcPr>
            <w:tcW w:type="dxa" w:w="26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Warm</w:t>
            </w:r>
          </w:p>
        </w:tc>
        <w:tc>
          <w:tcPr>
            <w:tcW w:type="dxa" w:w="67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Family-centred and human. We sound like a nurse who knows your name, not a hospital PA system.</w:t>
            </w:r>
          </w:p>
        </w:tc>
      </w:tr>
      <w:tr>
        <w:tc>
          <w:tcPr>
            <w:tcW w:type="dxa" w:w="26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Intelligent</w:t>
            </w:r>
          </w:p>
        </w:tc>
        <w:tc>
          <w:tcPr>
            <w:tcW w:type="dxa" w:w="6750"/>
            <w:tcMar>
              <w:top w:type="dxa" w:w="100"/>
              <w:left w:type="dxa" w:w="120"/>
              <w:bottom w:type="dxa" w:w="100"/>
              <w:right w:type="dxa" w:w="120"/>
            </w:tcMar>
          </w:tcPr>
          <w:p>
            <w:r>
              <w:rPr>
                <w:rFonts w:ascii="Calibri" w:cs="Calibri" w:eastAsia="Calibri" w:hAnsi="Calibri"/>
                <w:b w:val="false"/>
                <w:bCs w:val="false"/>
                <w:color w:val="12211B"/>
                <w:sz w:val="20"/>
                <w:szCs w:val="20"/>
              </w:rPr>
              <w:t xml:space="preserve">Data-led, organised, preventive. We explain HbA1c in one clear sentence and never patronise.</w:t>
            </w:r>
          </w:p>
        </w:tc>
      </w:tr>
      <w:tr>
        <w:tc>
          <w:tcPr>
            <w:tcW w:type="dxa" w:w="26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Calm</w:t>
            </w:r>
          </w:p>
        </w:tc>
        <w:tc>
          <w:tcPr>
            <w:tcW w:type="dxa" w:w="67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Not alarmist, not fear-based. We notice things early and calmly.</w:t>
            </w:r>
          </w:p>
        </w:tc>
      </w:tr>
      <w:tr>
        <w:tc>
          <w:tcPr>
            <w:tcW w:type="dxa" w:w="26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Premium but accessible</w:t>
            </w:r>
          </w:p>
        </w:tc>
        <w:tc>
          <w:tcPr>
            <w:tcW w:type="dxa" w:w="6750"/>
            <w:tcMar>
              <w:top w:type="dxa" w:w="100"/>
              <w:left w:type="dxa" w:w="120"/>
              <w:bottom w:type="dxa" w:w="100"/>
              <w:right w:type="dxa" w:w="120"/>
            </w:tcMar>
          </w:tcPr>
          <w:p>
            <w:r>
              <w:rPr>
                <w:rFonts w:ascii="Calibri" w:cs="Calibri" w:eastAsia="Calibri" w:hAnsi="Calibri"/>
                <w:b w:val="false"/>
                <w:bCs w:val="false"/>
                <w:color w:val="12211B"/>
                <w:sz w:val="20"/>
                <w:szCs w:val="20"/>
              </w:rPr>
              <w:t xml:space="preserve">High quality without feeling elitist. Well within reach.</w:t>
            </w:r>
          </w:p>
        </w:tc>
      </w:tr>
      <w:tr>
        <w:tc>
          <w:tcPr>
            <w:tcW w:type="dxa" w:w="26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Nigerian-relevant</w:t>
            </w:r>
          </w:p>
        </w:tc>
        <w:tc>
          <w:tcPr>
            <w:tcW w:type="dxa" w:w="67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Salt in jollof, garri, BP cuffs from the market — our examples are always local.</w:t>
            </w:r>
          </w:p>
        </w:tc>
      </w:tr>
    </w:tbl>
    <w:p>
      <w:pPr>
        <w:pStyle w:val="Heading2"/>
        <w:spacing w:after="140" w:before="320"/>
      </w:pPr>
      <w:r>
        <w:rPr>
          <w:rFonts w:ascii="Calibri" w:cs="Calibri" w:eastAsia="Calibri" w:hAnsi="Calibri"/>
          <w:b/>
          <w:bCs/>
          <w:color w:val="0A5C3D"/>
          <w:sz w:val="26"/>
          <w:szCs w:val="26"/>
        </w:rPr>
        <w:t xml:space="preserve">3.2 Voice: Do / Don't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Do</w:t>
            </w:r>
          </w:p>
        </w:tc>
        <w:tc>
          <w:tcPr>
            <w:tcW w:type="dxa" w:w="4675"/>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Don't</w:t>
            </w:r>
          </w:p>
        </w:tc>
      </w:tr>
      <w:tr>
        <w:tc>
          <w:tcPr>
            <w:tcW w:type="dxa" w:w="4675"/>
            <w:tcMar>
              <w:top w:type="dxa" w:w="100"/>
              <w:left w:type="dxa" w:w="120"/>
              <w:bottom w:type="dxa" w:w="100"/>
              <w:right w:type="dxa" w:w="120"/>
            </w:tcMar>
          </w:tcPr>
          <w:p>
            <w:r>
              <w:rPr>
                <w:rFonts w:ascii="Calibri" w:cs="Calibri" w:eastAsia="Calibri" w:hAnsi="Calibri"/>
                <w:b w:val="false"/>
                <w:bCs w:val="false"/>
                <w:color w:val="12211B"/>
                <w:sz w:val="20"/>
                <w:szCs w:val="20"/>
              </w:rPr>
              <w:t xml:space="preserve">"Your BP has been a little high this week — your nurse will call today."</w:t>
            </w:r>
          </w:p>
        </w:tc>
        <w:tc>
          <w:tcPr>
            <w:tcW w:type="dxa" w:w="4675"/>
            <w:tcMar>
              <w:top w:type="dxa" w:w="100"/>
              <w:left w:type="dxa" w:w="120"/>
              <w:bottom w:type="dxa" w:w="100"/>
              <w:right w:type="dxa" w:w="120"/>
            </w:tcMar>
          </w:tcPr>
          <w:p>
            <w:r>
              <w:rPr>
                <w:rFonts w:ascii="Calibri" w:cs="Calibri" w:eastAsia="Calibri" w:hAnsi="Calibri"/>
                <w:b w:val="false"/>
                <w:bCs w:val="false"/>
                <w:color w:val="12211B"/>
                <w:sz w:val="20"/>
                <w:szCs w:val="20"/>
              </w:rPr>
              <w:t xml:space="preserve">"WARNING: Abnormal reading detected."</w:t>
            </w:r>
          </w:p>
        </w:tc>
      </w:tr>
      <w:tr>
        <w:tc>
          <w:tcPr>
            <w:tcW w:type="dxa" w:w="4675"/>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"Dad's numbers looked good this week."</w:t>
            </w:r>
          </w:p>
        </w:tc>
        <w:tc>
          <w:tcPr>
            <w:tcW w:type="dxa" w:w="4675"/>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"Patient X-4471 vitals within normal parameters."</w:t>
            </w:r>
          </w:p>
        </w:tc>
      </w:tr>
      <w:tr>
        <w:tc>
          <w:tcPr>
            <w:tcW w:type="dxa" w:w="4675"/>
            <w:tcMar>
              <w:top w:type="dxa" w:w="100"/>
              <w:left w:type="dxa" w:w="120"/>
              <w:bottom w:type="dxa" w:w="100"/>
              <w:right w:type="dxa" w:w="120"/>
            </w:tcMar>
          </w:tcPr>
          <w:p>
            <w:r>
              <w:rPr>
                <w:rFonts w:ascii="Calibri" w:cs="Calibri" w:eastAsia="Calibri" w:hAnsi="Calibri"/>
                <w:b w:val="false"/>
                <w:bCs w:val="false"/>
                <w:color w:val="12211B"/>
                <w:sz w:val="20"/>
                <w:szCs w:val="20"/>
              </w:rPr>
              <w:t xml:space="preserve">"12% of your team are pre-diabetic — here's what that could cost, and how we bring it down."</w:t>
            </w:r>
          </w:p>
        </w:tc>
        <w:tc>
          <w:tcPr>
            <w:tcW w:type="dxa" w:w="4675"/>
            <w:tcMar>
              <w:top w:type="dxa" w:w="100"/>
              <w:left w:type="dxa" w:w="120"/>
              <w:bottom w:type="dxa" w:w="100"/>
              <w:right w:type="dxa" w:w="120"/>
            </w:tcMar>
          </w:tcPr>
          <w:p>
            <w:r>
              <w:rPr>
                <w:rFonts w:ascii="Calibri" w:cs="Calibri" w:eastAsia="Calibri" w:hAnsi="Calibri"/>
                <w:b w:val="false"/>
                <w:bCs w:val="false"/>
                <w:color w:val="12211B"/>
                <w:sz w:val="20"/>
                <w:szCs w:val="20"/>
              </w:rPr>
              <w:t xml:space="preserve">"Revolutionary AI-powered platform disrupting Nigerian healthcare!"</w:t>
            </w:r>
          </w:p>
        </w:tc>
      </w:tr>
    </w:tbl>
    <w:p>
      <w:pPr>
        <w:pStyle w:val="Heading2"/>
        <w:spacing w:after="140" w:before="320"/>
      </w:pPr>
      <w:r>
        <w:rPr>
          <w:rFonts w:ascii="Calibri" w:cs="Calibri" w:eastAsia="Calibri" w:hAnsi="Calibri"/>
          <w:b/>
          <w:bCs/>
          <w:color w:val="0A5C3D"/>
          <w:sz w:val="26"/>
          <w:szCs w:val="26"/>
        </w:rPr>
        <w:t xml:space="preserve">3.3 Vocabulary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Words to use often</w:t>
            </w:r>
          </w:p>
        </w:tc>
        <w:tc>
          <w:tcPr>
            <w:tcW w:type="dxa" w:w="4675"/>
            <w:shd w:fill="D14343" w:val="clear"/>
            <w:tcMar>
              <w:top w:type="dxa" w:w="100"/>
              <w:left w:type="dxa" w:w="120"/>
              <w:bottom w:type="dxa" w:w="100"/>
              <w:right w:type="dxa" w:w="120"/>
            </w:tcMar>
          </w:tcPr>
          <w:p>
            <w:r>
              <w:rPr>
                <w:rFonts w:ascii="Calibri" w:cs="Calibri" w:eastAsia="Calibri" w:hAnsi="Calibri"/>
                <w:b/>
                <w:bCs/>
                <w:color w:val="FFFFFF"/>
                <w:sz w:val="20"/>
                <w:szCs w:val="20"/>
              </w:rPr>
              <w:t xml:space="preserve">Words to avoid</w:t>
            </w:r>
          </w:p>
        </w:tc>
      </w:tr>
      <w:tr>
        <w:tc>
          <w:tcPr>
            <w:tcW w:type="dxa" w:w="4675"/>
            <w:tcMar>
              <w:top w:type="dxa" w:w="100"/>
              <w:left w:type="dxa" w:w="120"/>
              <w:bottom w:type="dxa" w:w="100"/>
              <w:right w:type="dxa" w:w="120"/>
            </w:tcMar>
          </w:tcPr>
          <w:p>
            <w:r>
              <w:rPr>
                <w:rFonts w:ascii="Calibri" w:cs="Calibri" w:eastAsia="Calibri" w:hAnsi="Calibri"/>
                <w:b w:val="false"/>
                <w:bCs w:val="false"/>
                <w:color w:val="12211B"/>
                <w:sz w:val="20"/>
                <w:szCs w:val="20"/>
              </w:rPr>
              <w:t xml:space="preserve">Monitor · Follow-up · Remind · Coordinate · Support · Prevent · Escalate · Review · Loved ones · Parent · Family · Care gaps · Health record · Peace of mind</w:t>
            </w:r>
          </w:p>
        </w:tc>
        <w:tc>
          <w:tcPr>
            <w:tcW w:type="dxa" w:w="4675"/>
            <w:shd w:fill="FBEAEA"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Cure · Guaranteed · Emergency response · Instant doctor · Replace hospital · Diagnose yourself · Perfect control · No complications · Free healthcare</w:t>
            </w:r>
          </w:p>
        </w:tc>
      </w:tr>
    </w:tbl>
    <w:p>
      <w:pPr>
        <w:pStyle w:val="Heading2"/>
        <w:spacing w:after="140" w:before="320"/>
      </w:pPr>
      <w:r>
        <w:rPr>
          <w:rFonts w:ascii="Calibri" w:cs="Calibri" w:eastAsia="Calibri" w:hAnsi="Calibri"/>
          <w:b/>
          <w:bCs/>
          <w:color w:val="0A5C3D"/>
          <w:sz w:val="26"/>
          <w:szCs w:val="26"/>
        </w:rPr>
        <w:t xml:space="preserve">3.4 Voice in Practice</w:t>
      </w:r>
    </w:p>
    <w:p>
      <w:pPr>
        <w:pStyle w:val="Heading3"/>
        <w:spacing w:after="100" w:before="220"/>
      </w:pPr>
      <w:r>
        <w:rPr>
          <w:rFonts w:ascii="Calibri" w:cs="Calibri" w:eastAsia="Calibri" w:hAnsi="Calibri"/>
          <w:b/>
          <w:bCs/>
          <w:color w:val="12211B"/>
          <w:sz w:val="22"/>
          <w:szCs w:val="22"/>
        </w:rPr>
        <w:t xml:space="preserve">WhatsApp check-in</w:t>
      </w:r>
    </w:p>
    <w:p>
      <w:pPr>
        <w:pBdr>
          <w:left w:val="single" w:color="0E7C52" w:sz="18" w:space="12"/>
        </w:pBdr>
        <w:spacing w:after="200" w:before="120"/>
        <w:ind w:left="360"/>
      </w:pPr>
      <w:r>
        <w:rPr>
          <w:rFonts w:ascii="Calibri" w:cs="Calibri" w:eastAsia="Calibri" w:hAnsi="Calibri"/>
          <w:i/>
          <w:iCs/>
          <w:color w:val="0A5C3D"/>
          <w:sz w:val="24"/>
          <w:szCs w:val="24"/>
        </w:rPr>
        <w:t xml:space="preserve">Good morning! Time for your BP reading. Reply with your numbers (e.g. 128/82) and I'll let you know how you're trending.</w:t>
      </w:r>
    </w:p>
    <w:p>
      <w:pPr>
        <w:pStyle w:val="Heading3"/>
        <w:spacing w:after="100" w:before="220"/>
      </w:pPr>
      <w:r>
        <w:rPr>
          <w:rFonts w:ascii="Calibri" w:cs="Calibri" w:eastAsia="Calibri" w:hAnsi="Calibri"/>
          <w:b/>
          <w:bCs/>
          <w:color w:val="12211B"/>
          <w:sz w:val="22"/>
          <w:szCs w:val="22"/>
        </w:rPr>
        <w:t xml:space="preserve">Website hero</w:t>
      </w:r>
    </w:p>
    <w:p>
      <w:pPr>
        <w:pBdr>
          <w:left w:val="single" w:color="0E7C52" w:sz="18" w:space="12"/>
        </w:pBdr>
        <w:spacing w:after="200" w:before="120"/>
        <w:ind w:left="360"/>
      </w:pPr>
      <w:r>
        <w:rPr>
          <w:rFonts w:ascii="Calibri" w:cs="Calibri" w:eastAsia="Calibri" w:hAnsi="Calibri"/>
          <w:i/>
          <w:iCs/>
          <w:color w:val="0A5C3D"/>
          <w:sz w:val="24"/>
          <w:szCs w:val="24"/>
        </w:rPr>
        <w:t xml:space="preserve">Care that stays with you. Clinician-led health monitoring for you, your parents, and your loved ones.</w:t>
      </w:r>
    </w:p>
    <w:p>
      <w:pPr>
        <w:pStyle w:val="Heading3"/>
        <w:spacing w:after="100" w:before="220"/>
      </w:pPr>
      <w:r>
        <w:rPr>
          <w:rFonts w:ascii="Calibri" w:cs="Calibri" w:eastAsia="Calibri" w:hAnsi="Calibri"/>
          <w:b/>
          <w:bCs/>
          <w:color w:val="12211B"/>
          <w:sz w:val="22"/>
          <w:szCs w:val="22"/>
        </w:rPr>
        <w:t xml:space="preserve">HMO pitch line</w:t>
      </w:r>
    </w:p>
    <w:p>
      <w:pPr>
        <w:pBdr>
          <w:left w:val="single" w:color="0E7C52" w:sz="18" w:space="12"/>
        </w:pBdr>
        <w:spacing w:after="200" w:before="120"/>
        <w:ind w:left="360"/>
      </w:pPr>
      <w:r>
        <w:rPr>
          <w:rFonts w:ascii="Calibri" w:cs="Calibri" w:eastAsia="Calibri" w:hAnsi="Calibri"/>
          <w:i/>
          <w:iCs/>
          <w:color w:val="0A5C3D"/>
          <w:sz w:val="24"/>
          <w:szCs w:val="24"/>
        </w:rPr>
        <w:t xml:space="preserve">We don't just manage chronic disease. We catch it earlier — and we can prove it.</w:t>
      </w:r>
    </w:p>
    <w:p>
      <w:r>
        <w:br w:type="page"/>
      </w:r>
    </w:p>
    <w:p>
      <w:pPr>
        <w:pStyle w:val="Heading1"/>
        <w:spacing w:after="200" w:before="480"/>
      </w:pPr>
      <w:r>
        <w:rPr>
          <w:rFonts w:ascii="Calibri" w:cs="Calibri" w:eastAsia="Calibri" w:hAnsi="Calibri"/>
          <w:b/>
          <w:bCs/>
          <w:color w:val="0E7C52"/>
          <w:sz w:val="32"/>
          <w:szCs w:val="32"/>
        </w:rPr>
        <w:t xml:space="preserve">4. Visual Identity</w:t>
      </w:r>
    </w:p>
    <w:p>
      <w:pPr>
        <w:pStyle w:val="Heading2"/>
        <w:spacing w:after="140" w:before="320"/>
      </w:pPr>
      <w:r>
        <w:rPr>
          <w:rFonts w:ascii="Calibri" w:cs="Calibri" w:eastAsia="Calibri" w:hAnsi="Calibri"/>
          <w:b/>
          <w:bCs/>
          <w:color w:val="0A5C3D"/>
          <w:sz w:val="26"/>
          <w:szCs w:val="26"/>
        </w:rPr>
        <w:t xml:space="preserve">4.1 The Mark — "Guard Leaf"</w:t>
      </w:r>
    </w:p>
    <w:p>
      <w:pPr>
        <w:spacing w:after="160" w:line="300"/>
      </w:pPr>
      <w:r>
        <w:rPr>
          <w:rFonts w:ascii="Calibri" w:cs="Calibri" w:eastAsia="Calibri" w:hAnsi="Calibri"/>
          <w:b w:val="false"/>
          <w:bCs w:val="false"/>
          <w:i w:val="false"/>
          <w:iCs w:val="false"/>
          <w:color w:val="12211B"/>
          <w:sz w:val="22"/>
          <w:szCs w:val="22"/>
        </w:rPr>
        <w:t xml:space="preserve">The logo fuses two ideas that must never be separated in Tarragon's story: protection and growth. A shield gives the sense of active watching-over; a tarragon leaf gives the sense of natural, preventive wellbeing — tying the name to something living rather than institutional.</w:t>
      </w:r>
    </w:p>
    <w:p>
      <w:pPr>
        <w:spacing w:after="200"/>
        <w:jc w:val="center"/>
      </w:pPr>
      <w:r>
        <w:drawing>
          <wp:inline distT="0" distB="0" distL="0" distR="0">
            <wp:extent cx="190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2190750"/>
                    </a:xfrm>
                    <a:prstGeom prst="rect">
                      <a:avLst/>
                    </a:prstGeom>
                  </pic:spPr>
                </pic:pic>
              </a:graphicData>
            </a:graphic>
          </wp:inline>
        </w:drawing>
      </w:r>
    </w:p>
    <w:p>
      <w:pPr>
        <w:pStyle w:val="Heading3"/>
        <w:spacing w:after="100" w:before="220"/>
      </w:pPr>
      <w:r>
        <w:rPr>
          <w:rFonts w:ascii="Calibri" w:cs="Calibri" w:eastAsia="Calibri" w:hAnsi="Calibri"/>
          <w:b/>
          <w:bCs/>
          <w:color w:val="12211B"/>
          <w:sz w:val="22"/>
          <w:szCs w:val="22"/>
        </w:rPr>
        <w:t xml:space="preserve">Anatomy of the mark</w:t>
      </w:r>
    </w:p>
    <w:p>
      <w:pPr>
        <w:pStyle w:val="ListParagraph"/>
        <w:numPr>
          <w:ilvl w:val="0"/>
          <w:numId w:val="2"/>
        </w:numPr>
        <w:spacing w:after="80"/>
      </w:pPr>
      <w:r>
        <w:rPr>
          <w:rFonts w:ascii="Calibri" w:cs="Calibri" w:eastAsia="Calibri" w:hAnsi="Calibri"/>
          <w:color w:val="12211B"/>
          <w:sz w:val="22"/>
          <w:szCs w:val="22"/>
        </w:rPr>
        <w:t xml:space="preserve">Shield silhouette — the guard: continuous monitoring, safety, escalation-when-needed. Rounded shoulders keep it approachable, not militaristic.</w:t>
      </w:r>
    </w:p>
    <w:p>
      <w:pPr>
        <w:pStyle w:val="ListParagraph"/>
        <w:numPr>
          <w:ilvl w:val="0"/>
          <w:numId w:val="2"/>
        </w:numPr>
        <w:spacing w:after="80"/>
      </w:pPr>
      <w:r>
        <w:rPr>
          <w:rFonts w:ascii="Calibri" w:cs="Calibri" w:eastAsia="Calibri" w:hAnsi="Calibri"/>
          <w:color w:val="12211B"/>
          <w:sz w:val="22"/>
          <w:szCs w:val="22"/>
        </w:rPr>
        <w:t xml:space="preserve">Sprout crown — two leaflets at the apex: prevention and growth, the promise that most problems are caught while still small.</w:t>
      </w:r>
    </w:p>
    <w:p>
      <w:pPr>
        <w:pStyle w:val="ListParagraph"/>
        <w:numPr>
          <w:ilvl w:val="0"/>
          <w:numId w:val="2"/>
        </w:numPr>
        <w:spacing w:after="80"/>
      </w:pPr>
      <w:r>
        <w:rPr>
          <w:rFonts w:ascii="Calibri" w:cs="Calibri" w:eastAsia="Calibri" w:hAnsi="Calibri"/>
          <w:color w:val="12211B"/>
          <w:sz w:val="22"/>
          <w:szCs w:val="22"/>
        </w:rPr>
        <w:t xml:space="preserve">Checkmark vein — the leaf's midrib drawn as a checkmark: a completed reading, a closed care gap, a reviewed result. Reads as both "leaf vein" and "task done."</w:t>
      </w:r>
    </w:p>
    <w:p>
      <w:pPr>
        <w:pStyle w:val="Heading3"/>
        <w:spacing w:after="100" w:before="220"/>
      </w:pPr>
      <w:r>
        <w:rPr>
          <w:rFonts w:ascii="Calibri" w:cs="Calibri" w:eastAsia="Calibri" w:hAnsi="Calibri"/>
          <w:b/>
          <w:bCs/>
          <w:color w:val="12211B"/>
          <w:sz w:val="22"/>
          <w:szCs w:val="22"/>
        </w:rPr>
        <w:t xml:space="preserve">Wordmark</w:t>
      </w:r>
    </w:p>
    <w:p>
      <w:pPr>
        <w:spacing w:after="160" w:line="300"/>
      </w:pPr>
      <w:r>
        <w:rPr>
          <w:rFonts w:ascii="Calibri" w:cs="Calibri" w:eastAsia="Calibri" w:hAnsi="Calibri"/>
          <w:b w:val="false"/>
          <w:bCs w:val="false"/>
          <w:i w:val="false"/>
          <w:iCs w:val="false"/>
          <w:color w:val="12211B"/>
          <w:sz w:val="22"/>
          <w:szCs w:val="22"/>
        </w:rPr>
        <w:t xml:space="preserve">The wordmark is set as "TarragonHealth" — a single word, camel-cased, with "Tarragon" in Charcoal Ink and "Health" in Tarragon Green. This reads more cleanly and premium than an all-lowercase treatment and keeps the two brand ideas legible at a glance.</w:t>
      </w:r>
    </w:p>
    <w:p>
      <w:pPr>
        <w:spacing w:after="200"/>
        <w:jc w:val="center"/>
      </w:pPr>
      <w:r>
        <w:drawing>
          <wp:inline distT="0" distB="0" distL="0" distR="0">
            <wp:extent cx="447675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190625"/>
                    </a:xfrm>
                    <a:prstGeom prst="rect">
                      <a:avLst/>
                    </a:prstGeom>
                  </pic:spPr>
                </pic:pic>
              </a:graphicData>
            </a:graphic>
          </wp:inline>
        </w:drawing>
      </w:r>
    </w:p>
    <w:p>
      <w:pPr>
        <w:pStyle w:val="Heading3"/>
        <w:spacing w:after="100" w:before="220"/>
      </w:pPr>
      <w:r>
        <w:rPr>
          <w:rFonts w:ascii="Calibri" w:cs="Calibri" w:eastAsia="Calibri" w:hAnsi="Calibri"/>
          <w:b/>
          <w:bCs/>
          <w:color w:val="12211B"/>
          <w:sz w:val="22"/>
          <w:szCs w:val="22"/>
        </w:rPr>
        <w:t xml:space="preserve">Logo variations &amp; rules</w:t>
      </w:r>
    </w:p>
    <w:p>
      <w:pPr>
        <w:pStyle w:val="ListParagraph"/>
        <w:numPr>
          <w:ilvl w:val="0"/>
          <w:numId w:val="2"/>
        </w:numPr>
        <w:spacing w:after="80"/>
      </w:pPr>
      <w:r>
        <w:rPr>
          <w:rFonts w:ascii="Calibri" w:cs="Calibri" w:eastAsia="Calibri" w:hAnsi="Calibri"/>
          <w:color w:val="12211B"/>
          <w:sz w:val="22"/>
          <w:szCs w:val="22"/>
        </w:rPr>
        <w:t xml:space="preserve">Primary lockup (mark + wordmark + tagline): website header, business cards, investor decks, letterheads, corporate proposals, app landing pages.</w:t>
      </w:r>
    </w:p>
    <w:p>
      <w:pPr>
        <w:pStyle w:val="ListParagraph"/>
        <w:numPr>
          <w:ilvl w:val="0"/>
          <w:numId w:val="2"/>
        </w:numPr>
        <w:spacing w:after="80"/>
      </w:pPr>
      <w:r>
        <w:rPr>
          <w:rFonts w:ascii="Calibri" w:cs="Calibri" w:eastAsia="Calibri" w:hAnsi="Calibri"/>
          <w:color w:val="12211B"/>
          <w:sz w:val="22"/>
          <w:szCs w:val="22"/>
        </w:rPr>
        <w:t xml:space="preserve">Wordmark alone: where space is limited or the brand is already familiar.</w:t>
      </w:r>
    </w:p>
    <w:p>
      <w:pPr>
        <w:pStyle w:val="ListParagraph"/>
        <w:numPr>
          <w:ilvl w:val="0"/>
          <w:numId w:val="2"/>
        </w:numPr>
        <w:spacing w:after="80"/>
      </w:pPr>
      <w:r>
        <w:rPr>
          <w:rFonts w:ascii="Calibri" w:cs="Calibri" w:eastAsia="Calibri" w:hAnsi="Calibri"/>
          <w:color w:val="12211B"/>
          <w:sz w:val="22"/>
          <w:szCs w:val="22"/>
        </w:rPr>
        <w:t xml:space="preserve">Mark alone (Guard Leaf): app icon, favicon, social avatar, dashboard sidebar, watermark.</w:t>
      </w:r>
    </w:p>
    <w:p>
      <w:pPr>
        <w:pStyle w:val="ListParagraph"/>
        <w:numPr>
          <w:ilvl w:val="0"/>
          <w:numId w:val="2"/>
        </w:numPr>
        <w:spacing w:after="80"/>
      </w:pPr>
      <w:r>
        <w:rPr>
          <w:rFonts w:ascii="Calibri" w:cs="Calibri" w:eastAsia="Calibri" w:hAnsi="Calibri"/>
          <w:color w:val="12211B"/>
          <w:sz w:val="22"/>
          <w:szCs w:val="22"/>
        </w:rPr>
        <w:t xml:space="preserve">Clear space equals the height of the sprout crown on all sides. Minimum size: 120px wide (full lockup), 32px (mark alone) — the checkmark vein disappears first below this.</w:t>
      </w:r>
    </w:p>
    <w:p>
      <w:pPr>
        <w:pStyle w:val="ListParagraph"/>
        <w:numPr>
          <w:ilvl w:val="0"/>
          <w:numId w:val="2"/>
        </w:numPr>
        <w:spacing w:after="80"/>
      </w:pPr>
      <w:r>
        <w:rPr>
          <w:rFonts w:ascii="Calibri" w:cs="Calibri" w:eastAsia="Calibri" w:hAnsi="Calibri"/>
          <w:color w:val="12211B"/>
          <w:sz w:val="22"/>
          <w:szCs w:val="22"/>
        </w:rPr>
        <w:t xml:space="preserve">Backgrounds: white, Warm Ivory, Soft Sage, or Deep Navy only. On clinical documents, use the navy or green mark. On premium materials, gold accent sparingly.</w:t>
      </w:r>
    </w:p>
    <w:p>
      <w:pPr>
        <w:pStyle w:val="ListParagraph"/>
        <w:numPr>
          <w:ilvl w:val="0"/>
          <w:numId w:val="2"/>
        </w:numPr>
        <w:spacing w:after="80"/>
      </w:pPr>
      <w:r>
        <w:rPr>
          <w:rFonts w:ascii="Calibri" w:cs="Calibri" w:eastAsia="Calibri" w:hAnsi="Calibri"/>
          <w:color w:val="12211B"/>
          <w:sz w:val="22"/>
          <w:szCs w:val="22"/>
        </w:rPr>
        <w:t xml:space="preserve">Never stretch, skew, rotate, add shadows, place over busy images, or recolour the shield outside the palette (no blue, no red medical-cross styling).</w:t>
      </w:r>
    </w:p>
    <w:p>
      <w:r>
        <w:br w:type="page"/>
      </w:r>
    </w:p>
    <w:p>
      <w:pPr>
        <w:pStyle w:val="Heading2"/>
        <w:spacing w:after="140" w:before="320"/>
      </w:pPr>
      <w:r>
        <w:rPr>
          <w:rFonts w:ascii="Calibri" w:cs="Calibri" w:eastAsia="Calibri" w:hAnsi="Calibri"/>
          <w:b/>
          <w:bCs/>
          <w:color w:val="0A5C3D"/>
          <w:sz w:val="26"/>
          <w:szCs w:val="26"/>
        </w:rPr>
        <w:t xml:space="preserve">4.2 Colour Palette</w:t>
      </w:r>
    </w:p>
    <w:p>
      <w:pPr>
        <w:spacing w:after="200"/>
        <w:jc w:val="center"/>
      </w:pPr>
      <w:r>
        <w:drawing>
          <wp:inline distT="0" distB="0" distL="0" distR="0">
            <wp:extent cx="42672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67200" cy="1952625"/>
                    </a:xfrm>
                    <a:prstGeom prst="rect">
                      <a:avLst/>
                    </a:prstGeom>
                  </pic:spPr>
                </pic:pic>
              </a:graphicData>
            </a:graphic>
          </wp:inline>
        </w:drawing>
      </w:r>
    </w:p>
    <w:p>
      <w:pPr>
        <w:spacing w:after="160" w:line="300"/>
      </w:pPr>
      <w:r>
        <w:rPr>
          <w:rFonts w:ascii="Calibri" w:cs="Calibri" w:eastAsia="Calibri" w:hAnsi="Calibri"/>
          <w:b w:val="false"/>
          <w:bCs w:val="false"/>
          <w:i w:val="false"/>
          <w:iCs w:val="false"/>
          <w:color w:val="12211B"/>
          <w:sz w:val="22"/>
          <w:szCs w:val="22"/>
        </w:rPr>
        <w:t xml:space="preserve">Tarragon Green is reserved for the mark, primary buttons, and positive states. Clinical Navy carries B2B, investor, and clinical-document contexts where a more institutional register is needed. Sprout Gold is used sparingly — screening reminders, upgrade prompts, premium moments — never for alarm. Soft Sage and Warm Ivory are the calm default backgrounds; Charcoal Ink (not pure black) is the standard text colour.</w:t>
      </w:r>
    </w:p>
    <w:p>
      <w:pPr>
        <w:pStyle w:val="Heading3"/>
        <w:spacing w:after="100" w:before="220"/>
      </w:pPr>
      <w:r>
        <w:rPr>
          <w:rFonts w:ascii="Calibri" w:cs="Calibri" w:eastAsia="Calibri" w:hAnsi="Calibri"/>
          <w:b/>
          <w:bCs/>
          <w:color w:val="12211B"/>
          <w:sz w:val="22"/>
          <w:szCs w:val="22"/>
        </w:rPr>
        <w:t xml:space="preserve">Usage ratio</w:t>
      </w:r>
    </w:p>
    <w:p>
      <w:pPr>
        <w:pStyle w:val="ListParagraph"/>
        <w:numPr>
          <w:ilvl w:val="0"/>
          <w:numId w:val="2"/>
        </w:numPr>
        <w:spacing w:after="80"/>
      </w:pPr>
      <w:r>
        <w:rPr>
          <w:rFonts w:ascii="Calibri" w:cs="Calibri" w:eastAsia="Calibri" w:hAnsi="Calibri"/>
          <w:color w:val="12211B"/>
          <w:sz w:val="22"/>
          <w:szCs w:val="22"/>
        </w:rPr>
        <w:t xml:space="preserve">60% Warm Ivory / Soft Sage / White (space to breathe)</w:t>
      </w:r>
    </w:p>
    <w:p>
      <w:pPr>
        <w:pStyle w:val="ListParagraph"/>
        <w:numPr>
          <w:ilvl w:val="0"/>
          <w:numId w:val="2"/>
        </w:numPr>
        <w:spacing w:after="80"/>
      </w:pPr>
      <w:r>
        <w:rPr>
          <w:rFonts w:ascii="Calibri" w:cs="Calibri" w:eastAsia="Calibri" w:hAnsi="Calibri"/>
          <w:color w:val="12211B"/>
          <w:sz w:val="22"/>
          <w:szCs w:val="22"/>
        </w:rPr>
        <w:t xml:space="preserve">25% Tarragon Green / Deep Forest / Navy (brand presence, primary actions)</w:t>
      </w:r>
    </w:p>
    <w:p>
      <w:pPr>
        <w:pStyle w:val="ListParagraph"/>
        <w:numPr>
          <w:ilvl w:val="0"/>
          <w:numId w:val="2"/>
        </w:numPr>
        <w:spacing w:after="80"/>
      </w:pPr>
      <w:r>
        <w:rPr>
          <w:rFonts w:ascii="Calibri" w:cs="Calibri" w:eastAsia="Calibri" w:hAnsi="Calibri"/>
          <w:color w:val="12211B"/>
          <w:sz w:val="22"/>
          <w:szCs w:val="22"/>
        </w:rPr>
        <w:t xml:space="preserve">10% Charcoal Ink (text)</w:t>
      </w:r>
    </w:p>
    <w:p>
      <w:pPr>
        <w:pStyle w:val="ListParagraph"/>
        <w:numPr>
          <w:ilvl w:val="0"/>
          <w:numId w:val="2"/>
        </w:numPr>
        <w:spacing w:after="80"/>
      </w:pPr>
      <w:r>
        <w:rPr>
          <w:rFonts w:ascii="Calibri" w:cs="Calibri" w:eastAsia="Calibri" w:hAnsi="Calibri"/>
          <w:color w:val="12211B"/>
          <w:sz w:val="22"/>
          <w:szCs w:val="22"/>
        </w:rPr>
        <w:t xml:space="preserve">5% Sprout Gold (accents, prompts — never more)</w:t>
      </w:r>
    </w:p>
    <w:p>
      <w:pPr>
        <w:pStyle w:val="Heading3"/>
        <w:spacing w:after="100" w:before="220"/>
      </w:pPr>
      <w:r>
        <w:rPr>
          <w:rFonts w:ascii="Calibri" w:cs="Calibri" w:eastAsia="Calibri" w:hAnsi="Calibri"/>
          <w:b/>
          <w:bCs/>
          <w:color w:val="12211B"/>
          <w:sz w:val="22"/>
          <w:szCs w:val="22"/>
        </w:rPr>
        <w:t xml:space="preserve">Clinical status colours — kept separate from the brand palette</w:t>
      </w:r>
    </w:p>
    <w:p>
      <w:pPr>
        <w:spacing w:after="200"/>
        <w:jc w:val="center"/>
      </w:pPr>
      <w:r>
        <w:drawing>
          <wp:inline distT="0" distB="0" distL="0" distR="0">
            <wp:extent cx="42672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67200" cy="914400"/>
                    </a:xfrm>
                    <a:prstGeom prst="rect">
                      <a:avLst/>
                    </a:prstGeom>
                  </pic:spPr>
                </pic:pic>
              </a:graphicData>
            </a:graphic>
          </wp:inline>
        </w:drawing>
      </w:r>
    </w:p>
    <w:p>
      <w:pPr>
        <w:spacing w:after="160" w:line="300"/>
      </w:pPr>
      <w:r>
        <w:rPr>
          <w:rFonts w:ascii="Calibri" w:cs="Calibri" w:eastAsia="Calibri" w:hAnsi="Calibri"/>
          <w:b w:val="false"/>
          <w:bCs w:val="false"/>
          <w:i w:val="false"/>
          <w:iCs w:val="false"/>
          <w:color w:val="12211B"/>
          <w:sz w:val="22"/>
          <w:szCs w:val="22"/>
        </w:rPr>
        <w:t xml:space="preserve">These five states power the patient, family, and nurse dashboards. They are a standardised clinical system and must never be confused with brand Tarragon Green. Red and amber are reserved strictly for true clinical alerts so they never lose meaning. Pair with icons, not colour alone, for colour-blind safety.</w:t>
      </w:r>
    </w:p>
    <w:p>
      <w:pPr>
        <w:pStyle w:val="Heading2"/>
        <w:spacing w:after="140" w:before="320"/>
      </w:pPr>
      <w:r>
        <w:rPr>
          <w:rFonts w:ascii="Calibri" w:cs="Calibri" w:eastAsia="Calibri" w:hAnsi="Calibri"/>
          <w:b/>
          <w:bCs/>
          <w:color w:val="0A5C3D"/>
          <w:sz w:val="26"/>
          <w:szCs w:val="26"/>
        </w:rPr>
        <w:t xml:space="preserve">4.3 Typography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c>
          <w:tcPr>
            <w:tcW w:type="dxa" w:w="24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Use</w:t>
            </w:r>
          </w:p>
        </w:tc>
        <w:tc>
          <w:tcPr>
            <w:tcW w:type="dxa" w:w="3475"/>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Typeface</w:t>
            </w:r>
          </w:p>
        </w:tc>
        <w:tc>
          <w:tcPr>
            <w:tcW w:type="dxa" w:w="3475"/>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Notes</w:t>
            </w:r>
          </w:p>
        </w:tc>
      </w:tr>
      <w:tr>
        <w:tc>
          <w:tcPr>
            <w:tcW w:type="dxa" w:w="2400"/>
            <w:tcMar>
              <w:top w:type="dxa" w:w="100"/>
              <w:left w:type="dxa" w:w="120"/>
              <w:bottom w:type="dxa" w:w="100"/>
              <w:right w:type="dxa" w:w="120"/>
            </w:tcMar>
          </w:tcPr>
          <w:p>
            <w:r>
              <w:rPr>
                <w:rFonts w:ascii="Calibri" w:cs="Calibri" w:eastAsia="Calibri" w:hAnsi="Calibri"/>
                <w:b w:val="false"/>
                <w:bCs w:val="false"/>
                <w:color w:val="12211B"/>
                <w:sz w:val="20"/>
                <w:szCs w:val="20"/>
              </w:rPr>
              <w:t xml:space="preserve">Headlines / marketing</w:t>
            </w:r>
          </w:p>
        </w:tc>
        <w:tc>
          <w:tcPr>
            <w:tcW w:type="dxa" w:w="3475"/>
            <w:tcMar>
              <w:top w:type="dxa" w:w="100"/>
              <w:left w:type="dxa" w:w="120"/>
              <w:bottom w:type="dxa" w:w="100"/>
              <w:right w:type="dxa" w:w="120"/>
            </w:tcMar>
          </w:tcPr>
          <w:p>
            <w:r>
              <w:rPr>
                <w:rFonts w:ascii="Calibri" w:cs="Calibri" w:eastAsia="Calibri" w:hAnsi="Calibri"/>
                <w:b w:val="false"/>
                <w:bCs w:val="false"/>
                <w:color w:val="12211B"/>
                <w:sz w:val="20"/>
                <w:szCs w:val="20"/>
              </w:rPr>
              <w:t xml:space="preserve">Sora (Bold / SemiBold)</w:t>
            </w:r>
          </w:p>
        </w:tc>
        <w:tc>
          <w:tcPr>
            <w:tcW w:type="dxa" w:w="3475"/>
            <w:tcMar>
              <w:top w:type="dxa" w:w="100"/>
              <w:left w:type="dxa" w:w="120"/>
              <w:bottom w:type="dxa" w:w="100"/>
              <w:right w:type="dxa" w:w="120"/>
            </w:tcMar>
          </w:tcPr>
          <w:p>
            <w:r>
              <w:rPr>
                <w:rFonts w:ascii="Calibri" w:cs="Calibri" w:eastAsia="Calibri" w:hAnsi="Calibri"/>
                <w:b w:val="false"/>
                <w:bCs w:val="false"/>
                <w:color w:val="12211B"/>
                <w:sz w:val="20"/>
                <w:szCs w:val="20"/>
              </w:rPr>
              <w:t xml:space="preserve">Geometric, warm, free for commercial use</w:t>
            </w:r>
          </w:p>
        </w:tc>
      </w:tr>
      <w:tr>
        <w:tc>
          <w:tcPr>
            <w:tcW w:type="dxa" w:w="24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Product UI &amp; body</w:t>
            </w:r>
          </w:p>
        </w:tc>
        <w:tc>
          <w:tcPr>
            <w:tcW w:type="dxa" w:w="3475"/>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Inter</w:t>
            </w:r>
          </w:p>
        </w:tc>
        <w:tc>
          <w:tcPr>
            <w:tcW w:type="dxa" w:w="3475"/>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Excellent legibility on low-end Android screens</w:t>
            </w:r>
          </w:p>
        </w:tc>
      </w:tr>
      <w:tr>
        <w:tc>
          <w:tcPr>
            <w:tcW w:type="dxa" w:w="2400"/>
            <w:tcMar>
              <w:top w:type="dxa" w:w="100"/>
              <w:left w:type="dxa" w:w="120"/>
              <w:bottom w:type="dxa" w:w="100"/>
              <w:right w:type="dxa" w:w="120"/>
            </w:tcMar>
          </w:tcPr>
          <w:p>
            <w:r>
              <w:rPr>
                <w:rFonts w:ascii="Calibri" w:cs="Calibri" w:eastAsia="Calibri" w:hAnsi="Calibri"/>
                <w:b w:val="false"/>
                <w:bCs w:val="false"/>
                <w:color w:val="12211B"/>
                <w:sz w:val="20"/>
                <w:szCs w:val="20"/>
              </w:rPr>
              <w:t xml:space="preserve">Documents / Office</w:t>
            </w:r>
          </w:p>
        </w:tc>
        <w:tc>
          <w:tcPr>
            <w:tcW w:type="dxa" w:w="3475"/>
            <w:tcMar>
              <w:top w:type="dxa" w:w="100"/>
              <w:left w:type="dxa" w:w="120"/>
              <w:bottom w:type="dxa" w:w="100"/>
              <w:right w:type="dxa" w:w="120"/>
            </w:tcMar>
          </w:tcPr>
          <w:p>
            <w:r>
              <w:rPr>
                <w:rFonts w:ascii="Calibri" w:cs="Calibri" w:eastAsia="Calibri" w:hAnsi="Calibri"/>
                <w:b w:val="false"/>
                <w:bCs w:val="false"/>
                <w:color w:val="12211B"/>
                <w:sz w:val="20"/>
                <w:szCs w:val="20"/>
              </w:rPr>
              <w:t xml:space="preserve">Calibri</w:t>
            </w:r>
          </w:p>
        </w:tc>
        <w:tc>
          <w:tcPr>
            <w:tcW w:type="dxa" w:w="3475"/>
            <w:tcMar>
              <w:top w:type="dxa" w:w="100"/>
              <w:left w:type="dxa" w:w="120"/>
              <w:bottom w:type="dxa" w:w="100"/>
              <w:right w:type="dxa" w:w="120"/>
            </w:tcMar>
          </w:tcPr>
          <w:p>
            <w:r>
              <w:rPr>
                <w:rFonts w:ascii="Calibri" w:cs="Calibri" w:eastAsia="Calibri" w:hAnsi="Calibri"/>
                <w:b w:val="false"/>
                <w:bCs w:val="false"/>
                <w:color w:val="12211B"/>
                <w:sz w:val="20"/>
                <w:szCs w:val="20"/>
              </w:rPr>
              <w:t xml:space="preserve">Universal fallback for Word, Excel, PowerPoint</w:t>
            </w:r>
          </w:p>
        </w:tc>
      </w:tr>
      <w:tr>
        <w:tc>
          <w:tcPr>
            <w:tcW w:type="dxa" w:w="24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WhatsApp / SMS</w:t>
            </w:r>
          </w:p>
        </w:tc>
        <w:tc>
          <w:tcPr>
            <w:tcW w:type="dxa" w:w="3475"/>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Plain text only</w:t>
            </w:r>
          </w:p>
        </w:tc>
        <w:tc>
          <w:tcPr>
            <w:tcW w:type="dxa" w:w="3475"/>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Voice and structure carry the brand, not styling</w:t>
            </w:r>
          </w:p>
        </w:tc>
      </w:tr>
    </w:tbl>
    <w:p>
      <w:r>
        <w:br w:type="page"/>
      </w:r>
    </w:p>
    <w:p>
      <w:pPr>
        <w:pStyle w:val="Heading2"/>
        <w:spacing w:after="140" w:before="320"/>
      </w:pPr>
      <w:r>
        <w:rPr>
          <w:rFonts w:ascii="Calibri" w:cs="Calibri" w:eastAsia="Calibri" w:hAnsi="Calibri"/>
          <w:b/>
          <w:bCs/>
          <w:color w:val="0A5C3D"/>
          <w:sz w:val="26"/>
          <w:szCs w:val="26"/>
        </w:rPr>
        <w:t xml:space="preserve">4.4 Icon System</w:t>
      </w:r>
    </w:p>
    <w:p>
      <w:pPr>
        <w:spacing w:after="160" w:line="300"/>
      </w:pPr>
      <w:r>
        <w:rPr>
          <w:rFonts w:ascii="Calibri" w:cs="Calibri" w:eastAsia="Calibri" w:hAnsi="Calibri"/>
          <w:b w:val="false"/>
          <w:bCs w:val="false"/>
          <w:i w:val="false"/>
          <w:iCs w:val="false"/>
          <w:color w:val="12211B"/>
          <w:sz w:val="22"/>
          <w:szCs w:val="22"/>
        </w:rPr>
        <w:t xml:space="preserve">A single rounded-stroke icon set, 2px weight, single-colour (Deep Forest or Tarragon Green). Never photo-realistic medical icons.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Feature</w:t>
            </w:r>
          </w:p>
        </w:tc>
        <w:tc>
          <w:tcPr>
            <w:tcW w:type="dxa" w:w="3117"/>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Icon idea</w:t>
            </w:r>
          </w:p>
        </w:tc>
        <w:tc>
          <w:tcPr>
            <w:tcW w:type="dxa" w:w="3116"/>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Feature / Icon</w:t>
            </w:r>
          </w:p>
        </w:tc>
      </w:tr>
      <w:tr>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BP monitoring</w:t>
            </w:r>
          </w:p>
        </w:tc>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Cuff or pulse line</w:t>
            </w:r>
          </w:p>
        </w:tc>
        <w:tc>
          <w:tcPr>
            <w:tcW w:type="dxa" w:w="3116"/>
            <w:tcMar>
              <w:top w:type="dxa" w:w="100"/>
              <w:left w:type="dxa" w:w="120"/>
              <w:bottom w:type="dxa" w:w="100"/>
              <w:right w:type="dxa" w:w="120"/>
            </w:tcMar>
          </w:tcPr>
          <w:p>
            <w:r>
              <w:rPr>
                <w:rFonts w:ascii="Calibri" w:cs="Calibri" w:eastAsia="Calibri" w:hAnsi="Calibri"/>
                <w:b w:val="false"/>
                <w:bCs w:val="false"/>
                <w:color w:val="12211B"/>
                <w:sz w:val="20"/>
                <w:szCs w:val="20"/>
              </w:rPr>
              <w:t xml:space="preserve">Preventive — shield + check</w:t>
            </w:r>
          </w:p>
        </w:tc>
      </w:tr>
      <w:tr>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Diabetes</w:t>
            </w:r>
          </w:p>
        </w:tc>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Glucose droplet</w:t>
            </w:r>
          </w:p>
        </w:tc>
        <w:tc>
          <w:tcPr>
            <w:tcW w:type="dxa" w:w="3116"/>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Family — linked circles</w:t>
            </w:r>
          </w:p>
        </w:tc>
      </w:tr>
      <w:tr>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Medication</w:t>
            </w:r>
          </w:p>
        </w:tc>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Pill bottle</w:t>
            </w:r>
          </w:p>
        </w:tc>
        <w:tc>
          <w:tcPr>
            <w:tcW w:type="dxa" w:w="3116"/>
            <w:tcMar>
              <w:top w:type="dxa" w:w="100"/>
              <w:left w:type="dxa" w:w="120"/>
              <w:bottom w:type="dxa" w:w="100"/>
              <w:right w:type="dxa" w:w="120"/>
            </w:tcMar>
          </w:tcPr>
          <w:p>
            <w:r>
              <w:rPr>
                <w:rFonts w:ascii="Calibri" w:cs="Calibri" w:eastAsia="Calibri" w:hAnsi="Calibri"/>
                <w:b w:val="false"/>
                <w:bCs w:val="false"/>
                <w:color w:val="12211B"/>
                <w:sz w:val="20"/>
                <w:szCs w:val="20"/>
              </w:rPr>
              <w:t xml:space="preserve">Escalation — care note</w:t>
            </w:r>
          </w:p>
        </w:tc>
      </w:tr>
      <w:tr>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Labs</w:t>
            </w:r>
          </w:p>
        </w:tc>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Test tube</w:t>
            </w:r>
          </w:p>
        </w:tc>
        <w:tc>
          <w:tcPr>
            <w:tcW w:type="dxa" w:w="3116"/>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Pharmacy — medicine bag</w:t>
            </w:r>
          </w:p>
        </w:tc>
      </w:tr>
      <w:tr>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ParentCare</w:t>
            </w:r>
          </w:p>
        </w:tc>
        <w:tc>
          <w:tcPr>
            <w:tcW w:type="dxa" w:w="3117"/>
            <w:tcMar>
              <w:top w:type="dxa" w:w="100"/>
              <w:left w:type="dxa" w:w="120"/>
              <w:bottom w:type="dxa" w:w="100"/>
              <w:right w:type="dxa" w:w="120"/>
            </w:tcMar>
          </w:tcPr>
          <w:p>
            <w:r>
              <w:rPr>
                <w:rFonts w:ascii="Calibri" w:cs="Calibri" w:eastAsia="Calibri" w:hAnsi="Calibri"/>
                <w:b w:val="false"/>
                <w:bCs w:val="false"/>
                <w:color w:val="12211B"/>
                <w:sz w:val="20"/>
                <w:szCs w:val="20"/>
              </w:rPr>
              <w:t xml:space="preserve">Parent + child figures</w:t>
            </w:r>
          </w:p>
        </w:tc>
        <w:tc>
          <w:tcPr>
            <w:tcW w:type="dxa" w:w="3116"/>
            <w:tcMar>
              <w:top w:type="dxa" w:w="100"/>
              <w:left w:type="dxa" w:w="120"/>
              <w:bottom w:type="dxa" w:w="100"/>
              <w:right w:type="dxa" w:w="120"/>
            </w:tcMar>
          </w:tcPr>
          <w:p>
            <w:r>
              <w:rPr>
                <w:rFonts w:ascii="Calibri" w:cs="Calibri" w:eastAsia="Calibri" w:hAnsi="Calibri"/>
                <w:b w:val="false"/>
                <w:bCs w:val="false"/>
                <w:color w:val="12211B"/>
                <w:sz w:val="20"/>
                <w:szCs w:val="20"/>
              </w:rPr>
              <w:t xml:space="preserve">Corporate — building + pulse</w:t>
            </w:r>
          </w:p>
        </w:tc>
      </w:tr>
      <w:tr>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Nurse follow-up</w:t>
            </w:r>
          </w:p>
        </w:tc>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Headset</w:t>
            </w:r>
          </w:p>
        </w:tc>
        <w:tc>
          <w:tcPr>
            <w:tcW w:type="dxa" w:w="3116"/>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HMO — population grid</w:t>
            </w:r>
          </w:p>
        </w:tc>
      </w:tr>
    </w:tbl>
    <w:p>
      <w:pPr>
        <w:pStyle w:val="Heading2"/>
        <w:spacing w:after="140" w:before="320"/>
      </w:pPr>
      <w:r>
        <w:rPr>
          <w:rFonts w:ascii="Calibri" w:cs="Calibri" w:eastAsia="Calibri" w:hAnsi="Calibri"/>
          <w:b/>
          <w:bCs/>
          <w:color w:val="0A5C3D"/>
          <w:sz w:val="26"/>
          <w:szCs w:val="26"/>
        </w:rPr>
        <w:t xml:space="preserve">4.5 Photography &amp; Illustration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Show</w:t>
            </w:r>
          </w:p>
        </w:tc>
        <w:tc>
          <w:tcPr>
            <w:tcW w:type="dxa" w:w="4675"/>
            <w:shd w:fill="D14343" w:val="clear"/>
            <w:tcMar>
              <w:top w:type="dxa" w:w="100"/>
              <w:left w:type="dxa" w:w="120"/>
              <w:bottom w:type="dxa" w:w="100"/>
              <w:right w:type="dxa" w:w="120"/>
            </w:tcMar>
          </w:tcPr>
          <w:p>
            <w:r>
              <w:rPr>
                <w:rFonts w:ascii="Calibri" w:cs="Calibri" w:eastAsia="Calibri" w:hAnsi="Calibri"/>
                <w:b/>
                <w:bCs/>
                <w:color w:val="FFFFFF"/>
                <w:sz w:val="20"/>
                <w:szCs w:val="20"/>
              </w:rPr>
              <w:t xml:space="preserve">Avoid</w:t>
            </w:r>
          </w:p>
        </w:tc>
      </w:tr>
      <w:tr>
        <w:tc>
          <w:tcPr>
            <w:tcW w:type="dxa" w:w="4675"/>
            <w:tcMar>
              <w:top w:type="dxa" w:w="100"/>
              <w:left w:type="dxa" w:w="120"/>
              <w:bottom w:type="dxa" w:w="100"/>
              <w:right w:type="dxa" w:w="120"/>
            </w:tcMar>
          </w:tcPr>
          <w:p>
            <w:r>
              <w:rPr>
                <w:rFonts w:ascii="Calibri" w:cs="Calibri" w:eastAsia="Calibri" w:hAnsi="Calibri"/>
                <w:b w:val="false"/>
                <w:bCs w:val="false"/>
                <w:color w:val="12211B"/>
                <w:sz w:val="20"/>
                <w:szCs w:val="20"/>
              </w:rPr>
              <w:t xml:space="preserve">Adult children with parents · Nigerian families in natural settings · older adults using BP monitors · nurses on calm follow-up calls · people reassured, not sick · clean homes · technology used simply</w:t>
            </w:r>
          </w:p>
        </w:tc>
        <w:tc>
          <w:tcPr>
            <w:tcW w:type="dxa" w:w="4675"/>
            <w:shd w:fill="FBEAEA"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Emergency scenes · critically ill people · overly Western stock · hospital corridors only · doctors pointing at charts · fake call-centre smiles · generic wellness yoga imagery</w:t>
            </w:r>
          </w:p>
        </w:tc>
      </w:tr>
    </w:tbl>
    <w:p>
      <w:pPr>
        <w:spacing w:after="160" w:line="300"/>
      </w:pPr>
      <w:r>
        <w:rPr>
          <w:rFonts w:ascii="Calibri" w:cs="Calibri" w:eastAsia="Calibri" w:hAnsi="Calibri"/>
          <w:b w:val="false"/>
          <w:bCs w:val="false"/>
          <w:i/>
          <w:iCs/>
          <w:color w:val="12211B"/>
          <w:sz w:val="22"/>
          <w:szCs w:val="22"/>
        </w:rPr>
        <w:t xml:space="preserve">Illustration: simple line style, rounded edges, green and navy palette, light medical symbols, family-care scenes, dashboard icons.</w:t>
      </w:r>
    </w:p>
    <w:p>
      <w:r>
        <w:br w:type="page"/>
      </w:r>
    </w:p>
    <w:p>
      <w:pPr>
        <w:pStyle w:val="Heading1"/>
        <w:spacing w:after="200" w:before="480"/>
      </w:pPr>
      <w:r>
        <w:rPr>
          <w:rFonts w:ascii="Calibri" w:cs="Calibri" w:eastAsia="Calibri" w:hAnsi="Calibri"/>
          <w:b/>
          <w:bCs/>
          <w:color w:val="0E7C52"/>
          <w:sz w:val="32"/>
          <w:szCs w:val="32"/>
        </w:rPr>
        <w:t xml:space="preserve">5. Messaging Architecture</w:t>
      </w:r>
    </w:p>
    <w:p>
      <w:pPr>
        <w:pStyle w:val="Heading2"/>
        <w:spacing w:after="140" w:before="320"/>
      </w:pPr>
      <w:r>
        <w:rPr>
          <w:rFonts w:ascii="Calibri" w:cs="Calibri" w:eastAsia="Calibri" w:hAnsi="Calibri"/>
          <w:b/>
          <w:bCs/>
          <w:color w:val="0A5C3D"/>
          <w:sz w:val="26"/>
          <w:szCs w:val="26"/>
        </w:rPr>
        <w:t xml:space="preserve">5.1 Homepage Hero</w:t>
      </w:r>
    </w:p>
    <w:p>
      <w:pPr>
        <w:spacing w:after="160" w:line="300"/>
      </w:pPr>
      <w:r>
        <w:rPr>
          <w:rFonts w:ascii="Calibri" w:cs="Calibri" w:eastAsia="Calibri" w:hAnsi="Calibri"/>
          <w:b/>
          <w:bCs/>
          <w:i w:val="false"/>
          <w:iCs w:val="false"/>
          <w:color w:val="12211B"/>
          <w:sz w:val="22"/>
          <w:szCs w:val="22"/>
        </w:rPr>
        <w:t xml:space="preserve">Headline: Care that stays with you.</w:t>
      </w:r>
    </w:p>
    <w:p>
      <w:pPr>
        <w:spacing w:after="160" w:line="300"/>
      </w:pPr>
      <w:r>
        <w:rPr>
          <w:rFonts w:ascii="Calibri" w:cs="Calibri" w:eastAsia="Calibri" w:hAnsi="Calibri"/>
          <w:b w:val="false"/>
          <w:bCs w:val="false"/>
          <w:i w:val="false"/>
          <w:iCs w:val="false"/>
          <w:color w:val="12211B"/>
          <w:sz w:val="22"/>
          <w:szCs w:val="22"/>
        </w:rPr>
        <w:t xml:space="preserve">Subheadline: Clinician-led health monitoring for you, your parents, and your loved ones.</w:t>
      </w:r>
    </w:p>
    <w:p>
      <w:pPr>
        <w:spacing w:after="160" w:line="300"/>
      </w:pPr>
      <w:r>
        <w:rPr>
          <w:rFonts w:ascii="Calibri" w:cs="Calibri" w:eastAsia="Calibri" w:hAnsi="Calibri"/>
          <w:b w:val="false"/>
          <w:bCs w:val="false"/>
          <w:i w:val="false"/>
          <w:iCs w:val="false"/>
          <w:color w:val="12211B"/>
          <w:sz w:val="22"/>
          <w:szCs w:val="22"/>
        </w:rPr>
        <w:t xml:space="preserve">Body: Track blood pressure, blood sugar, medication, lab checks, and preventive health needs in one secure platform. Tarragon helps families stay informed and supports escalation when closer care is needed.</w:t>
      </w:r>
    </w:p>
    <w:p>
      <w:pPr>
        <w:spacing w:after="160" w:line="300"/>
      </w:pPr>
      <w:r>
        <w:rPr>
          <w:rFonts w:ascii="Calibri" w:cs="Calibri" w:eastAsia="Calibri" w:hAnsi="Calibri"/>
          <w:b w:val="false"/>
          <w:bCs w:val="false"/>
          <w:i/>
          <w:iCs/>
          <w:color w:val="12211B"/>
          <w:sz w:val="22"/>
          <w:szCs w:val="22"/>
        </w:rPr>
        <w:t xml:space="preserve">Primary CTA: Start monitoring   ·   Secondary CTA: Join the 90-Day Health Reset   ·   Corporate CTA: Request employer health plan   ·   HMO CTA: Talk to Tarragon Health</w:t>
      </w:r>
    </w:p>
    <w:p>
      <w:pPr>
        <w:pStyle w:val="Heading2"/>
        <w:spacing w:after="140" w:before="320"/>
      </w:pPr>
      <w:r>
        <w:rPr>
          <w:rFonts w:ascii="Calibri" w:cs="Calibri" w:eastAsia="Calibri" w:hAnsi="Calibri"/>
          <w:b/>
          <w:bCs/>
          <w:color w:val="0A5C3D"/>
          <w:sz w:val="26"/>
          <w:szCs w:val="26"/>
        </w:rPr>
        <w:t xml:space="preserve">5.2 Product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Product</w:t>
            </w:r>
          </w:p>
        </w:tc>
        <w:tc>
          <w:tcPr>
            <w:tcW w:type="dxa" w:w="655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Message</w:t>
            </w:r>
          </w:p>
        </w:tc>
      </w:tr>
      <w:tr>
        <w:tc>
          <w:tcPr>
            <w:tcW w:type="dxa" w:w="2800"/>
            <w:tcMar>
              <w:top w:type="dxa" w:w="100"/>
              <w:left w:type="dxa" w:w="120"/>
              <w:bottom w:type="dxa" w:w="100"/>
              <w:right w:type="dxa" w:w="120"/>
            </w:tcMar>
          </w:tcPr>
          <w:p>
            <w:r>
              <w:rPr>
                <w:rFonts w:ascii="Calibri" w:cs="Calibri" w:eastAsia="Calibri" w:hAnsi="Calibri"/>
                <w:b w:val="false"/>
                <w:bCs w:val="false"/>
                <w:color w:val="12211B"/>
                <w:sz w:val="20"/>
                <w:szCs w:val="20"/>
              </w:rPr>
              <w:t xml:space="preserve">Hypertension Care</w:t>
            </w:r>
          </w:p>
        </w:tc>
        <w:tc>
          <w:tcPr>
            <w:tcW w:type="dxa" w:w="6550"/>
            <w:tcMar>
              <w:top w:type="dxa" w:w="100"/>
              <w:left w:type="dxa" w:w="120"/>
              <w:bottom w:type="dxa" w:w="100"/>
              <w:right w:type="dxa" w:w="120"/>
            </w:tcMar>
          </w:tcPr>
          <w:p>
            <w:r>
              <w:rPr>
                <w:rFonts w:ascii="Calibri" w:cs="Calibri" w:eastAsia="Calibri" w:hAnsi="Calibri"/>
                <w:b w:val="false"/>
                <w:bCs w:val="false"/>
                <w:color w:val="12211B"/>
                <w:sz w:val="20"/>
                <w:szCs w:val="20"/>
              </w:rPr>
              <w:t xml:space="preserve">Stay ahead of high blood pressure before it causes complications.</w:t>
            </w:r>
          </w:p>
        </w:tc>
      </w:tr>
      <w:tr>
        <w:tc>
          <w:tcPr>
            <w:tcW w:type="dxa" w:w="28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Diabetes Care</w:t>
            </w:r>
          </w:p>
        </w:tc>
        <w:tc>
          <w:tcPr>
            <w:tcW w:type="dxa" w:w="6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Track glucose, HbA1c, medication, labs, and complications in one place.</w:t>
            </w:r>
          </w:p>
        </w:tc>
      </w:tr>
      <w:tr>
        <w:tc>
          <w:tcPr>
            <w:tcW w:type="dxa" w:w="2800"/>
            <w:tcMar>
              <w:top w:type="dxa" w:w="100"/>
              <w:left w:type="dxa" w:w="120"/>
              <w:bottom w:type="dxa" w:w="100"/>
              <w:right w:type="dxa" w:w="120"/>
            </w:tcMar>
          </w:tcPr>
          <w:p>
            <w:r>
              <w:rPr>
                <w:rFonts w:ascii="Calibri" w:cs="Calibri" w:eastAsia="Calibri" w:hAnsi="Calibri"/>
                <w:b w:val="false"/>
                <w:bCs w:val="false"/>
                <w:color w:val="12211B"/>
                <w:sz w:val="20"/>
                <w:szCs w:val="20"/>
              </w:rPr>
              <w:t xml:space="preserve">ParentCare</w:t>
            </w:r>
          </w:p>
        </w:tc>
        <w:tc>
          <w:tcPr>
            <w:tcW w:type="dxa" w:w="6550"/>
            <w:tcMar>
              <w:top w:type="dxa" w:w="100"/>
              <w:left w:type="dxa" w:w="120"/>
              <w:bottom w:type="dxa" w:w="100"/>
              <w:right w:type="dxa" w:w="120"/>
            </w:tcMar>
          </w:tcPr>
          <w:p>
            <w:r>
              <w:rPr>
                <w:rFonts w:ascii="Calibri" w:cs="Calibri" w:eastAsia="Calibri" w:hAnsi="Calibri"/>
                <w:b w:val="false"/>
                <w:bCs w:val="false"/>
                <w:color w:val="12211B"/>
                <w:sz w:val="20"/>
                <w:szCs w:val="20"/>
              </w:rPr>
              <w:t xml:space="preserve">Know how your parent is doing, even when you are not there every day.</w:t>
            </w:r>
          </w:p>
        </w:tc>
      </w:tr>
      <w:tr>
        <w:tc>
          <w:tcPr>
            <w:tcW w:type="dxa" w:w="28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Preventive Health</w:t>
            </w:r>
          </w:p>
        </w:tc>
        <w:tc>
          <w:tcPr>
            <w:tcW w:type="dxa" w:w="6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Find care gaps early and know what checks may be due.</w:t>
            </w:r>
          </w:p>
        </w:tc>
      </w:tr>
      <w:tr>
        <w:tc>
          <w:tcPr>
            <w:tcW w:type="dxa" w:w="2800"/>
            <w:tcMar>
              <w:top w:type="dxa" w:w="100"/>
              <w:left w:type="dxa" w:w="120"/>
              <w:bottom w:type="dxa" w:w="100"/>
              <w:right w:type="dxa" w:w="120"/>
            </w:tcMar>
          </w:tcPr>
          <w:p>
            <w:r>
              <w:rPr>
                <w:rFonts w:ascii="Calibri" w:cs="Calibri" w:eastAsia="Calibri" w:hAnsi="Calibri"/>
                <w:b w:val="false"/>
                <w:bCs w:val="false"/>
                <w:color w:val="12211B"/>
                <w:sz w:val="20"/>
                <w:szCs w:val="20"/>
              </w:rPr>
              <w:t xml:space="preserve">Medication Support</w:t>
            </w:r>
          </w:p>
        </w:tc>
        <w:tc>
          <w:tcPr>
            <w:tcW w:type="dxa" w:w="6550"/>
            <w:tcMar>
              <w:top w:type="dxa" w:w="100"/>
              <w:left w:type="dxa" w:w="120"/>
              <w:bottom w:type="dxa" w:w="100"/>
              <w:right w:type="dxa" w:w="120"/>
            </w:tcMar>
          </w:tcPr>
          <w:p>
            <w:r>
              <w:rPr>
                <w:rFonts w:ascii="Calibri" w:cs="Calibri" w:eastAsia="Calibri" w:hAnsi="Calibri"/>
                <w:b w:val="false"/>
                <w:bCs w:val="false"/>
                <w:color w:val="12211B"/>
                <w:sz w:val="20"/>
                <w:szCs w:val="20"/>
              </w:rPr>
              <w:t xml:space="preserve">Reduce missed doses and avoid running out of medication.</w:t>
            </w:r>
          </w:p>
        </w:tc>
      </w:tr>
      <w:tr>
        <w:tc>
          <w:tcPr>
            <w:tcW w:type="dxa" w:w="28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Lab Coordination</w:t>
            </w:r>
          </w:p>
        </w:tc>
        <w:tc>
          <w:tcPr>
            <w:tcW w:type="dxa" w:w="6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Know what tests are due, book them, and track follow-up.</w:t>
            </w:r>
          </w:p>
        </w:tc>
      </w:tr>
      <w:tr>
        <w:tc>
          <w:tcPr>
            <w:tcW w:type="dxa" w:w="2800"/>
            <w:tcMar>
              <w:top w:type="dxa" w:w="100"/>
              <w:left w:type="dxa" w:w="120"/>
              <w:bottom w:type="dxa" w:w="100"/>
              <w:right w:type="dxa" w:w="120"/>
            </w:tcMar>
          </w:tcPr>
          <w:p>
            <w:r>
              <w:rPr>
                <w:rFonts w:ascii="Calibri" w:cs="Calibri" w:eastAsia="Calibri" w:hAnsi="Calibri"/>
                <w:b w:val="false"/>
                <w:bCs w:val="false"/>
                <w:color w:val="12211B"/>
                <w:sz w:val="20"/>
                <w:szCs w:val="20"/>
              </w:rPr>
              <w:t xml:space="preserve">Corporate Health</w:t>
            </w:r>
          </w:p>
        </w:tc>
        <w:tc>
          <w:tcPr>
            <w:tcW w:type="dxa" w:w="6550"/>
            <w:tcMar>
              <w:top w:type="dxa" w:w="100"/>
              <w:left w:type="dxa" w:w="120"/>
              <w:bottom w:type="dxa" w:w="100"/>
              <w:right w:type="dxa" w:w="120"/>
            </w:tcMar>
          </w:tcPr>
          <w:p>
            <w:r>
              <w:rPr>
                <w:rFonts w:ascii="Calibri" w:cs="Calibri" w:eastAsia="Calibri" w:hAnsi="Calibri"/>
                <w:b w:val="false"/>
                <w:bCs w:val="false"/>
                <w:color w:val="12211B"/>
                <w:sz w:val="20"/>
                <w:szCs w:val="20"/>
              </w:rPr>
              <w:t xml:space="preserve">Help your workforce detect and manage chronic disease risk.</w:t>
            </w:r>
          </w:p>
        </w:tc>
      </w:tr>
      <w:tr>
        <w:tc>
          <w:tcPr>
            <w:tcW w:type="dxa" w:w="28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HMO Support</w:t>
            </w:r>
          </w:p>
        </w:tc>
        <w:tc>
          <w:tcPr>
            <w:tcW w:type="dxa" w:w="6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Monitor member risk, close care gaps, and generate outcome evidence.</w:t>
            </w:r>
          </w:p>
        </w:tc>
      </w:tr>
    </w:tbl>
    <w:p>
      <w:pPr>
        <w:pStyle w:val="Heading2"/>
        <w:spacing w:after="140" w:before="320"/>
      </w:pPr>
      <w:r>
        <w:rPr>
          <w:rFonts w:ascii="Calibri" w:cs="Calibri" w:eastAsia="Calibri" w:hAnsi="Calibri"/>
          <w:b/>
          <w:bCs/>
          <w:color w:val="0A5C3D"/>
          <w:sz w:val="26"/>
          <w:szCs w:val="26"/>
        </w:rPr>
        <w:t xml:space="preserve">5.3 Campaign Concepts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550"/>
        <w:gridCol w:w="2400"/>
      </w:tblGrid>
      <w:tr>
        <w:tc>
          <w:tcPr>
            <w:tcW w:type="dxa" w:w="24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Audience</w:t>
            </w:r>
          </w:p>
        </w:tc>
        <w:tc>
          <w:tcPr>
            <w:tcW w:type="dxa" w:w="455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Line</w:t>
            </w:r>
          </w:p>
        </w:tc>
        <w:tc>
          <w:tcPr>
            <w:tcW w:type="dxa" w:w="24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Use for</w:t>
            </w:r>
          </w:p>
        </w:tc>
      </w:tr>
      <w:tr>
        <w:tc>
          <w:tcPr>
            <w:tcW w:type="dxa" w:w="2400"/>
            <w:tcMar>
              <w:top w:type="dxa" w:w="100"/>
              <w:left w:type="dxa" w:w="120"/>
              <w:bottom w:type="dxa" w:w="100"/>
              <w:right w:type="dxa" w:w="120"/>
            </w:tcMar>
          </w:tcPr>
          <w:p>
            <w:r>
              <w:rPr>
                <w:rFonts w:ascii="Calibri" w:cs="Calibri" w:eastAsia="Calibri" w:hAnsi="Calibri"/>
                <w:b w:val="false"/>
                <w:bCs w:val="false"/>
                <w:color w:val="12211B"/>
                <w:sz w:val="20"/>
                <w:szCs w:val="20"/>
              </w:rPr>
              <w:t xml:space="preserve">Families</w:t>
            </w:r>
          </w:p>
        </w:tc>
        <w:tc>
          <w:tcPr>
            <w:tcW w:type="dxa" w:w="4550"/>
            <w:tcMar>
              <w:top w:type="dxa" w:w="100"/>
              <w:left w:type="dxa" w:w="120"/>
              <w:bottom w:type="dxa" w:w="100"/>
              <w:right w:type="dxa" w:w="120"/>
            </w:tcMar>
          </w:tcPr>
          <w:p>
            <w:r>
              <w:rPr>
                <w:rFonts w:ascii="Calibri" w:cs="Calibri" w:eastAsia="Calibri" w:hAnsi="Calibri"/>
                <w:b w:val="false"/>
                <w:bCs w:val="false"/>
                <w:color w:val="12211B"/>
                <w:sz w:val="20"/>
                <w:szCs w:val="20"/>
              </w:rPr>
              <w:t xml:space="preserve">Your parents looked after you. Now help look after them.</w:t>
            </w:r>
          </w:p>
        </w:tc>
        <w:tc>
          <w:tcPr>
            <w:tcW w:type="dxa" w:w="2400"/>
            <w:tcMar>
              <w:top w:type="dxa" w:w="100"/>
              <w:left w:type="dxa" w:w="120"/>
              <w:bottom w:type="dxa" w:w="100"/>
              <w:right w:type="dxa" w:w="120"/>
            </w:tcMar>
          </w:tcPr>
          <w:p>
            <w:r>
              <w:rPr>
                <w:rFonts w:ascii="Calibri" w:cs="Calibri" w:eastAsia="Calibri" w:hAnsi="Calibri"/>
                <w:b w:val="false"/>
                <w:bCs w:val="false"/>
                <w:color w:val="12211B"/>
                <w:sz w:val="20"/>
                <w:szCs w:val="20"/>
              </w:rPr>
              <w:t xml:space="preserve">ParentCare, diaspora, family plans</w:t>
            </w:r>
          </w:p>
        </w:tc>
      </w:tr>
      <w:tr>
        <w:tc>
          <w:tcPr>
            <w:tcW w:type="dxa" w:w="24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Hypertension</w:t>
            </w:r>
          </w:p>
        </w:tc>
        <w:tc>
          <w:tcPr>
            <w:tcW w:type="dxa" w:w="4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High blood pressure needs follow-up, not guesswork.</w:t>
            </w:r>
          </w:p>
        </w:tc>
        <w:tc>
          <w:tcPr>
            <w:tcW w:type="dxa" w:w="24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HTN plan</w:t>
            </w:r>
          </w:p>
        </w:tc>
      </w:tr>
      <w:tr>
        <w:tc>
          <w:tcPr>
            <w:tcW w:type="dxa" w:w="2400"/>
            <w:tcMar>
              <w:top w:type="dxa" w:w="100"/>
              <w:left w:type="dxa" w:w="120"/>
              <w:bottom w:type="dxa" w:w="100"/>
              <w:right w:type="dxa" w:w="120"/>
            </w:tcMar>
          </w:tcPr>
          <w:p>
            <w:r>
              <w:rPr>
                <w:rFonts w:ascii="Calibri" w:cs="Calibri" w:eastAsia="Calibri" w:hAnsi="Calibri"/>
                <w:b w:val="false"/>
                <w:bCs w:val="false"/>
                <w:color w:val="12211B"/>
                <w:sz w:val="20"/>
                <w:szCs w:val="20"/>
              </w:rPr>
              <w:t xml:space="preserve">Diabetes</w:t>
            </w:r>
          </w:p>
        </w:tc>
        <w:tc>
          <w:tcPr>
            <w:tcW w:type="dxa" w:w="4550"/>
            <w:tcMar>
              <w:top w:type="dxa" w:w="100"/>
              <w:left w:type="dxa" w:w="120"/>
              <w:bottom w:type="dxa" w:w="100"/>
              <w:right w:type="dxa" w:w="120"/>
            </w:tcMar>
          </w:tcPr>
          <w:p>
            <w:r>
              <w:rPr>
                <w:rFonts w:ascii="Calibri" w:cs="Calibri" w:eastAsia="Calibri" w:hAnsi="Calibri"/>
                <w:b w:val="false"/>
                <w:bCs w:val="false"/>
                <w:color w:val="12211B"/>
                <w:sz w:val="20"/>
                <w:szCs w:val="20"/>
              </w:rPr>
              <w:t xml:space="preserve">Diabetes care is more than sugar checks.</w:t>
            </w:r>
          </w:p>
        </w:tc>
        <w:tc>
          <w:tcPr>
            <w:tcW w:type="dxa" w:w="2400"/>
            <w:tcMar>
              <w:top w:type="dxa" w:w="100"/>
              <w:left w:type="dxa" w:w="120"/>
              <w:bottom w:type="dxa" w:w="100"/>
              <w:right w:type="dxa" w:w="120"/>
            </w:tcMar>
          </w:tcPr>
          <w:p>
            <w:r>
              <w:rPr>
                <w:rFonts w:ascii="Calibri" w:cs="Calibri" w:eastAsia="Calibri" w:hAnsi="Calibri"/>
                <w:b w:val="false"/>
                <w:bCs w:val="false"/>
                <w:color w:val="12211B"/>
                <w:sz w:val="20"/>
                <w:szCs w:val="20"/>
              </w:rPr>
              <w:t xml:space="preserve">Diabetes plan</w:t>
            </w:r>
          </w:p>
        </w:tc>
      </w:tr>
      <w:tr>
        <w:tc>
          <w:tcPr>
            <w:tcW w:type="dxa" w:w="24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Prevention</w:t>
            </w:r>
          </w:p>
        </w:tc>
        <w:tc>
          <w:tcPr>
            <w:tcW w:type="dxa" w:w="4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The best emergency is the one you prevent.</w:t>
            </w:r>
          </w:p>
        </w:tc>
        <w:tc>
          <w:tcPr>
            <w:tcW w:type="dxa" w:w="24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Preventive education</w:t>
            </w:r>
          </w:p>
        </w:tc>
      </w:tr>
      <w:tr>
        <w:tc>
          <w:tcPr>
            <w:tcW w:type="dxa" w:w="2400"/>
            <w:tcMar>
              <w:top w:type="dxa" w:w="100"/>
              <w:left w:type="dxa" w:w="120"/>
              <w:bottom w:type="dxa" w:w="100"/>
              <w:right w:type="dxa" w:w="120"/>
            </w:tcMar>
          </w:tcPr>
          <w:p>
            <w:r>
              <w:rPr>
                <w:rFonts w:ascii="Calibri" w:cs="Calibri" w:eastAsia="Calibri" w:hAnsi="Calibri"/>
                <w:b w:val="false"/>
                <w:bCs w:val="false"/>
                <w:color w:val="12211B"/>
                <w:sz w:val="20"/>
                <w:szCs w:val="20"/>
              </w:rPr>
              <w:t xml:space="preserve">Corporate</w:t>
            </w:r>
          </w:p>
        </w:tc>
        <w:tc>
          <w:tcPr>
            <w:tcW w:type="dxa" w:w="4550"/>
            <w:tcMar>
              <w:top w:type="dxa" w:w="100"/>
              <w:left w:type="dxa" w:w="120"/>
              <w:bottom w:type="dxa" w:w="100"/>
              <w:right w:type="dxa" w:w="120"/>
            </w:tcMar>
          </w:tcPr>
          <w:p>
            <w:r>
              <w:rPr>
                <w:rFonts w:ascii="Calibri" w:cs="Calibri" w:eastAsia="Calibri" w:hAnsi="Calibri"/>
                <w:b w:val="false"/>
                <w:bCs w:val="false"/>
                <w:color w:val="12211B"/>
                <w:sz w:val="20"/>
                <w:szCs w:val="20"/>
              </w:rPr>
              <w:t xml:space="preserve">Know your workforce health risks before they become costs.</w:t>
            </w:r>
          </w:p>
        </w:tc>
        <w:tc>
          <w:tcPr>
            <w:tcW w:type="dxa" w:w="2400"/>
            <w:tcMar>
              <w:top w:type="dxa" w:w="100"/>
              <w:left w:type="dxa" w:w="120"/>
              <w:bottom w:type="dxa" w:w="100"/>
              <w:right w:type="dxa" w:w="120"/>
            </w:tcMar>
          </w:tcPr>
          <w:p>
            <w:r>
              <w:rPr>
                <w:rFonts w:ascii="Calibri" w:cs="Calibri" w:eastAsia="Calibri" w:hAnsi="Calibri"/>
                <w:b w:val="false"/>
                <w:bCs w:val="false"/>
                <w:color w:val="12211B"/>
                <w:sz w:val="20"/>
                <w:szCs w:val="20"/>
              </w:rPr>
              <w:t xml:space="preserve">Employer plans</w:t>
            </w:r>
          </w:p>
        </w:tc>
      </w:tr>
      <w:tr>
        <w:tc>
          <w:tcPr>
            <w:tcW w:type="dxa" w:w="24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HMO</w:t>
            </w:r>
          </w:p>
        </w:tc>
        <w:tc>
          <w:tcPr>
            <w:tcW w:type="dxa" w:w="4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Close care gaps. Monitor risk. Prove outcomes.</w:t>
            </w:r>
          </w:p>
        </w:tc>
        <w:tc>
          <w:tcPr>
            <w:tcW w:type="dxa" w:w="24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HMO sales</w:t>
            </w:r>
          </w:p>
        </w:tc>
      </w:tr>
    </w:tbl>
    <w:p>
      <w:r>
        <w:br w:type="page"/>
      </w:r>
    </w:p>
    <w:p>
      <w:pPr>
        <w:pStyle w:val="Heading1"/>
        <w:spacing w:after="200" w:before="480"/>
      </w:pPr>
      <w:r>
        <w:rPr>
          <w:rFonts w:ascii="Calibri" w:cs="Calibri" w:eastAsia="Calibri" w:hAnsi="Calibri"/>
          <w:b/>
          <w:bCs/>
          <w:color w:val="0E7C52"/>
          <w:sz w:val="32"/>
          <w:szCs w:val="32"/>
        </w:rPr>
        <w:t xml:space="preserve">6. Product &amp; Brand Applications</w:t>
      </w:r>
    </w:p>
    <w:p>
      <w:pPr>
        <w:pStyle w:val="Heading2"/>
        <w:spacing w:after="140" w:before="320"/>
      </w:pPr>
      <w:r>
        <w:rPr>
          <w:rFonts w:ascii="Calibri" w:cs="Calibri" w:eastAsia="Calibri" w:hAnsi="Calibri"/>
          <w:b/>
          <w:bCs/>
          <w:color w:val="0A5C3D"/>
          <w:sz w:val="26"/>
          <w:szCs w:val="26"/>
        </w:rPr>
        <w:t xml:space="preserve">6.1 Dashboard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Patient dashboard</w:t>
            </w:r>
          </w:p>
        </w:tc>
        <w:tc>
          <w:tcPr>
            <w:tcW w:type="dxa" w:w="3117"/>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Family dashboard</w:t>
            </w:r>
          </w:p>
        </w:tc>
        <w:tc>
          <w:tcPr>
            <w:tcW w:type="dxa" w:w="3116"/>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Nurse dashboard</w:t>
            </w:r>
          </w:p>
        </w:tc>
      </w:tr>
      <w:tr>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Today's status (green/amber/red) · Latest BP · Latest glucose · Medication · Labs due · Preventive checks · Health Passport · Next action</w:t>
            </w:r>
          </w:p>
        </w:tc>
        <w:tc>
          <w:tcPr>
            <w:tcW w:type="dxa" w:w="3117"/>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Is my loved one okay? · Medication status · Latest readings · Upcoming actions · Monthly report · Alerts</w:t>
            </w:r>
          </w:p>
        </w:tc>
        <w:tc>
          <w:tcPr>
            <w:tcW w:type="dxa" w:w="3116"/>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Patients due today · Abnormal readings · Missed medications · Labs overdue · Escalations · Family updates pending · Caseload metrics</w:t>
            </w:r>
          </w:p>
        </w:tc>
      </w:tr>
    </w:tbl>
    <w:p>
      <w:pPr>
        <w:spacing w:after="160" w:line="300"/>
      </w:pPr>
      <w:r>
        <w:rPr>
          <w:rFonts w:ascii="Calibri" w:cs="Calibri" w:eastAsia="Calibri" w:hAnsi="Calibri"/>
          <w:b w:val="false"/>
          <w:bCs w:val="false"/>
          <w:i/>
          <w:iCs/>
          <w:color w:val="12211B"/>
          <w:sz w:val="22"/>
          <w:szCs w:val="22"/>
        </w:rPr>
        <w:t xml:space="preserve">Dashboard UI is card-based with green/amber/red status, simple trends, and one clear next action per card. Card-based, never dense clinical tables for patients and families.</w:t>
      </w:r>
    </w:p>
    <w:p>
      <w:pPr>
        <w:pStyle w:val="Heading2"/>
        <w:spacing w:after="140" w:before="320"/>
      </w:pPr>
      <w:r>
        <w:rPr>
          <w:rFonts w:ascii="Calibri" w:cs="Calibri" w:eastAsia="Calibri" w:hAnsi="Calibri"/>
          <w:b/>
          <w:bCs/>
          <w:color w:val="0A5C3D"/>
          <w:sz w:val="26"/>
          <w:szCs w:val="26"/>
        </w:rPr>
        <w:t xml:space="preserve">6.2 Digital Presence</w:t>
      </w:r>
    </w:p>
    <w:p>
      <w:pPr>
        <w:pStyle w:val="Heading3"/>
        <w:spacing w:after="100" w:before="220"/>
      </w:pPr>
      <w:r>
        <w:rPr>
          <w:rFonts w:ascii="Calibri" w:cs="Calibri" w:eastAsia="Calibri" w:hAnsi="Calibri"/>
          <w:b/>
          <w:bCs/>
          <w:color w:val="12211B"/>
          <w:sz w:val="22"/>
          <w:szCs w:val="22"/>
        </w:rPr>
        <w:t xml:space="preserve">WhatsApp Business profile</w:t>
      </w:r>
    </w:p>
    <w:p>
      <w:pPr>
        <w:pStyle w:val="ListParagraph"/>
        <w:numPr>
          <w:ilvl w:val="0"/>
          <w:numId w:val="2"/>
        </w:numPr>
        <w:spacing w:after="80"/>
      </w:pPr>
      <w:r>
        <w:rPr>
          <w:rFonts w:ascii="Calibri" w:cs="Calibri" w:eastAsia="Calibri" w:hAnsi="Calibri"/>
          <w:color w:val="12211B"/>
          <w:sz w:val="22"/>
          <w:szCs w:val="22"/>
        </w:rPr>
        <w:t xml:space="preserve">Profile photo: Guard Leaf mark on white. About line: "Care that stays with you. Your Tarragon Health care team."</w:t>
      </w:r>
    </w:p>
    <w:p>
      <w:pPr>
        <w:pStyle w:val="Heading3"/>
        <w:spacing w:after="100" w:before="220"/>
      </w:pPr>
      <w:r>
        <w:rPr>
          <w:rFonts w:ascii="Calibri" w:cs="Calibri" w:eastAsia="Calibri" w:hAnsi="Calibri"/>
          <w:b/>
          <w:bCs/>
          <w:color w:val="12211B"/>
          <w:sz w:val="22"/>
          <w:szCs w:val="22"/>
        </w:rPr>
        <w:t xml:space="preserve">App icon</w:t>
      </w:r>
    </w:p>
    <w:p>
      <w:pPr>
        <w:pStyle w:val="ListParagraph"/>
        <w:numPr>
          <w:ilvl w:val="0"/>
          <w:numId w:val="2"/>
        </w:numPr>
        <w:spacing w:after="80"/>
      </w:pPr>
      <w:r>
        <w:rPr>
          <w:rFonts w:ascii="Calibri" w:cs="Calibri" w:eastAsia="Calibri" w:hAnsi="Calibri"/>
          <w:color w:val="12211B"/>
          <w:sz w:val="22"/>
          <w:szCs w:val="22"/>
        </w:rPr>
        <w:t xml:space="preserve">Guard Leaf mark on a Tarragon Green rounded square — checkmark vein must stay visible at 44px.</w:t>
      </w:r>
    </w:p>
    <w:p>
      <w:pPr>
        <w:pStyle w:val="Heading3"/>
        <w:spacing w:after="100" w:before="220"/>
      </w:pPr>
      <w:r>
        <w:rPr>
          <w:rFonts w:ascii="Calibri" w:cs="Calibri" w:eastAsia="Calibri" w:hAnsi="Calibri"/>
          <w:b/>
          <w:bCs/>
          <w:color w:val="12211B"/>
          <w:sz w:val="22"/>
          <w:szCs w:val="22"/>
        </w:rPr>
        <w:t xml:space="preserve">Social media bio</w:t>
      </w:r>
    </w:p>
    <w:p>
      <w:pPr>
        <w:pBdr>
          <w:left w:val="single" w:color="0E7C52" w:sz="18" w:space="12"/>
        </w:pBdr>
        <w:spacing w:after="200" w:before="120"/>
        <w:ind w:left="360"/>
      </w:pPr>
      <w:r>
        <w:rPr>
          <w:rFonts w:ascii="Calibri" w:cs="Calibri" w:eastAsia="Calibri" w:hAnsi="Calibri"/>
          <w:i/>
          <w:iCs/>
          <w:color w:val="0A5C3D"/>
          <w:sz w:val="24"/>
          <w:szCs w:val="24"/>
        </w:rPr>
        <w:t xml:space="preserve">TarragonHealth
Care that stays with you.
Chronic disease, preventive health, and family care monitoring for Nigerians and their loved ones.</w:t>
      </w:r>
    </w:p>
    <w:p>
      <w:pPr>
        <w:pStyle w:val="Heading3"/>
        <w:spacing w:after="100" w:before="220"/>
      </w:pPr>
      <w:r>
        <w:rPr>
          <w:rFonts w:ascii="Calibri" w:cs="Calibri" w:eastAsia="Calibri" w:hAnsi="Calibri"/>
          <w:b/>
          <w:bCs/>
          <w:color w:val="12211B"/>
          <w:sz w:val="22"/>
          <w:szCs w:val="22"/>
        </w:rPr>
        <w:t xml:space="preserve">App store description</w:t>
      </w:r>
    </w:p>
    <w:p>
      <w:pPr>
        <w:spacing w:after="160" w:line="300"/>
      </w:pPr>
      <w:r>
        <w:rPr>
          <w:rFonts w:ascii="Calibri" w:cs="Calibri" w:eastAsia="Calibri" w:hAnsi="Calibri"/>
          <w:b w:val="false"/>
          <w:bCs w:val="false"/>
          <w:i w:val="false"/>
          <w:iCs w:val="false"/>
          <w:color w:val="12211B"/>
          <w:sz w:val="22"/>
          <w:szCs w:val="22"/>
        </w:rPr>
        <w:t xml:space="preserve">Tarragon Health helps you track your blood pressure, blood sugar, medications, lab checks, and preventive health reminders in one secure place. Families can monitor loved ones with consent, receive updates, and stay ahead of avoidable health crises.</w:t>
      </w:r>
    </w:p>
    <w:p>
      <w:pPr>
        <w:pStyle w:val="Heading3"/>
        <w:spacing w:after="100" w:before="220"/>
      </w:pPr>
      <w:r>
        <w:rPr>
          <w:rFonts w:ascii="Calibri" w:cs="Calibri" w:eastAsia="Calibri" w:hAnsi="Calibri"/>
          <w:b/>
          <w:bCs/>
          <w:color w:val="12211B"/>
          <w:sz w:val="22"/>
          <w:szCs w:val="22"/>
        </w:rPr>
        <w:t xml:space="preserve">LinkedIn company description</w:t>
      </w:r>
    </w:p>
    <w:p>
      <w:pPr>
        <w:spacing w:after="160" w:line="300"/>
      </w:pPr>
      <w:r>
        <w:rPr>
          <w:rFonts w:ascii="Calibri" w:cs="Calibri" w:eastAsia="Calibri" w:hAnsi="Calibri"/>
          <w:b w:val="false"/>
          <w:bCs w:val="false"/>
          <w:i w:val="false"/>
          <w:iCs w:val="false"/>
          <w:color w:val="12211B"/>
          <w:sz w:val="22"/>
          <w:szCs w:val="22"/>
        </w:rPr>
        <w:t xml:space="preserve">Tarragon Health is building Nigeria's digital-first chronic disease, preventive health, and family care coordination platform. We help patients and families monitor blood pressure, blood sugar, medication adherence, lab checks, and care gaps — with nurse-led follow-up and doctor escalation when required.</w:t>
      </w:r>
    </w:p>
    <w:p>
      <w:pPr>
        <w:pStyle w:val="Heading2"/>
        <w:spacing w:after="140" w:before="320"/>
      </w:pPr>
      <w:r>
        <w:rPr>
          <w:rFonts w:ascii="Calibri" w:cs="Calibri" w:eastAsia="Calibri" w:hAnsi="Calibri"/>
          <w:b/>
          <w:bCs/>
          <w:color w:val="0A5C3D"/>
          <w:sz w:val="26"/>
          <w:szCs w:val="26"/>
        </w:rPr>
        <w:t xml:space="preserve">6.3 Print</w:t>
      </w:r>
    </w:p>
    <w:p>
      <w:pPr>
        <w:pStyle w:val="ListParagraph"/>
        <w:numPr>
          <w:ilvl w:val="0"/>
          <w:numId w:val="2"/>
        </w:numPr>
        <w:spacing w:after="80"/>
      </w:pPr>
      <w:r>
        <w:rPr>
          <w:rFonts w:ascii="Calibri" w:cs="Calibri" w:eastAsia="Calibri" w:hAnsi="Calibri"/>
          <w:color w:val="12211B"/>
          <w:sz w:val="22"/>
          <w:szCs w:val="22"/>
        </w:rPr>
        <w:t xml:space="preserve">Business card — Front: mark + wordmark + "Care that stays with you." Back (Soft Sage): name, role, email, phone, website, and "Clinician-led health monitoring for families, employers, and HMOs."</w:t>
      </w:r>
    </w:p>
    <w:p>
      <w:pPr>
        <w:pStyle w:val="ListParagraph"/>
        <w:numPr>
          <w:ilvl w:val="0"/>
          <w:numId w:val="2"/>
        </w:numPr>
        <w:spacing w:after="80"/>
      </w:pPr>
      <w:r>
        <w:rPr>
          <w:rFonts w:ascii="Calibri" w:cs="Calibri" w:eastAsia="Calibri" w:hAnsi="Calibri"/>
          <w:color w:val="12211B"/>
          <w:sz w:val="22"/>
          <w:szCs w:val="22"/>
        </w:rPr>
        <w:t xml:space="preserve">Letterhead — top-left logo, top-right tagline, footer with website, email, phone, address, privacy statement.</w:t>
      </w:r>
    </w:p>
    <w:p>
      <w:pPr>
        <w:pStyle w:val="ListParagraph"/>
        <w:numPr>
          <w:ilvl w:val="0"/>
          <w:numId w:val="2"/>
        </w:numPr>
        <w:spacing w:after="80"/>
      </w:pPr>
      <w:r>
        <w:rPr>
          <w:rFonts w:ascii="Calibri" w:cs="Calibri" w:eastAsia="Calibri" w:hAnsi="Calibri"/>
          <w:color w:val="12211B"/>
          <w:sz w:val="22"/>
          <w:szCs w:val="22"/>
        </w:rPr>
        <w:t xml:space="preserve">Corporate / HMO report cover — Deep Navy full-bleed, mark in white, title in Sora Bold, client name beneath. Restrained, not promotional — this is a data document.</w:t>
      </w:r>
    </w:p>
    <w:p>
      <w:r>
        <w:br w:type="page"/>
      </w:r>
    </w:p>
    <w:p>
      <w:pPr>
        <w:pStyle w:val="Heading1"/>
        <w:spacing w:after="200" w:before="480"/>
      </w:pPr>
      <w:r>
        <w:rPr>
          <w:rFonts w:ascii="Calibri" w:cs="Calibri" w:eastAsia="Calibri" w:hAnsi="Calibri"/>
          <w:b/>
          <w:bCs/>
          <w:color w:val="0E7C52"/>
          <w:sz w:val="32"/>
          <w:szCs w:val="32"/>
        </w:rPr>
        <w:t xml:space="preserve">7. Brand Architecture &amp; Naming</w:t>
      </w:r>
    </w:p>
    <w:p>
      <w:pPr>
        <w:spacing w:after="160" w:line="300"/>
      </w:pPr>
      <w:r>
        <w:rPr>
          <w:rFonts w:ascii="Calibri" w:cs="Calibri" w:eastAsia="Calibri" w:hAnsi="Calibri"/>
          <w:b w:val="false"/>
          <w:bCs w:val="false"/>
          <w:i w:val="false"/>
          <w:iCs w:val="false"/>
          <w:color w:val="12211B"/>
          <w:sz w:val="22"/>
          <w:szCs w:val="22"/>
        </w:rPr>
        <w:t xml:space="preserve">Tarragon Health is a single master brand — no independent sub-brands. Product names are descriptive, not invented, keeping every package legible to a first-time Nigerian user and concentrating all equity in the master mark.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Naming pattern</w:t>
            </w:r>
          </w:p>
        </w:tc>
        <w:tc>
          <w:tcPr>
            <w:tcW w:type="dxa" w:w="615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Example</w:t>
            </w:r>
          </w:p>
        </w:tc>
      </w:tr>
      <w:tr>
        <w:tc>
          <w:tcPr>
            <w:tcW w:type="dxa" w:w="3200"/>
            <w:tcMar>
              <w:top w:type="dxa" w:w="100"/>
              <w:left w:type="dxa" w:w="120"/>
              <w:bottom w:type="dxa" w:w="100"/>
              <w:right w:type="dxa" w:w="120"/>
            </w:tcMar>
          </w:tcPr>
          <w:p>
            <w:r>
              <w:rPr>
                <w:rFonts w:ascii="Calibri" w:cs="Calibri" w:eastAsia="Calibri" w:hAnsi="Calibri"/>
                <w:b w:val="false"/>
                <w:bCs w:val="false"/>
                <w:color w:val="12211B"/>
                <w:sz w:val="20"/>
                <w:szCs w:val="20"/>
              </w:rPr>
              <w:t xml:space="preserve">[Tarragon] + [Condition/Audience] + [Care/Plan]</w:t>
            </w:r>
          </w:p>
        </w:tc>
        <w:tc>
          <w:tcPr>
            <w:tcW w:type="dxa" w:w="6150"/>
            <w:tcMar>
              <w:top w:type="dxa" w:w="100"/>
              <w:left w:type="dxa" w:w="120"/>
              <w:bottom w:type="dxa" w:w="100"/>
              <w:right w:type="dxa" w:w="120"/>
            </w:tcMar>
          </w:tcPr>
          <w:p>
            <w:r>
              <w:rPr>
                <w:rFonts w:ascii="Calibri" w:cs="Calibri" w:eastAsia="Calibri" w:hAnsi="Calibri"/>
                <w:b w:val="false"/>
                <w:bCs w:val="false"/>
                <w:color w:val="12211B"/>
                <w:sz w:val="20"/>
                <w:szCs w:val="20"/>
              </w:rPr>
              <w:t xml:space="preserve">Hypertension Care, Diabetes Care, ParentCare, Family Plan, Chronic Care Plus</w:t>
            </w:r>
          </w:p>
        </w:tc>
      </w:tr>
      <w:tr>
        <w:tc>
          <w:tcPr>
            <w:tcW w:type="dxa" w:w="320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[Tarragon] + [Duration/Format] + [Programme]</w:t>
            </w:r>
          </w:p>
        </w:tc>
        <w:tc>
          <w:tcPr>
            <w:tcW w:type="dxa" w:w="61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Tarragon 90-Day Health Reset, Tarragon Free Health Tracker</w:t>
            </w:r>
          </w:p>
        </w:tc>
      </w:tr>
      <w:tr>
        <w:tc>
          <w:tcPr>
            <w:tcW w:type="dxa" w:w="3200"/>
            <w:tcMar>
              <w:top w:type="dxa" w:w="100"/>
              <w:left w:type="dxa" w:w="120"/>
              <w:bottom w:type="dxa" w:w="100"/>
              <w:right w:type="dxa" w:w="120"/>
            </w:tcMar>
          </w:tcPr>
          <w:p>
            <w:r>
              <w:rPr>
                <w:rFonts w:ascii="Calibri" w:cs="Calibri" w:eastAsia="Calibri" w:hAnsi="Calibri"/>
                <w:b w:val="false"/>
                <w:bCs w:val="false"/>
                <w:color w:val="12211B"/>
                <w:sz w:val="20"/>
                <w:szCs w:val="20"/>
              </w:rPr>
              <w:t xml:space="preserve">[Premium] modifier — top diaspora tier only</w:t>
            </w:r>
          </w:p>
        </w:tc>
        <w:tc>
          <w:tcPr>
            <w:tcW w:type="dxa" w:w="6150"/>
            <w:tcMar>
              <w:top w:type="dxa" w:w="100"/>
              <w:left w:type="dxa" w:w="120"/>
              <w:bottom w:type="dxa" w:w="100"/>
              <w:right w:type="dxa" w:w="120"/>
            </w:tcMar>
          </w:tcPr>
          <w:p>
            <w:r>
              <w:rPr>
                <w:rFonts w:ascii="Calibri" w:cs="Calibri" w:eastAsia="Calibri" w:hAnsi="Calibri"/>
                <w:b w:val="false"/>
                <w:bCs w:val="false"/>
                <w:color w:val="12211B"/>
                <w:sz w:val="20"/>
                <w:szCs w:val="20"/>
              </w:rPr>
              <w:t xml:space="preserve">Premium ParentCare — the only place "Premium" appears in the portfolio</w:t>
            </w:r>
          </w:p>
        </w:tc>
      </w:tr>
    </w:tbl>
    <w:p>
      <w:pPr>
        <w:spacing w:after="160" w:line="300"/>
      </w:pPr>
      <w:r>
        <w:rPr>
          <w:rFonts w:ascii="Calibri" w:cs="Calibri" w:eastAsia="Calibri" w:hAnsi="Calibri"/>
          <w:b w:val="false"/>
          <w:bCs w:val="false"/>
          <w:i w:val="false"/>
          <w:iCs w:val="false"/>
          <w:color w:val="12211B"/>
          <w:sz w:val="22"/>
          <w:szCs w:val="22"/>
        </w:rPr>
        <w:t xml:space="preserve">Rule: never coin a standalone brand name (e.g. avoid "VitalTrack by Tarragon") for an internal product. A genuinely separate consumer brand — say, for a new country — returns to this document for a full architecture review before any naming begins.</w:t>
      </w:r>
    </w:p>
    <w:p>
      <w:r>
        <w:br w:type="page"/>
      </w:r>
    </w:p>
    <w:p>
      <w:pPr>
        <w:pStyle w:val="Heading1"/>
        <w:spacing w:after="200" w:before="480"/>
      </w:pPr>
      <w:r>
        <w:rPr>
          <w:rFonts w:ascii="Calibri" w:cs="Calibri" w:eastAsia="Calibri" w:hAnsi="Calibri"/>
          <w:b/>
          <w:bCs/>
          <w:color w:val="0E7C52"/>
          <w:sz w:val="32"/>
          <w:szCs w:val="32"/>
        </w:rPr>
        <w:t xml:space="preserve">8. One-Page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Company</w:t>
            </w:r>
          </w:p>
        </w:tc>
        <w:tc>
          <w:tcPr>
            <w:tcW w:type="dxa" w:w="6550"/>
            <w:tcMar>
              <w:top w:type="dxa" w:w="100"/>
              <w:left w:type="dxa" w:w="120"/>
              <w:bottom w:type="dxa" w:w="100"/>
              <w:right w:type="dxa" w:w="120"/>
            </w:tcMar>
          </w:tcPr>
          <w:p>
            <w:r>
              <w:rPr>
                <w:rFonts w:ascii="Calibri" w:cs="Calibri" w:eastAsia="Calibri" w:hAnsi="Calibri"/>
                <w:b w:val="false"/>
                <w:bCs w:val="false"/>
                <w:color w:val="12211B"/>
                <w:sz w:val="20"/>
                <w:szCs w:val="20"/>
              </w:rPr>
              <w:t xml:space="preserve">Tarragon Health</w:t>
            </w:r>
          </w:p>
        </w:tc>
      </w:tr>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Master tagline</w:t>
            </w:r>
          </w:p>
        </w:tc>
        <w:tc>
          <w:tcPr>
            <w:tcW w:type="dxa" w:w="6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Care that stays with you.</w:t>
            </w:r>
          </w:p>
        </w:tc>
      </w:tr>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Descriptor</w:t>
            </w:r>
          </w:p>
        </w:tc>
        <w:tc>
          <w:tcPr>
            <w:tcW w:type="dxa" w:w="6550"/>
            <w:tcMar>
              <w:top w:type="dxa" w:w="100"/>
              <w:left w:type="dxa" w:w="120"/>
              <w:bottom w:type="dxa" w:w="100"/>
              <w:right w:type="dxa" w:w="120"/>
            </w:tcMar>
          </w:tcPr>
          <w:p>
            <w:r>
              <w:rPr>
                <w:rFonts w:ascii="Calibri" w:cs="Calibri" w:eastAsia="Calibri" w:hAnsi="Calibri"/>
                <w:b w:val="false"/>
                <w:bCs w:val="false"/>
                <w:color w:val="12211B"/>
                <w:sz w:val="20"/>
                <w:szCs w:val="20"/>
              </w:rPr>
              <w:t xml:space="preserve">Clinician-led health monitoring for you, your parents, and your loved ones.</w:t>
            </w:r>
          </w:p>
        </w:tc>
      </w:tr>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Campaign line</w:t>
            </w:r>
          </w:p>
        </w:tc>
        <w:tc>
          <w:tcPr>
            <w:tcW w:type="dxa" w:w="6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Well within reach.</w:t>
            </w:r>
          </w:p>
        </w:tc>
      </w:tr>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Logo concept</w:t>
            </w:r>
          </w:p>
        </w:tc>
        <w:tc>
          <w:tcPr>
            <w:tcW w:type="dxa" w:w="6550"/>
            <w:tcMar>
              <w:top w:type="dxa" w:w="100"/>
              <w:left w:type="dxa" w:w="120"/>
              <w:bottom w:type="dxa" w:w="100"/>
              <w:right w:type="dxa" w:w="120"/>
            </w:tcMar>
          </w:tcPr>
          <w:p>
            <w:r>
              <w:rPr>
                <w:rFonts w:ascii="Calibri" w:cs="Calibri" w:eastAsia="Calibri" w:hAnsi="Calibri"/>
                <w:b w:val="false"/>
                <w:bCs w:val="false"/>
                <w:color w:val="12211B"/>
                <w:sz w:val="20"/>
                <w:szCs w:val="20"/>
              </w:rPr>
              <w:t xml:space="preserve">Guard Leaf — shield + sprout crown + checkmark vein</w:t>
            </w:r>
          </w:p>
        </w:tc>
      </w:tr>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Wordmark</w:t>
            </w:r>
          </w:p>
        </w:tc>
        <w:tc>
          <w:tcPr>
            <w:tcW w:type="dxa" w:w="6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TarragonHealth (camel-case, Ink + Green)</w:t>
            </w:r>
          </w:p>
        </w:tc>
      </w:tr>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Primary colour</w:t>
            </w:r>
          </w:p>
        </w:tc>
        <w:tc>
          <w:tcPr>
            <w:tcW w:type="dxa" w:w="6550"/>
            <w:tcMar>
              <w:top w:type="dxa" w:w="100"/>
              <w:left w:type="dxa" w:w="120"/>
              <w:bottom w:type="dxa" w:w="100"/>
              <w:right w:type="dxa" w:w="120"/>
            </w:tcMar>
          </w:tcPr>
          <w:p>
            <w:r>
              <w:rPr>
                <w:rFonts w:ascii="Calibri" w:cs="Calibri" w:eastAsia="Calibri" w:hAnsi="Calibri"/>
                <w:b w:val="false"/>
                <w:bCs w:val="false"/>
                <w:color w:val="12211B"/>
                <w:sz w:val="20"/>
                <w:szCs w:val="20"/>
              </w:rPr>
              <w:t xml:space="preserve">Tarragon Green #0E7C52 · B2B: Clinical Navy #12324B</w:t>
            </w:r>
          </w:p>
        </w:tc>
      </w:tr>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Fonts</w:t>
            </w:r>
          </w:p>
        </w:tc>
        <w:tc>
          <w:tcPr>
            <w:tcW w:type="dxa" w:w="6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Sora (headlines) · Inter (UI/body)</w:t>
            </w:r>
          </w:p>
        </w:tc>
      </w:tr>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Archetype</w:t>
            </w:r>
          </w:p>
        </w:tc>
        <w:tc>
          <w:tcPr>
            <w:tcW w:type="dxa" w:w="6550"/>
            <w:tcMar>
              <w:top w:type="dxa" w:w="100"/>
              <w:left w:type="dxa" w:w="120"/>
              <w:bottom w:type="dxa" w:w="100"/>
              <w:right w:type="dxa" w:w="120"/>
            </w:tcMar>
          </w:tcPr>
          <w:p>
            <w:r>
              <w:rPr>
                <w:rFonts w:ascii="Calibri" w:cs="Calibri" w:eastAsia="Calibri" w:hAnsi="Calibri"/>
                <w:b w:val="false"/>
                <w:bCs w:val="false"/>
                <w:color w:val="12211B"/>
                <w:sz w:val="20"/>
                <w:szCs w:val="20"/>
              </w:rPr>
              <w:t xml:space="preserve">Guardian (primary) · Guide (secondary)</w:t>
            </w:r>
          </w:p>
        </w:tc>
      </w:tr>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Voice in one line</w:t>
            </w:r>
          </w:p>
        </w:tc>
        <w:tc>
          <w:tcPr>
            <w:tcW w:type="dxa" w:w="6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A nurse who knows your name, not a hospital PA system</w:t>
            </w:r>
          </w:p>
        </w:tc>
      </w:tr>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Best product CTA</w:t>
            </w:r>
          </w:p>
        </w:tc>
        <w:tc>
          <w:tcPr>
            <w:tcW w:type="dxa" w:w="6550"/>
            <w:tcMar>
              <w:top w:type="dxa" w:w="100"/>
              <w:left w:type="dxa" w:w="120"/>
              <w:bottom w:type="dxa" w:w="100"/>
              <w:right w:type="dxa" w:w="120"/>
            </w:tcMar>
          </w:tcPr>
          <w:p>
            <w:r>
              <w:rPr>
                <w:rFonts w:ascii="Calibri" w:cs="Calibri" w:eastAsia="Calibri" w:hAnsi="Calibri"/>
                <w:b w:val="false"/>
                <w:bCs w:val="false"/>
                <w:color w:val="12211B"/>
                <w:sz w:val="20"/>
                <w:szCs w:val="20"/>
              </w:rPr>
              <w:t xml:space="preserve">Start monitoring.</w:t>
            </w:r>
          </w:p>
        </w:tc>
      </w:tr>
      <w:tr>
        <w:tc>
          <w:tcPr>
            <w:tcW w:type="dxa" w:w="2800"/>
            <w:shd w:fill="0E7C52" w:val="clear"/>
            <w:tcMar>
              <w:top w:type="dxa" w:w="100"/>
              <w:left w:type="dxa" w:w="120"/>
              <w:bottom w:type="dxa" w:w="100"/>
              <w:right w:type="dxa" w:w="120"/>
            </w:tcMar>
          </w:tcPr>
          <w:p>
            <w:r>
              <w:rPr>
                <w:rFonts w:ascii="Calibri" w:cs="Calibri" w:eastAsia="Calibri" w:hAnsi="Calibri"/>
                <w:b/>
                <w:bCs/>
                <w:color w:val="FFFFFF"/>
                <w:sz w:val="20"/>
                <w:szCs w:val="20"/>
              </w:rPr>
              <w:t xml:space="preserve">Never do</w:t>
            </w:r>
          </w:p>
        </w:tc>
        <w:tc>
          <w:tcPr>
            <w:tcW w:type="dxa" w:w="6550"/>
            <w:shd w:fill="E7F3EC" w:val="clear"/>
            <w:tcMar>
              <w:top w:type="dxa" w:w="100"/>
              <w:left w:type="dxa" w:w="120"/>
              <w:bottom w:type="dxa" w:w="100"/>
              <w:right w:type="dxa" w:w="120"/>
            </w:tcMar>
          </w:tcPr>
          <w:p>
            <w:r>
              <w:rPr>
                <w:rFonts w:ascii="Calibri" w:cs="Calibri" w:eastAsia="Calibri" w:hAnsi="Calibri"/>
                <w:b w:val="false"/>
                <w:bCs w:val="false"/>
                <w:color w:val="12211B"/>
                <w:sz w:val="20"/>
                <w:szCs w:val="20"/>
              </w:rPr>
              <w:t xml:space="preserve">Fear-based urgency · red medical crosses · Western stock photography · invented sub-brand names</w:t>
            </w:r>
          </w:p>
        </w:tc>
      </w:tr>
    </w:tbl>
    <w:p>
      <w:pPr>
        <w:spacing w:before="400"/>
        <w:jc w:val="center"/>
      </w:pPr>
      <w:r>
        <w:rPr>
          <w:i/>
          <w:iCs/>
          <w:color w:val="4A5750"/>
          <w:sz w:val="20"/>
          <w:szCs w:val="20"/>
        </w:rPr>
        <w:t xml:space="preserve">— End of Master Brand Package v2 · Tarragon Health · Confidential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86cfa6c8780c45de158f61f48f86fd5b499dc7.png"/><Relationship Id="rId8" Type="http://schemas.openxmlformats.org/officeDocument/2006/relationships/image" Target="media/e89df31f312c3ee861a9ea9ddd9083213bb032c4.png"/><Relationship Id="rId9" Type="http://schemas.openxmlformats.org/officeDocument/2006/relationships/image" Target="media/fe193f576f0e2668674ada5058d6d3a4a88725a6.png"/><Relationship Id="rId10" Type="http://schemas.openxmlformats.org/officeDocument/2006/relationships/image" Target="media/281180b1edcab3b117ca14f7276b6350be42016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2026-07-04T22:48:30.791Z</dcterms:created>
  <dcterms:modified xsi:type="dcterms:W3CDTF">2026-07-04T22:48:30.802Z</dcterms:modified>
</cp:coreProperties>
</file>

<file path=docProps/custom.xml><?xml version="1.0" encoding="utf-8"?>
<Properties xmlns="http://schemas.openxmlformats.org/officeDocument/2006/custom-properties" xmlns:vt="http://schemas.openxmlformats.org/officeDocument/2006/docPropsVTypes"/>
</file>