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13E37" w:rsidP="00E91975">
      <w:pPr>
        <w:rPr>
          <w:sz w:val="20"/>
        </w:rPr>
      </w:pPr>
      <w:bookmarkStart w:id="0" w:name="_Toc265238790"/>
      <w:r>
        <w:rPr>
          <w:noProof/>
          <w:sz w:val="20"/>
          <w:lang w:val="de-AT"/>
        </w:rPr>
        <w:drawing>
          <wp:anchor distT="0" distB="0" distL="114300" distR="114300" simplePos="0" relativeHeight="251669504" behindDoc="0" locked="0" layoutInCell="1" allowOverlap="1" wp14:anchorId="50BE12CC" wp14:editId="26E409BB">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14:anchorId="15561ACF" wp14:editId="234F42CE">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13E37" w:rsidP="006132BB">
      <w:r>
        <w:rPr>
          <w:noProof/>
          <w:lang w:val="de-AT"/>
        </w:rPr>
        <w:drawing>
          <wp:anchor distT="0" distB="0" distL="114300" distR="114300" simplePos="0" relativeHeight="251652096" behindDoc="0" locked="0" layoutInCell="1" allowOverlap="1" wp14:anchorId="32C296E1" wp14:editId="6E22F87F">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A9119A"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1C0EB0" w:rsidRPr="00DE05CE">
              <w:rPr>
                <w:rFonts w:ascii="Arial" w:hAnsi="Arial" w:cs="Arial"/>
                <w:b/>
                <w:lang w:val="sv-SE"/>
              </w:rPr>
              <w:t>Draft</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D4811" w:rsidRDefault="00B748CA" w:rsidP="00CE0D75">
            <w:pPr>
              <w:ind w:right="709"/>
              <w:rPr>
                <w:rFonts w:ascii="Arial" w:hAnsi="Arial" w:cs="Arial"/>
                <w:b/>
                <w:lang w:val="de-AT"/>
              </w:rPr>
            </w:pPr>
            <w:r w:rsidRPr="00DE05CE">
              <w:rPr>
                <w:rFonts w:ascii="Arial" w:hAnsi="Arial" w:cs="Arial"/>
                <w:b/>
                <w:lang w:val="sv-SE"/>
              </w:rPr>
              <w:tab/>
            </w:r>
            <w:r w:rsidRPr="008D4811">
              <w:rPr>
                <w:rFonts w:ascii="Arial" w:hAnsi="Arial" w:cs="Arial"/>
                <w:b/>
                <w:lang w:val="de-AT"/>
              </w:rPr>
              <w:t>Philip Helger</w:t>
            </w:r>
            <w:r w:rsidR="00840E57">
              <w:rPr>
                <w:rFonts w:ascii="Arial" w:hAnsi="Arial" w:cs="Arial"/>
                <w:b/>
                <w:lang w:val="de-AT"/>
              </w:rPr>
              <w:t>,</w:t>
            </w:r>
            <w:r w:rsidRPr="008D4811">
              <w:rPr>
                <w:rFonts w:ascii="Arial" w:hAnsi="Arial" w:cs="Arial"/>
                <w:b/>
                <w:lang w:val="de-AT"/>
              </w:rPr>
              <w:t xml:space="preserve"> BRZ</w:t>
            </w:r>
            <w:r w:rsidR="00CE0D75">
              <w:rPr>
                <w:rFonts w:ascii="Arial" w:hAnsi="Arial" w:cs="Arial"/>
                <w:b/>
                <w:lang w:val="de-AT"/>
              </w:rPr>
              <w:br/>
            </w:r>
            <w:r w:rsidR="00CE0D75" w:rsidRPr="00DE05CE">
              <w:rPr>
                <w:rFonts w:ascii="Arial" w:hAnsi="Arial" w:cs="Arial"/>
                <w:b/>
                <w:lang w:val="sv-SE"/>
              </w:rPr>
              <w:tab/>
            </w:r>
            <w:r>
              <w:rPr>
                <w:rFonts w:ascii="Arial" w:hAnsi="Arial" w:cs="Arial"/>
                <w:b/>
                <w:lang w:val="de-AT"/>
              </w:rPr>
              <w:t>Erik Gustavsen, Difi/Edisys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9F4391"/>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14:anchorId="4EA41A45" wp14:editId="0890A5E8">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5" w:name="_Toc526783329"/>
      <w:r w:rsidRPr="00E5101A">
        <w:rPr>
          <w:lang w:val="da-DK"/>
        </w:rPr>
        <w:lastRenderedPageBreak/>
        <w:t>Contributors</w:t>
      </w:r>
      <w:bookmarkEnd w:id="0"/>
      <w:bookmarkEnd w:id="5"/>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3" w:history="1">
        <w:r w:rsidRPr="00A02EAD">
          <w:rPr>
            <w:lang w:val="da-DK"/>
          </w:rPr>
          <w:t>www.difi.no</w:t>
        </w:r>
      </w:hyperlink>
    </w:p>
    <w:p w:rsidR="00E91975" w:rsidRPr="00A02EAD" w:rsidRDefault="00CE0D75" w:rsidP="00514984">
      <w:pPr>
        <w:rPr>
          <w:lang w:val="da-DK"/>
        </w:rPr>
      </w:pPr>
      <w:r>
        <w:rPr>
          <w:lang w:val="da-DK"/>
        </w:rPr>
        <w:t>E</w:t>
      </w:r>
      <w:r w:rsidRPr="00CE0D75">
        <w:rPr>
          <w:lang w:val="da-DK"/>
        </w:rPr>
        <w:t>rhvervsstyrelsen</w:t>
      </w:r>
      <w:r w:rsidRPr="00CE0D75">
        <w:rPr>
          <w:rStyle w:val="Funotenzeichen"/>
          <w:vertAlign w:val="baseline"/>
          <w:lang w:val="da-DK"/>
        </w:rPr>
        <w:t xml:space="preserve"> </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rStyle w:val="Hyperlink"/>
          <w:color w:val="auto"/>
          <w:u w:val="none"/>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Pr="00CE0D75">
        <w:rPr>
          <w:lang w:val="sv-SE"/>
        </w:rPr>
        <w:t>www.digg.se</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BRZ</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Bard Langöy</w:t>
      </w:r>
      <w:r w:rsidR="00592153">
        <w:rPr>
          <w:lang w:val="en-US"/>
        </w:rPr>
        <w:t xml:space="preserve">, </w:t>
      </w:r>
      <w:r>
        <w:rPr>
          <w:lang w:val="en-US"/>
        </w:rPr>
        <w:t>Pagero</w:t>
      </w:r>
    </w:p>
    <w:p w:rsidR="00E91975" w:rsidRPr="007A7B4E" w:rsidRDefault="00DE05CE" w:rsidP="00514984">
      <w:pPr>
        <w:rPr>
          <w:rFonts w:cs="Arial"/>
        </w:rPr>
      </w:pPr>
      <w:r>
        <w:rPr>
          <w:lang w:val="en-US"/>
        </w:rPr>
        <w:t>Siw Midtgård Meckelborg, Edisys Consulting</w:t>
      </w:r>
      <w:r w:rsidR="00E91975" w:rsidRPr="00FF7AFF">
        <w:rPr>
          <w:rFonts w:cs="Arial"/>
        </w:rPr>
        <w:br w:type="page"/>
      </w:r>
      <w:bookmarkStart w:id="6" w:name="_Toc205026843"/>
      <w:bookmarkStart w:id="7" w:name="_Toc205089457"/>
      <w:bookmarkStart w:id="8" w:name="_Toc224898987"/>
    </w:p>
    <w:p w:rsidR="00A56BD2" w:rsidRPr="006804C3" w:rsidRDefault="00914720" w:rsidP="00E15FB4">
      <w:pPr>
        <w:pStyle w:val="berschrift1"/>
        <w:numPr>
          <w:ilvl w:val="0"/>
          <w:numId w:val="0"/>
        </w:numPr>
        <w:rPr>
          <w:rStyle w:val="Fett"/>
          <w:b/>
        </w:rPr>
      </w:pPr>
      <w:bookmarkStart w:id="9" w:name="_Toc526783330"/>
      <w:bookmarkEnd w:id="6"/>
      <w:bookmarkEnd w:id="7"/>
      <w:bookmarkEnd w:id="8"/>
      <w:r w:rsidRPr="006804C3">
        <w:rPr>
          <w:rStyle w:val="Fett"/>
          <w:b/>
        </w:rPr>
        <w:lastRenderedPageBreak/>
        <w:t>Table of contents</w:t>
      </w:r>
      <w:bookmarkEnd w:id="9"/>
    </w:p>
    <w:p w:rsidR="00E16E4D" w:rsidRDefault="003C7500">
      <w:pPr>
        <w:pStyle w:val="Verzeichnis1"/>
        <w:rPr>
          <w:rFonts w:asciiTheme="minorHAnsi" w:eastAsiaTheme="minorEastAsia" w:hAnsiTheme="minorHAnsi" w:cstheme="minorBidi"/>
          <w:kern w:val="0"/>
          <w:sz w:val="22"/>
          <w:lang w:val="de-AT" w:eastAsia="de-AT"/>
        </w:rPr>
      </w:pPr>
      <w:r w:rsidRPr="001F4312">
        <w:fldChar w:fldCharType="begin"/>
      </w:r>
      <w:r w:rsidR="002142B2" w:rsidRPr="001F4312">
        <w:instrText xml:space="preserve"> TOC \o "1-4" \h \z \u </w:instrText>
      </w:r>
      <w:r w:rsidRPr="001F4312">
        <w:fldChar w:fldCharType="separate"/>
      </w:r>
      <w:hyperlink w:anchor="_Toc526783329" w:history="1">
        <w:r w:rsidR="00E16E4D" w:rsidRPr="001C61E6">
          <w:rPr>
            <w:rStyle w:val="Hyperlink"/>
            <w:lang w:val="da-DK"/>
          </w:rPr>
          <w:t>Contributors</w:t>
        </w:r>
        <w:r w:rsidR="00E16E4D">
          <w:rPr>
            <w:webHidden/>
          </w:rPr>
          <w:tab/>
        </w:r>
        <w:r w:rsidR="00E16E4D">
          <w:rPr>
            <w:webHidden/>
          </w:rPr>
          <w:fldChar w:fldCharType="begin"/>
        </w:r>
        <w:r w:rsidR="00E16E4D">
          <w:rPr>
            <w:webHidden/>
          </w:rPr>
          <w:instrText xml:space="preserve"> PAGEREF _Toc526783329 \h </w:instrText>
        </w:r>
        <w:r w:rsidR="00E16E4D">
          <w:rPr>
            <w:webHidden/>
          </w:rPr>
        </w:r>
        <w:r w:rsidR="00E16E4D">
          <w:rPr>
            <w:webHidden/>
          </w:rPr>
          <w:fldChar w:fldCharType="separate"/>
        </w:r>
        <w:r w:rsidR="00E16E4D">
          <w:rPr>
            <w:webHidden/>
          </w:rPr>
          <w:t>4</w:t>
        </w:r>
        <w:r w:rsidR="00E16E4D">
          <w:rPr>
            <w:webHidden/>
          </w:rPr>
          <w:fldChar w:fldCharType="end"/>
        </w:r>
      </w:hyperlink>
    </w:p>
    <w:p w:rsidR="00E16E4D" w:rsidRDefault="00E16E4D">
      <w:pPr>
        <w:pStyle w:val="Verzeichnis1"/>
        <w:rPr>
          <w:rFonts w:asciiTheme="minorHAnsi" w:eastAsiaTheme="minorEastAsia" w:hAnsiTheme="minorHAnsi" w:cstheme="minorBidi"/>
          <w:kern w:val="0"/>
          <w:sz w:val="22"/>
          <w:lang w:val="de-AT" w:eastAsia="de-AT"/>
        </w:rPr>
      </w:pPr>
      <w:hyperlink w:anchor="_Toc526783330" w:history="1">
        <w:r w:rsidRPr="001C61E6">
          <w:rPr>
            <w:rStyle w:val="Hyperlink"/>
          </w:rPr>
          <w:t>Table of contents</w:t>
        </w:r>
        <w:r>
          <w:rPr>
            <w:webHidden/>
          </w:rPr>
          <w:tab/>
        </w:r>
        <w:r>
          <w:rPr>
            <w:webHidden/>
          </w:rPr>
          <w:fldChar w:fldCharType="begin"/>
        </w:r>
        <w:r>
          <w:rPr>
            <w:webHidden/>
          </w:rPr>
          <w:instrText xml:space="preserve"> PAGEREF _Toc526783330 \h </w:instrText>
        </w:r>
        <w:r>
          <w:rPr>
            <w:webHidden/>
          </w:rPr>
        </w:r>
        <w:r>
          <w:rPr>
            <w:webHidden/>
          </w:rPr>
          <w:fldChar w:fldCharType="separate"/>
        </w:r>
        <w:r>
          <w:rPr>
            <w:webHidden/>
          </w:rPr>
          <w:t>5</w:t>
        </w:r>
        <w:r>
          <w:rPr>
            <w:webHidden/>
          </w:rPr>
          <w:fldChar w:fldCharType="end"/>
        </w:r>
      </w:hyperlink>
    </w:p>
    <w:p w:rsidR="00E16E4D" w:rsidRDefault="00E16E4D">
      <w:pPr>
        <w:pStyle w:val="Verzeichnis1"/>
        <w:rPr>
          <w:rFonts w:asciiTheme="minorHAnsi" w:eastAsiaTheme="minorEastAsia" w:hAnsiTheme="minorHAnsi" w:cstheme="minorBidi"/>
          <w:kern w:val="0"/>
          <w:sz w:val="22"/>
          <w:lang w:val="de-AT" w:eastAsia="de-AT"/>
        </w:rPr>
      </w:pPr>
      <w:hyperlink w:anchor="_Toc526783331" w:history="1">
        <w:r w:rsidRPr="001C61E6">
          <w:rPr>
            <w:rStyle w:val="Hyperlink"/>
          </w:rPr>
          <w:t>1</w:t>
        </w:r>
        <w:r>
          <w:rPr>
            <w:rFonts w:asciiTheme="minorHAnsi" w:eastAsiaTheme="minorEastAsia" w:hAnsiTheme="minorHAnsi" w:cstheme="minorBidi"/>
            <w:kern w:val="0"/>
            <w:sz w:val="22"/>
            <w:lang w:val="de-AT" w:eastAsia="de-AT"/>
          </w:rPr>
          <w:tab/>
        </w:r>
        <w:r w:rsidRPr="001C61E6">
          <w:rPr>
            <w:rStyle w:val="Hyperlink"/>
          </w:rPr>
          <w:t>Introduction</w:t>
        </w:r>
        <w:r>
          <w:rPr>
            <w:webHidden/>
          </w:rPr>
          <w:tab/>
        </w:r>
        <w:r>
          <w:rPr>
            <w:webHidden/>
          </w:rPr>
          <w:fldChar w:fldCharType="begin"/>
        </w:r>
        <w:r>
          <w:rPr>
            <w:webHidden/>
          </w:rPr>
          <w:instrText xml:space="preserve"> PAGEREF _Toc526783331 \h </w:instrText>
        </w:r>
        <w:r>
          <w:rPr>
            <w:webHidden/>
          </w:rPr>
        </w:r>
        <w:r>
          <w:rPr>
            <w:webHidden/>
          </w:rPr>
          <w:fldChar w:fldCharType="separate"/>
        </w:r>
        <w:r>
          <w:rPr>
            <w:webHidden/>
          </w:rPr>
          <w:t>7</w:t>
        </w:r>
        <w:r>
          <w:rPr>
            <w:webHidden/>
          </w:rPr>
          <w:fldChar w:fldCharType="end"/>
        </w:r>
      </w:hyperlink>
    </w:p>
    <w:p w:rsidR="00E16E4D" w:rsidRDefault="00E16E4D">
      <w:pPr>
        <w:pStyle w:val="Verzeichnis2"/>
        <w:rPr>
          <w:rFonts w:asciiTheme="minorHAnsi" w:eastAsiaTheme="minorEastAsia" w:hAnsiTheme="minorHAnsi" w:cstheme="minorBidi"/>
          <w:lang w:val="de-AT"/>
        </w:rPr>
      </w:pPr>
      <w:hyperlink w:anchor="_Toc526783332" w:history="1">
        <w:r w:rsidRPr="001C61E6">
          <w:rPr>
            <w:rStyle w:val="Hyperlink"/>
          </w:rPr>
          <w:t>1.1</w:t>
        </w:r>
        <w:r>
          <w:rPr>
            <w:rFonts w:asciiTheme="minorHAnsi" w:eastAsiaTheme="minorEastAsia" w:hAnsiTheme="minorHAnsi" w:cstheme="minorBidi"/>
            <w:lang w:val="de-AT"/>
          </w:rPr>
          <w:tab/>
        </w:r>
        <w:r w:rsidRPr="001C61E6">
          <w:rPr>
            <w:rStyle w:val="Hyperlink"/>
          </w:rPr>
          <w:t>Audience</w:t>
        </w:r>
        <w:r>
          <w:rPr>
            <w:webHidden/>
          </w:rPr>
          <w:tab/>
        </w:r>
        <w:r>
          <w:rPr>
            <w:webHidden/>
          </w:rPr>
          <w:fldChar w:fldCharType="begin"/>
        </w:r>
        <w:r>
          <w:rPr>
            <w:webHidden/>
          </w:rPr>
          <w:instrText xml:space="preserve"> PAGEREF _Toc526783332 \h </w:instrText>
        </w:r>
        <w:r>
          <w:rPr>
            <w:webHidden/>
          </w:rPr>
        </w:r>
        <w:r>
          <w:rPr>
            <w:webHidden/>
          </w:rPr>
          <w:fldChar w:fldCharType="separate"/>
        </w:r>
        <w:r>
          <w:rPr>
            <w:webHidden/>
          </w:rPr>
          <w:t>7</w:t>
        </w:r>
        <w:r>
          <w:rPr>
            <w:webHidden/>
          </w:rPr>
          <w:fldChar w:fldCharType="end"/>
        </w:r>
      </w:hyperlink>
    </w:p>
    <w:p w:rsidR="00E16E4D" w:rsidRDefault="00E16E4D">
      <w:pPr>
        <w:pStyle w:val="Verzeichnis2"/>
        <w:rPr>
          <w:rFonts w:asciiTheme="minorHAnsi" w:eastAsiaTheme="minorEastAsia" w:hAnsiTheme="minorHAnsi" w:cstheme="minorBidi"/>
          <w:lang w:val="de-AT"/>
        </w:rPr>
      </w:pPr>
      <w:hyperlink w:anchor="_Toc526783333" w:history="1">
        <w:r w:rsidRPr="001C61E6">
          <w:rPr>
            <w:rStyle w:val="Hyperlink"/>
          </w:rPr>
          <w:t>1.2</w:t>
        </w:r>
        <w:r>
          <w:rPr>
            <w:rFonts w:asciiTheme="minorHAnsi" w:eastAsiaTheme="minorEastAsia" w:hAnsiTheme="minorHAnsi" w:cstheme="minorBidi"/>
            <w:lang w:val="de-AT"/>
          </w:rPr>
          <w:tab/>
        </w:r>
        <w:r w:rsidRPr="001C61E6">
          <w:rPr>
            <w:rStyle w:val="Hyperlink"/>
          </w:rPr>
          <w:t>References</w:t>
        </w:r>
        <w:r>
          <w:rPr>
            <w:webHidden/>
          </w:rPr>
          <w:tab/>
        </w:r>
        <w:r>
          <w:rPr>
            <w:webHidden/>
          </w:rPr>
          <w:fldChar w:fldCharType="begin"/>
        </w:r>
        <w:r>
          <w:rPr>
            <w:webHidden/>
          </w:rPr>
          <w:instrText xml:space="preserve"> PAGEREF _Toc526783333 \h </w:instrText>
        </w:r>
        <w:r>
          <w:rPr>
            <w:webHidden/>
          </w:rPr>
        </w:r>
        <w:r>
          <w:rPr>
            <w:webHidden/>
          </w:rPr>
          <w:fldChar w:fldCharType="separate"/>
        </w:r>
        <w:r>
          <w:rPr>
            <w:webHidden/>
          </w:rPr>
          <w:t>7</w:t>
        </w:r>
        <w:r>
          <w:rPr>
            <w:webHidden/>
          </w:rPr>
          <w:fldChar w:fldCharType="end"/>
        </w:r>
      </w:hyperlink>
    </w:p>
    <w:p w:rsidR="00E16E4D" w:rsidRDefault="00E16E4D">
      <w:pPr>
        <w:pStyle w:val="Verzeichnis1"/>
        <w:rPr>
          <w:rFonts w:asciiTheme="minorHAnsi" w:eastAsiaTheme="minorEastAsia" w:hAnsiTheme="minorHAnsi" w:cstheme="minorBidi"/>
          <w:kern w:val="0"/>
          <w:sz w:val="22"/>
          <w:lang w:val="de-AT" w:eastAsia="de-AT"/>
        </w:rPr>
      </w:pPr>
      <w:hyperlink w:anchor="_Toc526783334" w:history="1">
        <w:r w:rsidRPr="001C61E6">
          <w:rPr>
            <w:rStyle w:val="Hyperlink"/>
          </w:rPr>
          <w:t>2</w:t>
        </w:r>
        <w:r>
          <w:rPr>
            <w:rFonts w:asciiTheme="minorHAnsi" w:eastAsiaTheme="minorEastAsia" w:hAnsiTheme="minorHAnsi" w:cstheme="minorBidi"/>
            <w:kern w:val="0"/>
            <w:sz w:val="22"/>
            <w:lang w:val="de-AT" w:eastAsia="de-AT"/>
          </w:rPr>
          <w:tab/>
        </w:r>
        <w:r w:rsidRPr="001C61E6">
          <w:rPr>
            <w:rStyle w:val="Hyperlink"/>
          </w:rPr>
          <w:t>Introduction to identifiers</w:t>
        </w:r>
        <w:r>
          <w:rPr>
            <w:webHidden/>
          </w:rPr>
          <w:tab/>
        </w:r>
        <w:r>
          <w:rPr>
            <w:webHidden/>
          </w:rPr>
          <w:fldChar w:fldCharType="begin"/>
        </w:r>
        <w:r>
          <w:rPr>
            <w:webHidden/>
          </w:rPr>
          <w:instrText xml:space="preserve"> PAGEREF _Toc526783334 \h </w:instrText>
        </w:r>
        <w:r>
          <w:rPr>
            <w:webHidden/>
          </w:rPr>
        </w:r>
        <w:r>
          <w:rPr>
            <w:webHidden/>
          </w:rPr>
          <w:fldChar w:fldCharType="separate"/>
        </w:r>
        <w:r>
          <w:rPr>
            <w:webHidden/>
          </w:rPr>
          <w:t>8</w:t>
        </w:r>
        <w:r>
          <w:rPr>
            <w:webHidden/>
          </w:rPr>
          <w:fldChar w:fldCharType="end"/>
        </w:r>
      </w:hyperlink>
    </w:p>
    <w:p w:rsidR="00E16E4D" w:rsidRDefault="00E16E4D">
      <w:pPr>
        <w:pStyle w:val="Verzeichnis2"/>
        <w:rPr>
          <w:rFonts w:asciiTheme="minorHAnsi" w:eastAsiaTheme="minorEastAsia" w:hAnsiTheme="minorHAnsi" w:cstheme="minorBidi"/>
          <w:lang w:val="de-AT"/>
        </w:rPr>
      </w:pPr>
      <w:hyperlink w:anchor="_Toc526783335" w:history="1">
        <w:r w:rsidRPr="001C61E6">
          <w:rPr>
            <w:rStyle w:val="Hyperlink"/>
          </w:rPr>
          <w:t>2.1</w:t>
        </w:r>
        <w:r>
          <w:rPr>
            <w:rFonts w:asciiTheme="minorHAnsi" w:eastAsiaTheme="minorEastAsia" w:hAnsiTheme="minorHAnsi" w:cstheme="minorBidi"/>
            <w:lang w:val="de-AT"/>
          </w:rPr>
          <w:tab/>
        </w:r>
        <w:r w:rsidRPr="001C61E6">
          <w:rPr>
            <w:rStyle w:val="Hyperlink"/>
          </w:rPr>
          <w:t>Scope</w:t>
        </w:r>
        <w:r>
          <w:rPr>
            <w:webHidden/>
          </w:rPr>
          <w:tab/>
        </w:r>
        <w:r>
          <w:rPr>
            <w:webHidden/>
          </w:rPr>
          <w:fldChar w:fldCharType="begin"/>
        </w:r>
        <w:r>
          <w:rPr>
            <w:webHidden/>
          </w:rPr>
          <w:instrText xml:space="preserve"> PAGEREF _Toc526783335 \h </w:instrText>
        </w:r>
        <w:r>
          <w:rPr>
            <w:webHidden/>
          </w:rPr>
        </w:r>
        <w:r>
          <w:rPr>
            <w:webHidden/>
          </w:rPr>
          <w:fldChar w:fldCharType="separate"/>
        </w:r>
        <w:r>
          <w:rPr>
            <w:webHidden/>
          </w:rPr>
          <w:t>8</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36" w:history="1">
        <w:r w:rsidRPr="001C61E6">
          <w:rPr>
            <w:rStyle w:val="Hyperlink"/>
          </w:rPr>
          <w:t>2.1.1</w:t>
        </w:r>
        <w:r>
          <w:rPr>
            <w:rFonts w:asciiTheme="minorHAnsi" w:eastAsiaTheme="minorEastAsia" w:hAnsiTheme="minorHAnsi" w:cstheme="minorBidi"/>
            <w:lang w:val="de-AT"/>
          </w:rPr>
          <w:tab/>
        </w:r>
        <w:r w:rsidRPr="001C61E6">
          <w:rPr>
            <w:rStyle w:val="Hyperlink"/>
          </w:rPr>
          <w:t>The policy of a federated scheme for identifying Parties</w:t>
        </w:r>
        <w:r>
          <w:rPr>
            <w:webHidden/>
          </w:rPr>
          <w:tab/>
        </w:r>
        <w:r>
          <w:rPr>
            <w:webHidden/>
          </w:rPr>
          <w:fldChar w:fldCharType="begin"/>
        </w:r>
        <w:r>
          <w:rPr>
            <w:webHidden/>
          </w:rPr>
          <w:instrText xml:space="preserve"> PAGEREF _Toc526783336 \h </w:instrText>
        </w:r>
        <w:r>
          <w:rPr>
            <w:webHidden/>
          </w:rPr>
        </w:r>
        <w:r>
          <w:rPr>
            <w:webHidden/>
          </w:rPr>
          <w:fldChar w:fldCharType="separate"/>
        </w:r>
        <w:r>
          <w:rPr>
            <w:webHidden/>
          </w:rPr>
          <w:t>8</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37" w:history="1">
        <w:r w:rsidRPr="001C61E6">
          <w:rPr>
            <w:rStyle w:val="Hyperlink"/>
          </w:rPr>
          <w:t>2.1.2</w:t>
        </w:r>
        <w:r>
          <w:rPr>
            <w:rFonts w:asciiTheme="minorHAnsi" w:eastAsiaTheme="minorEastAsia" w:hAnsiTheme="minorHAnsi" w:cstheme="minorBidi"/>
            <w:lang w:val="de-AT"/>
          </w:rPr>
          <w:tab/>
        </w:r>
        <w:r w:rsidRPr="001C61E6">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_Toc526783337 \h </w:instrText>
        </w:r>
        <w:r>
          <w:rPr>
            <w:webHidden/>
          </w:rPr>
        </w:r>
        <w:r>
          <w:rPr>
            <w:webHidden/>
          </w:rPr>
          <w:fldChar w:fldCharType="separate"/>
        </w:r>
        <w:r>
          <w:rPr>
            <w:webHidden/>
          </w:rPr>
          <w:t>8</w:t>
        </w:r>
        <w:r>
          <w:rPr>
            <w:webHidden/>
          </w:rPr>
          <w:fldChar w:fldCharType="end"/>
        </w:r>
      </w:hyperlink>
    </w:p>
    <w:p w:rsidR="00E16E4D" w:rsidRDefault="00E16E4D">
      <w:pPr>
        <w:pStyle w:val="Verzeichnis2"/>
        <w:rPr>
          <w:rFonts w:asciiTheme="minorHAnsi" w:eastAsiaTheme="minorEastAsia" w:hAnsiTheme="minorHAnsi" w:cstheme="minorBidi"/>
          <w:lang w:val="de-AT"/>
        </w:rPr>
      </w:pPr>
      <w:hyperlink w:anchor="_Toc526783338" w:history="1">
        <w:r w:rsidRPr="001C61E6">
          <w:rPr>
            <w:rStyle w:val="Hyperlink"/>
          </w:rPr>
          <w:t>2.2</w:t>
        </w:r>
        <w:r>
          <w:rPr>
            <w:rFonts w:asciiTheme="minorHAnsi" w:eastAsiaTheme="minorEastAsia" w:hAnsiTheme="minorHAnsi" w:cstheme="minorBidi"/>
            <w:lang w:val="de-AT"/>
          </w:rPr>
          <w:tab/>
        </w:r>
        <w:r w:rsidRPr="001C61E6">
          <w:rPr>
            <w:rStyle w:val="Hyperlink"/>
          </w:rPr>
          <w:t>Glossary</w:t>
        </w:r>
        <w:r>
          <w:rPr>
            <w:webHidden/>
          </w:rPr>
          <w:tab/>
        </w:r>
        <w:r>
          <w:rPr>
            <w:webHidden/>
          </w:rPr>
          <w:fldChar w:fldCharType="begin"/>
        </w:r>
        <w:r>
          <w:rPr>
            <w:webHidden/>
          </w:rPr>
          <w:instrText xml:space="preserve"> PAGEREF _Toc526783338 \h </w:instrText>
        </w:r>
        <w:r>
          <w:rPr>
            <w:webHidden/>
          </w:rPr>
        </w:r>
        <w:r>
          <w:rPr>
            <w:webHidden/>
          </w:rPr>
          <w:fldChar w:fldCharType="separate"/>
        </w:r>
        <w:r>
          <w:rPr>
            <w:webHidden/>
          </w:rPr>
          <w:t>9</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39" w:history="1">
        <w:r w:rsidRPr="001C61E6">
          <w:rPr>
            <w:rStyle w:val="Hyperlink"/>
          </w:rPr>
          <w:t>POLICY 1</w:t>
        </w:r>
        <w:r>
          <w:rPr>
            <w:rFonts w:asciiTheme="minorHAnsi" w:eastAsiaTheme="minorEastAsia" w:hAnsiTheme="minorHAnsi" w:cstheme="minorBidi"/>
            <w:lang w:val="de-AT"/>
          </w:rPr>
          <w:tab/>
        </w:r>
        <w:r w:rsidRPr="001C61E6">
          <w:rPr>
            <w:rStyle w:val="Hyperlink"/>
          </w:rPr>
          <w:t>Usage of ISO15459</w:t>
        </w:r>
        <w:r>
          <w:rPr>
            <w:webHidden/>
          </w:rPr>
          <w:tab/>
        </w:r>
        <w:r>
          <w:rPr>
            <w:webHidden/>
          </w:rPr>
          <w:fldChar w:fldCharType="begin"/>
        </w:r>
        <w:r>
          <w:rPr>
            <w:webHidden/>
          </w:rPr>
          <w:instrText xml:space="preserve"> PAGEREF _Toc526783339 \h </w:instrText>
        </w:r>
        <w:r>
          <w:rPr>
            <w:webHidden/>
          </w:rPr>
        </w:r>
        <w:r>
          <w:rPr>
            <w:webHidden/>
          </w:rPr>
          <w:fldChar w:fldCharType="separate"/>
        </w:r>
        <w:r>
          <w:rPr>
            <w:webHidden/>
          </w:rPr>
          <w:t>9</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40" w:history="1">
        <w:r w:rsidRPr="001C61E6">
          <w:rPr>
            <w:rStyle w:val="Hyperlink"/>
          </w:rPr>
          <w:t>POLICY 2</w:t>
        </w:r>
        <w:r>
          <w:rPr>
            <w:rFonts w:asciiTheme="minorHAnsi" w:eastAsiaTheme="minorEastAsia" w:hAnsiTheme="minorHAnsi" w:cstheme="minorBidi"/>
            <w:lang w:val="de-AT"/>
          </w:rPr>
          <w:tab/>
        </w:r>
        <w:r w:rsidRPr="001C61E6">
          <w:rPr>
            <w:rStyle w:val="Hyperlink"/>
          </w:rPr>
          <w:t>Identifier Value casing</w:t>
        </w:r>
        <w:r>
          <w:rPr>
            <w:webHidden/>
          </w:rPr>
          <w:tab/>
        </w:r>
        <w:r>
          <w:rPr>
            <w:webHidden/>
          </w:rPr>
          <w:fldChar w:fldCharType="begin"/>
        </w:r>
        <w:r>
          <w:rPr>
            <w:webHidden/>
          </w:rPr>
          <w:instrText xml:space="preserve"> PAGEREF _Toc526783340 \h </w:instrText>
        </w:r>
        <w:r>
          <w:rPr>
            <w:webHidden/>
          </w:rPr>
        </w:r>
        <w:r>
          <w:rPr>
            <w:webHidden/>
          </w:rPr>
          <w:fldChar w:fldCharType="separate"/>
        </w:r>
        <w:r>
          <w:rPr>
            <w:webHidden/>
          </w:rPr>
          <w:t>10</w:t>
        </w:r>
        <w:r>
          <w:rPr>
            <w:webHidden/>
          </w:rPr>
          <w:fldChar w:fldCharType="end"/>
        </w:r>
      </w:hyperlink>
    </w:p>
    <w:p w:rsidR="00E16E4D" w:rsidRDefault="00E16E4D">
      <w:pPr>
        <w:pStyle w:val="Verzeichnis2"/>
        <w:rPr>
          <w:rFonts w:asciiTheme="minorHAnsi" w:eastAsiaTheme="minorEastAsia" w:hAnsiTheme="minorHAnsi" w:cstheme="minorBidi"/>
          <w:lang w:val="de-AT"/>
        </w:rPr>
      </w:pPr>
      <w:hyperlink w:anchor="_Toc526783341" w:history="1">
        <w:r w:rsidRPr="001C61E6">
          <w:rPr>
            <w:rStyle w:val="Hyperlink"/>
          </w:rPr>
          <w:t>2.3</w:t>
        </w:r>
        <w:r>
          <w:rPr>
            <w:rFonts w:asciiTheme="minorHAnsi" w:eastAsiaTheme="minorEastAsia" w:hAnsiTheme="minorHAnsi" w:cstheme="minorBidi"/>
            <w:lang w:val="de-AT"/>
          </w:rPr>
          <w:tab/>
        </w:r>
        <w:r w:rsidRPr="001C61E6">
          <w:rPr>
            <w:rStyle w:val="Hyperlink"/>
          </w:rPr>
          <w:t>Participant vs. Party Identification</w:t>
        </w:r>
        <w:r>
          <w:rPr>
            <w:webHidden/>
          </w:rPr>
          <w:tab/>
        </w:r>
        <w:r>
          <w:rPr>
            <w:webHidden/>
          </w:rPr>
          <w:fldChar w:fldCharType="begin"/>
        </w:r>
        <w:r>
          <w:rPr>
            <w:webHidden/>
          </w:rPr>
          <w:instrText xml:space="preserve"> PAGEREF _Toc526783341 \h </w:instrText>
        </w:r>
        <w:r>
          <w:rPr>
            <w:webHidden/>
          </w:rPr>
        </w:r>
        <w:r>
          <w:rPr>
            <w:webHidden/>
          </w:rPr>
          <w:fldChar w:fldCharType="separate"/>
        </w:r>
        <w:r>
          <w:rPr>
            <w:webHidden/>
          </w:rPr>
          <w:t>11</w:t>
        </w:r>
        <w:r>
          <w:rPr>
            <w:webHidden/>
          </w:rPr>
          <w:fldChar w:fldCharType="end"/>
        </w:r>
      </w:hyperlink>
    </w:p>
    <w:p w:rsidR="00E16E4D" w:rsidRDefault="00E16E4D">
      <w:pPr>
        <w:pStyle w:val="Verzeichnis1"/>
        <w:rPr>
          <w:rFonts w:asciiTheme="minorHAnsi" w:eastAsiaTheme="minorEastAsia" w:hAnsiTheme="minorHAnsi" w:cstheme="minorBidi"/>
          <w:kern w:val="0"/>
          <w:sz w:val="22"/>
          <w:lang w:val="de-AT" w:eastAsia="de-AT"/>
        </w:rPr>
      </w:pPr>
      <w:hyperlink w:anchor="_Toc526783342" w:history="1">
        <w:r w:rsidRPr="001C61E6">
          <w:rPr>
            <w:rStyle w:val="Hyperlink"/>
          </w:rPr>
          <w:t>3</w:t>
        </w:r>
        <w:r>
          <w:rPr>
            <w:rFonts w:asciiTheme="minorHAnsi" w:eastAsiaTheme="minorEastAsia" w:hAnsiTheme="minorHAnsi" w:cstheme="minorBidi"/>
            <w:kern w:val="0"/>
            <w:sz w:val="22"/>
            <w:lang w:val="de-AT" w:eastAsia="de-AT"/>
          </w:rPr>
          <w:tab/>
        </w:r>
        <w:r w:rsidRPr="001C61E6">
          <w:rPr>
            <w:rStyle w:val="Hyperlink"/>
          </w:rPr>
          <w:t>Policy for PEPPOL Participant Identification</w:t>
        </w:r>
        <w:r>
          <w:rPr>
            <w:webHidden/>
          </w:rPr>
          <w:tab/>
        </w:r>
        <w:r>
          <w:rPr>
            <w:webHidden/>
          </w:rPr>
          <w:fldChar w:fldCharType="begin"/>
        </w:r>
        <w:r>
          <w:rPr>
            <w:webHidden/>
          </w:rPr>
          <w:instrText xml:space="preserve"> PAGEREF _Toc526783342 \h </w:instrText>
        </w:r>
        <w:r>
          <w:rPr>
            <w:webHidden/>
          </w:rPr>
        </w:r>
        <w:r>
          <w:rPr>
            <w:webHidden/>
          </w:rPr>
          <w:fldChar w:fldCharType="separate"/>
        </w:r>
        <w:r>
          <w:rPr>
            <w:webHidden/>
          </w:rPr>
          <w:t>12</w:t>
        </w:r>
        <w:r>
          <w:rPr>
            <w:webHidden/>
          </w:rPr>
          <w:fldChar w:fldCharType="end"/>
        </w:r>
      </w:hyperlink>
    </w:p>
    <w:p w:rsidR="00E16E4D" w:rsidRDefault="00E16E4D">
      <w:pPr>
        <w:pStyle w:val="Verzeichnis2"/>
        <w:rPr>
          <w:rFonts w:asciiTheme="minorHAnsi" w:eastAsiaTheme="minorEastAsia" w:hAnsiTheme="minorHAnsi" w:cstheme="minorBidi"/>
          <w:lang w:val="de-AT"/>
        </w:rPr>
      </w:pPr>
      <w:hyperlink w:anchor="_Toc526783343" w:history="1">
        <w:r w:rsidRPr="001C61E6">
          <w:rPr>
            <w:rStyle w:val="Hyperlink"/>
          </w:rPr>
          <w:t>3.1</w:t>
        </w:r>
        <w:r>
          <w:rPr>
            <w:rFonts w:asciiTheme="minorHAnsi" w:eastAsiaTheme="minorEastAsia" w:hAnsiTheme="minorHAnsi" w:cstheme="minorBidi"/>
            <w:lang w:val="de-AT"/>
          </w:rPr>
          <w:tab/>
        </w:r>
        <w:r w:rsidRPr="001C61E6">
          <w:rPr>
            <w:rStyle w:val="Hyperlink"/>
          </w:rPr>
          <w:t>Format</w:t>
        </w:r>
        <w:r>
          <w:rPr>
            <w:webHidden/>
          </w:rPr>
          <w:tab/>
        </w:r>
        <w:r>
          <w:rPr>
            <w:webHidden/>
          </w:rPr>
          <w:fldChar w:fldCharType="begin"/>
        </w:r>
        <w:r>
          <w:rPr>
            <w:webHidden/>
          </w:rPr>
          <w:instrText xml:space="preserve"> PAGEREF _Toc526783343 \h </w:instrText>
        </w:r>
        <w:r>
          <w:rPr>
            <w:webHidden/>
          </w:rPr>
        </w:r>
        <w:r>
          <w:rPr>
            <w:webHidden/>
          </w:rPr>
          <w:fldChar w:fldCharType="separate"/>
        </w:r>
        <w:r>
          <w:rPr>
            <w:webHidden/>
          </w:rPr>
          <w:t>12</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44" w:history="1">
        <w:r w:rsidRPr="001C61E6">
          <w:rPr>
            <w:rStyle w:val="Hyperlink"/>
          </w:rPr>
          <w:t>POLICY 3</w:t>
        </w:r>
        <w:r>
          <w:rPr>
            <w:rFonts w:asciiTheme="minorHAnsi" w:eastAsiaTheme="minorEastAsia" w:hAnsiTheme="minorHAnsi" w:cstheme="minorBidi"/>
            <w:lang w:val="de-AT"/>
          </w:rPr>
          <w:tab/>
        </w:r>
        <w:r w:rsidRPr="001C61E6">
          <w:rPr>
            <w:rStyle w:val="Hyperlink"/>
          </w:rPr>
          <w:t>Use of ISO15459 structure</w:t>
        </w:r>
        <w:r>
          <w:rPr>
            <w:webHidden/>
          </w:rPr>
          <w:tab/>
        </w:r>
        <w:r>
          <w:rPr>
            <w:webHidden/>
          </w:rPr>
          <w:fldChar w:fldCharType="begin"/>
        </w:r>
        <w:r>
          <w:rPr>
            <w:webHidden/>
          </w:rPr>
          <w:instrText xml:space="preserve"> PAGEREF _Toc526783344 \h </w:instrText>
        </w:r>
        <w:r>
          <w:rPr>
            <w:webHidden/>
          </w:rPr>
        </w:r>
        <w:r>
          <w:rPr>
            <w:webHidden/>
          </w:rPr>
          <w:fldChar w:fldCharType="separate"/>
        </w:r>
        <w:r>
          <w:rPr>
            <w:webHidden/>
          </w:rPr>
          <w:t>12</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45" w:history="1">
        <w:r w:rsidRPr="001C61E6">
          <w:rPr>
            <w:rStyle w:val="Hyperlink"/>
          </w:rPr>
          <w:t>POLICY 4</w:t>
        </w:r>
        <w:r>
          <w:rPr>
            <w:rFonts w:asciiTheme="minorHAnsi" w:eastAsiaTheme="minorEastAsia" w:hAnsiTheme="minorHAnsi" w:cstheme="minorBidi"/>
            <w:lang w:val="de-AT"/>
          </w:rPr>
          <w:tab/>
        </w:r>
        <w:r w:rsidRPr="001C61E6">
          <w:rPr>
            <w:rStyle w:val="Hyperlink"/>
          </w:rPr>
          <w:t>Coding of Identifier Schemes</w:t>
        </w:r>
        <w:r>
          <w:rPr>
            <w:webHidden/>
          </w:rPr>
          <w:tab/>
        </w:r>
        <w:r>
          <w:rPr>
            <w:webHidden/>
          </w:rPr>
          <w:fldChar w:fldCharType="begin"/>
        </w:r>
        <w:r>
          <w:rPr>
            <w:webHidden/>
          </w:rPr>
          <w:instrText xml:space="preserve"> PAGEREF _Toc526783345 \h </w:instrText>
        </w:r>
        <w:r>
          <w:rPr>
            <w:webHidden/>
          </w:rPr>
        </w:r>
        <w:r>
          <w:rPr>
            <w:webHidden/>
          </w:rPr>
          <w:fldChar w:fldCharType="separate"/>
        </w:r>
        <w:r>
          <w:rPr>
            <w:webHidden/>
          </w:rPr>
          <w:t>12</w:t>
        </w:r>
        <w:r>
          <w:rPr>
            <w:webHidden/>
          </w:rPr>
          <w:fldChar w:fldCharType="end"/>
        </w:r>
      </w:hyperlink>
    </w:p>
    <w:p w:rsidR="00E16E4D" w:rsidRDefault="00E16E4D">
      <w:pPr>
        <w:pStyle w:val="Verzeichnis2"/>
        <w:rPr>
          <w:rFonts w:asciiTheme="minorHAnsi" w:eastAsiaTheme="minorEastAsia" w:hAnsiTheme="minorHAnsi" w:cstheme="minorBidi"/>
          <w:lang w:val="de-AT"/>
        </w:rPr>
      </w:pPr>
      <w:hyperlink w:anchor="_Toc526783346" w:history="1">
        <w:r w:rsidRPr="001C61E6">
          <w:rPr>
            <w:rStyle w:val="Hyperlink"/>
          </w:rPr>
          <w:t>3.2</w:t>
        </w:r>
        <w:r>
          <w:rPr>
            <w:rFonts w:asciiTheme="minorHAnsi" w:eastAsiaTheme="minorEastAsia" w:hAnsiTheme="minorHAnsi" w:cstheme="minorBidi"/>
            <w:lang w:val="de-AT"/>
          </w:rPr>
          <w:tab/>
        </w:r>
        <w:r w:rsidRPr="001C61E6">
          <w:rPr>
            <w:rStyle w:val="Hyperlink"/>
          </w:rPr>
          <w:t>Identifier Scheme values</w:t>
        </w:r>
        <w:r>
          <w:rPr>
            <w:webHidden/>
          </w:rPr>
          <w:tab/>
        </w:r>
        <w:r>
          <w:rPr>
            <w:webHidden/>
          </w:rPr>
          <w:fldChar w:fldCharType="begin"/>
        </w:r>
        <w:r>
          <w:rPr>
            <w:webHidden/>
          </w:rPr>
          <w:instrText xml:space="preserve"> PAGEREF _Toc526783346 \h </w:instrText>
        </w:r>
        <w:r>
          <w:rPr>
            <w:webHidden/>
          </w:rPr>
        </w:r>
        <w:r>
          <w:rPr>
            <w:webHidden/>
          </w:rPr>
          <w:fldChar w:fldCharType="separate"/>
        </w:r>
        <w:r>
          <w:rPr>
            <w:webHidden/>
          </w:rPr>
          <w:t>12</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47" w:history="1">
        <w:r w:rsidRPr="001C61E6">
          <w:rPr>
            <w:rStyle w:val="Hyperlink"/>
          </w:rPr>
          <w:t>POLICY 5</w:t>
        </w:r>
        <w:r>
          <w:rPr>
            <w:rFonts w:asciiTheme="minorHAnsi" w:eastAsiaTheme="minorEastAsia" w:hAnsiTheme="minorHAnsi" w:cstheme="minorBidi"/>
            <w:lang w:val="de-AT"/>
          </w:rPr>
          <w:tab/>
        </w:r>
        <w:r w:rsidRPr="001C61E6">
          <w:rPr>
            <w:rStyle w:val="Hyperlink"/>
          </w:rPr>
          <w:t>Participant Identifier Meta Scheme</w:t>
        </w:r>
        <w:r>
          <w:rPr>
            <w:webHidden/>
          </w:rPr>
          <w:tab/>
        </w:r>
        <w:r>
          <w:rPr>
            <w:webHidden/>
          </w:rPr>
          <w:fldChar w:fldCharType="begin"/>
        </w:r>
        <w:r>
          <w:rPr>
            <w:webHidden/>
          </w:rPr>
          <w:instrText xml:space="preserve"> PAGEREF _Toc526783347 \h </w:instrText>
        </w:r>
        <w:r>
          <w:rPr>
            <w:webHidden/>
          </w:rPr>
        </w:r>
        <w:r>
          <w:rPr>
            <w:webHidden/>
          </w:rPr>
          <w:fldChar w:fldCharType="separate"/>
        </w:r>
        <w:r>
          <w:rPr>
            <w:webHidden/>
          </w:rPr>
          <w:t>13</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48" w:history="1">
        <w:r w:rsidRPr="001C61E6">
          <w:rPr>
            <w:rStyle w:val="Hyperlink"/>
          </w:rPr>
          <w:t>POLICY 6</w:t>
        </w:r>
        <w:r>
          <w:rPr>
            <w:rFonts w:asciiTheme="minorHAnsi" w:eastAsiaTheme="minorEastAsia" w:hAnsiTheme="minorHAnsi" w:cstheme="minorBidi"/>
            <w:lang w:val="de-AT"/>
          </w:rPr>
          <w:tab/>
        </w:r>
        <w:r w:rsidRPr="001C61E6">
          <w:rPr>
            <w:rStyle w:val="Hyperlink"/>
          </w:rPr>
          <w:t>Numeric Codes for Identifier Schemes</w:t>
        </w:r>
        <w:r>
          <w:rPr>
            <w:webHidden/>
          </w:rPr>
          <w:tab/>
        </w:r>
        <w:r>
          <w:rPr>
            <w:webHidden/>
          </w:rPr>
          <w:fldChar w:fldCharType="begin"/>
        </w:r>
        <w:r>
          <w:rPr>
            <w:webHidden/>
          </w:rPr>
          <w:instrText xml:space="preserve"> PAGEREF _Toc526783348 \h </w:instrText>
        </w:r>
        <w:r>
          <w:rPr>
            <w:webHidden/>
          </w:rPr>
        </w:r>
        <w:r>
          <w:rPr>
            <w:webHidden/>
          </w:rPr>
          <w:fldChar w:fldCharType="separate"/>
        </w:r>
        <w:r>
          <w:rPr>
            <w:webHidden/>
          </w:rPr>
          <w:t>13</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49" w:history="1">
        <w:r w:rsidRPr="001C61E6">
          <w:rPr>
            <w:rStyle w:val="Hyperlink"/>
          </w:rPr>
          <w:t>POLICY 7</w:t>
        </w:r>
        <w:r>
          <w:rPr>
            <w:rFonts w:asciiTheme="minorHAnsi" w:eastAsiaTheme="minorEastAsia" w:hAnsiTheme="minorHAnsi" w:cstheme="minorBidi"/>
            <w:lang w:val="de-AT"/>
          </w:rPr>
          <w:tab/>
        </w:r>
        <w:r w:rsidRPr="001C61E6">
          <w:rPr>
            <w:rStyle w:val="Hyperlink"/>
          </w:rPr>
          <w:t>Participant Identifiers for DNS</w:t>
        </w:r>
        <w:r>
          <w:rPr>
            <w:webHidden/>
          </w:rPr>
          <w:tab/>
        </w:r>
        <w:r>
          <w:rPr>
            <w:webHidden/>
          </w:rPr>
          <w:fldChar w:fldCharType="begin"/>
        </w:r>
        <w:r>
          <w:rPr>
            <w:webHidden/>
          </w:rPr>
          <w:instrText xml:space="preserve"> PAGEREF _Toc526783349 \h </w:instrText>
        </w:r>
        <w:r>
          <w:rPr>
            <w:webHidden/>
          </w:rPr>
        </w:r>
        <w:r>
          <w:rPr>
            <w:webHidden/>
          </w:rPr>
          <w:fldChar w:fldCharType="separate"/>
        </w:r>
        <w:r>
          <w:rPr>
            <w:webHidden/>
          </w:rPr>
          <w:t>13</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50" w:history="1">
        <w:r w:rsidRPr="001C61E6">
          <w:rPr>
            <w:rStyle w:val="Hyperlink"/>
          </w:rPr>
          <w:t>POLICY 8</w:t>
        </w:r>
        <w:r>
          <w:rPr>
            <w:rFonts w:asciiTheme="minorHAnsi" w:eastAsiaTheme="minorEastAsia" w:hAnsiTheme="minorHAnsi" w:cstheme="minorBidi"/>
            <w:lang w:val="de-AT"/>
          </w:rPr>
          <w:tab/>
        </w:r>
        <w:r w:rsidRPr="001C61E6">
          <w:rPr>
            <w:rStyle w:val="Hyperlink"/>
          </w:rPr>
          <w:t>XML attributes for Participant Identifiers in SMP responses</w:t>
        </w:r>
        <w:r>
          <w:rPr>
            <w:webHidden/>
          </w:rPr>
          <w:tab/>
        </w:r>
        <w:r>
          <w:rPr>
            <w:webHidden/>
          </w:rPr>
          <w:fldChar w:fldCharType="begin"/>
        </w:r>
        <w:r>
          <w:rPr>
            <w:webHidden/>
          </w:rPr>
          <w:instrText xml:space="preserve"> PAGEREF _Toc526783350 \h </w:instrText>
        </w:r>
        <w:r>
          <w:rPr>
            <w:webHidden/>
          </w:rPr>
        </w:r>
        <w:r>
          <w:rPr>
            <w:webHidden/>
          </w:rPr>
          <w:fldChar w:fldCharType="separate"/>
        </w:r>
        <w:r>
          <w:rPr>
            <w:webHidden/>
          </w:rPr>
          <w:t>14</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51" w:history="1">
        <w:r w:rsidRPr="001C61E6">
          <w:rPr>
            <w:rStyle w:val="Hyperlink"/>
          </w:rPr>
          <w:t>POLICY 9</w:t>
        </w:r>
        <w:r>
          <w:rPr>
            <w:rFonts w:asciiTheme="minorHAnsi" w:eastAsiaTheme="minorEastAsia" w:hAnsiTheme="minorHAnsi" w:cstheme="minorBidi"/>
            <w:lang w:val="de-AT"/>
          </w:rPr>
          <w:tab/>
        </w:r>
        <w:r w:rsidRPr="001C61E6">
          <w:rPr>
            <w:rStyle w:val="Hyperlink"/>
          </w:rPr>
          <w:t>XML attributes for EndpointIDs in UBL documents</w:t>
        </w:r>
        <w:r>
          <w:rPr>
            <w:webHidden/>
          </w:rPr>
          <w:tab/>
        </w:r>
        <w:r>
          <w:rPr>
            <w:webHidden/>
          </w:rPr>
          <w:fldChar w:fldCharType="begin"/>
        </w:r>
        <w:r>
          <w:rPr>
            <w:webHidden/>
          </w:rPr>
          <w:instrText xml:space="preserve"> PAGEREF _Toc526783351 \h </w:instrText>
        </w:r>
        <w:r>
          <w:rPr>
            <w:webHidden/>
          </w:rPr>
        </w:r>
        <w:r>
          <w:rPr>
            <w:webHidden/>
          </w:rPr>
          <w:fldChar w:fldCharType="separate"/>
        </w:r>
        <w:r>
          <w:rPr>
            <w:webHidden/>
          </w:rPr>
          <w:t>14</w:t>
        </w:r>
        <w:r>
          <w:rPr>
            <w:webHidden/>
          </w:rPr>
          <w:fldChar w:fldCharType="end"/>
        </w:r>
      </w:hyperlink>
    </w:p>
    <w:p w:rsidR="00E16E4D" w:rsidRDefault="00E16E4D">
      <w:pPr>
        <w:pStyle w:val="Verzeichnis1"/>
        <w:rPr>
          <w:rFonts w:asciiTheme="minorHAnsi" w:eastAsiaTheme="minorEastAsia" w:hAnsiTheme="minorHAnsi" w:cstheme="minorBidi"/>
          <w:kern w:val="0"/>
          <w:sz w:val="22"/>
          <w:lang w:val="de-AT" w:eastAsia="de-AT"/>
        </w:rPr>
      </w:pPr>
      <w:hyperlink w:anchor="_Toc526783352" w:history="1">
        <w:r w:rsidRPr="001C61E6">
          <w:rPr>
            <w:rStyle w:val="Hyperlink"/>
          </w:rPr>
          <w:t>4</w:t>
        </w:r>
        <w:r>
          <w:rPr>
            <w:rFonts w:asciiTheme="minorHAnsi" w:eastAsiaTheme="minorEastAsia" w:hAnsiTheme="minorHAnsi" w:cstheme="minorBidi"/>
            <w:kern w:val="0"/>
            <w:sz w:val="22"/>
            <w:lang w:val="de-AT" w:eastAsia="de-AT"/>
          </w:rPr>
          <w:tab/>
        </w:r>
        <w:r w:rsidRPr="001C61E6">
          <w:rPr>
            <w:rStyle w:val="Hyperlink"/>
          </w:rPr>
          <w:t>Policy for PEPPOL Party Identification</w:t>
        </w:r>
        <w:r>
          <w:rPr>
            <w:webHidden/>
          </w:rPr>
          <w:tab/>
        </w:r>
        <w:r>
          <w:rPr>
            <w:webHidden/>
          </w:rPr>
          <w:fldChar w:fldCharType="begin"/>
        </w:r>
        <w:r>
          <w:rPr>
            <w:webHidden/>
          </w:rPr>
          <w:instrText xml:space="preserve"> PAGEREF _Toc526783352 \h </w:instrText>
        </w:r>
        <w:r>
          <w:rPr>
            <w:webHidden/>
          </w:rPr>
        </w:r>
        <w:r>
          <w:rPr>
            <w:webHidden/>
          </w:rPr>
          <w:fldChar w:fldCharType="separate"/>
        </w:r>
        <w:r>
          <w:rPr>
            <w:webHidden/>
          </w:rPr>
          <w:t>16</w:t>
        </w:r>
        <w:r>
          <w:rPr>
            <w:webHidden/>
          </w:rPr>
          <w:fldChar w:fldCharType="end"/>
        </w:r>
      </w:hyperlink>
    </w:p>
    <w:p w:rsidR="00E16E4D" w:rsidRDefault="00E16E4D">
      <w:pPr>
        <w:pStyle w:val="Verzeichnis2"/>
        <w:rPr>
          <w:rFonts w:asciiTheme="minorHAnsi" w:eastAsiaTheme="minorEastAsia" w:hAnsiTheme="minorHAnsi" w:cstheme="minorBidi"/>
          <w:lang w:val="de-AT"/>
        </w:rPr>
      </w:pPr>
      <w:hyperlink w:anchor="_Toc526783353" w:history="1">
        <w:r w:rsidRPr="001C61E6">
          <w:rPr>
            <w:rStyle w:val="Hyperlink"/>
          </w:rPr>
          <w:t>4.1</w:t>
        </w:r>
        <w:r>
          <w:rPr>
            <w:rFonts w:asciiTheme="minorHAnsi" w:eastAsiaTheme="minorEastAsia" w:hAnsiTheme="minorHAnsi" w:cstheme="minorBidi"/>
            <w:lang w:val="de-AT"/>
          </w:rPr>
          <w:tab/>
        </w:r>
        <w:r w:rsidRPr="001C61E6">
          <w:rPr>
            <w:rStyle w:val="Hyperlink"/>
          </w:rPr>
          <w:t>Format</w:t>
        </w:r>
        <w:r>
          <w:rPr>
            <w:webHidden/>
          </w:rPr>
          <w:tab/>
        </w:r>
        <w:r>
          <w:rPr>
            <w:webHidden/>
          </w:rPr>
          <w:fldChar w:fldCharType="begin"/>
        </w:r>
        <w:r>
          <w:rPr>
            <w:webHidden/>
          </w:rPr>
          <w:instrText xml:space="preserve"> PAGEREF _Toc526783353 \h </w:instrText>
        </w:r>
        <w:r>
          <w:rPr>
            <w:webHidden/>
          </w:rPr>
        </w:r>
        <w:r>
          <w:rPr>
            <w:webHidden/>
          </w:rPr>
          <w:fldChar w:fldCharType="separate"/>
        </w:r>
        <w:r>
          <w:rPr>
            <w:webHidden/>
          </w:rPr>
          <w:t>16</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54" w:history="1">
        <w:r w:rsidRPr="001C61E6">
          <w:rPr>
            <w:rStyle w:val="Hyperlink"/>
          </w:rPr>
          <w:t>POLICY 10</w:t>
        </w:r>
        <w:r>
          <w:rPr>
            <w:rFonts w:asciiTheme="minorHAnsi" w:eastAsiaTheme="minorEastAsia" w:hAnsiTheme="minorHAnsi" w:cstheme="minorBidi"/>
            <w:lang w:val="de-AT"/>
          </w:rPr>
          <w:tab/>
        </w:r>
        <w:r w:rsidRPr="001C61E6">
          <w:rPr>
            <w:rStyle w:val="Hyperlink"/>
          </w:rPr>
          <w:t>Use of ISO15459 structure</w:t>
        </w:r>
        <w:r>
          <w:rPr>
            <w:webHidden/>
          </w:rPr>
          <w:tab/>
        </w:r>
        <w:r>
          <w:rPr>
            <w:webHidden/>
          </w:rPr>
          <w:fldChar w:fldCharType="begin"/>
        </w:r>
        <w:r>
          <w:rPr>
            <w:webHidden/>
          </w:rPr>
          <w:instrText xml:space="preserve"> PAGEREF _Toc526783354 \h </w:instrText>
        </w:r>
        <w:r>
          <w:rPr>
            <w:webHidden/>
          </w:rPr>
        </w:r>
        <w:r>
          <w:rPr>
            <w:webHidden/>
          </w:rPr>
          <w:fldChar w:fldCharType="separate"/>
        </w:r>
        <w:r>
          <w:rPr>
            <w:webHidden/>
          </w:rPr>
          <w:t>16</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55" w:history="1">
        <w:r w:rsidRPr="001C61E6">
          <w:rPr>
            <w:rStyle w:val="Hyperlink"/>
          </w:rPr>
          <w:t>POLICY 11</w:t>
        </w:r>
        <w:r>
          <w:rPr>
            <w:rFonts w:asciiTheme="minorHAnsi" w:eastAsiaTheme="minorEastAsia" w:hAnsiTheme="minorHAnsi" w:cstheme="minorBidi"/>
            <w:lang w:val="de-AT"/>
          </w:rPr>
          <w:tab/>
        </w:r>
        <w:r w:rsidRPr="001C61E6">
          <w:rPr>
            <w:rStyle w:val="Hyperlink"/>
          </w:rPr>
          <w:t>Coding of Identifier Schemes</w:t>
        </w:r>
        <w:r>
          <w:rPr>
            <w:webHidden/>
          </w:rPr>
          <w:tab/>
        </w:r>
        <w:r>
          <w:rPr>
            <w:webHidden/>
          </w:rPr>
          <w:fldChar w:fldCharType="begin"/>
        </w:r>
        <w:r>
          <w:rPr>
            <w:webHidden/>
          </w:rPr>
          <w:instrText xml:space="preserve"> PAGEREF _Toc526783355 \h </w:instrText>
        </w:r>
        <w:r>
          <w:rPr>
            <w:webHidden/>
          </w:rPr>
        </w:r>
        <w:r>
          <w:rPr>
            <w:webHidden/>
          </w:rPr>
          <w:fldChar w:fldCharType="separate"/>
        </w:r>
        <w:r>
          <w:rPr>
            <w:webHidden/>
          </w:rPr>
          <w:t>16</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56" w:history="1">
        <w:r w:rsidRPr="001C61E6">
          <w:rPr>
            <w:rStyle w:val="Hyperlink"/>
          </w:rPr>
          <w:t>POLICY 12</w:t>
        </w:r>
        <w:r>
          <w:rPr>
            <w:rFonts w:asciiTheme="minorHAnsi" w:eastAsiaTheme="minorEastAsia" w:hAnsiTheme="minorHAnsi" w:cstheme="minorBidi"/>
            <w:lang w:val="de-AT"/>
          </w:rPr>
          <w:tab/>
        </w:r>
        <w:r w:rsidRPr="001C61E6">
          <w:rPr>
            <w:rStyle w:val="Hyperlink"/>
          </w:rPr>
          <w:t>XML attributes for Party Identifiers in UBL documents</w:t>
        </w:r>
        <w:r>
          <w:rPr>
            <w:webHidden/>
          </w:rPr>
          <w:tab/>
        </w:r>
        <w:r>
          <w:rPr>
            <w:webHidden/>
          </w:rPr>
          <w:fldChar w:fldCharType="begin"/>
        </w:r>
        <w:r>
          <w:rPr>
            <w:webHidden/>
          </w:rPr>
          <w:instrText xml:space="preserve"> PAGEREF _Toc526783356 \h </w:instrText>
        </w:r>
        <w:r>
          <w:rPr>
            <w:webHidden/>
          </w:rPr>
        </w:r>
        <w:r>
          <w:rPr>
            <w:webHidden/>
          </w:rPr>
          <w:fldChar w:fldCharType="separate"/>
        </w:r>
        <w:r>
          <w:rPr>
            <w:webHidden/>
          </w:rPr>
          <w:t>16</w:t>
        </w:r>
        <w:r>
          <w:rPr>
            <w:webHidden/>
          </w:rPr>
          <w:fldChar w:fldCharType="end"/>
        </w:r>
      </w:hyperlink>
    </w:p>
    <w:p w:rsidR="00E16E4D" w:rsidRDefault="00E16E4D">
      <w:pPr>
        <w:pStyle w:val="Verzeichnis1"/>
        <w:rPr>
          <w:rFonts w:asciiTheme="minorHAnsi" w:eastAsiaTheme="minorEastAsia" w:hAnsiTheme="minorHAnsi" w:cstheme="minorBidi"/>
          <w:kern w:val="0"/>
          <w:sz w:val="22"/>
          <w:lang w:val="de-AT" w:eastAsia="de-AT"/>
        </w:rPr>
      </w:pPr>
      <w:hyperlink w:anchor="_Toc526783357" w:history="1">
        <w:r w:rsidRPr="001C61E6">
          <w:rPr>
            <w:rStyle w:val="Hyperlink"/>
          </w:rPr>
          <w:t>5</w:t>
        </w:r>
        <w:r>
          <w:rPr>
            <w:rFonts w:asciiTheme="minorHAnsi" w:eastAsiaTheme="minorEastAsia" w:hAnsiTheme="minorHAnsi" w:cstheme="minorBidi"/>
            <w:kern w:val="0"/>
            <w:sz w:val="22"/>
            <w:lang w:val="de-AT" w:eastAsia="de-AT"/>
          </w:rPr>
          <w:tab/>
        </w:r>
        <w:r w:rsidRPr="001C61E6">
          <w:rPr>
            <w:rStyle w:val="Hyperlink"/>
          </w:rPr>
          <w:t>Policies on Identifying Document Types supported by PEPPOL</w:t>
        </w:r>
        <w:r>
          <w:rPr>
            <w:webHidden/>
          </w:rPr>
          <w:tab/>
        </w:r>
        <w:r>
          <w:rPr>
            <w:webHidden/>
          </w:rPr>
          <w:fldChar w:fldCharType="begin"/>
        </w:r>
        <w:r>
          <w:rPr>
            <w:webHidden/>
          </w:rPr>
          <w:instrText xml:space="preserve"> PAGEREF _Toc526783357 \h </w:instrText>
        </w:r>
        <w:r>
          <w:rPr>
            <w:webHidden/>
          </w:rPr>
        </w:r>
        <w:r>
          <w:rPr>
            <w:webHidden/>
          </w:rPr>
          <w:fldChar w:fldCharType="separate"/>
        </w:r>
        <w:r>
          <w:rPr>
            <w:webHidden/>
          </w:rPr>
          <w:t>18</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58" w:history="1">
        <w:r w:rsidRPr="001C61E6">
          <w:rPr>
            <w:rStyle w:val="Hyperlink"/>
          </w:rPr>
          <w:t>POLICY 13</w:t>
        </w:r>
        <w:r>
          <w:rPr>
            <w:rFonts w:asciiTheme="minorHAnsi" w:eastAsiaTheme="minorEastAsia" w:hAnsiTheme="minorHAnsi" w:cstheme="minorBidi"/>
            <w:lang w:val="de-AT"/>
          </w:rPr>
          <w:tab/>
        </w:r>
        <w:r w:rsidRPr="001C61E6">
          <w:rPr>
            <w:rStyle w:val="Hyperlink"/>
          </w:rPr>
          <w:t>Document Type Identifier scheme</w:t>
        </w:r>
        <w:r>
          <w:rPr>
            <w:webHidden/>
          </w:rPr>
          <w:tab/>
        </w:r>
        <w:r>
          <w:rPr>
            <w:webHidden/>
          </w:rPr>
          <w:fldChar w:fldCharType="begin"/>
        </w:r>
        <w:r>
          <w:rPr>
            <w:webHidden/>
          </w:rPr>
          <w:instrText xml:space="preserve"> PAGEREF _Toc526783358 \h </w:instrText>
        </w:r>
        <w:r>
          <w:rPr>
            <w:webHidden/>
          </w:rPr>
        </w:r>
        <w:r>
          <w:rPr>
            <w:webHidden/>
          </w:rPr>
          <w:fldChar w:fldCharType="separate"/>
        </w:r>
        <w:r>
          <w:rPr>
            <w:webHidden/>
          </w:rPr>
          <w:t>18</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59" w:history="1">
        <w:r w:rsidRPr="001C61E6">
          <w:rPr>
            <w:rStyle w:val="Hyperlink"/>
          </w:rPr>
          <w:t>POLICY 14</w:t>
        </w:r>
        <w:r>
          <w:rPr>
            <w:rFonts w:asciiTheme="minorHAnsi" w:eastAsiaTheme="minorEastAsia" w:hAnsiTheme="minorHAnsi" w:cstheme="minorBidi"/>
            <w:lang w:val="de-AT"/>
          </w:rPr>
          <w:tab/>
        </w:r>
        <w:r w:rsidRPr="001C61E6">
          <w:rPr>
            <w:rStyle w:val="Hyperlink"/>
          </w:rPr>
          <w:t>Customization Identifiers</w:t>
        </w:r>
        <w:r>
          <w:rPr>
            <w:webHidden/>
          </w:rPr>
          <w:tab/>
        </w:r>
        <w:r>
          <w:rPr>
            <w:webHidden/>
          </w:rPr>
          <w:fldChar w:fldCharType="begin"/>
        </w:r>
        <w:r>
          <w:rPr>
            <w:webHidden/>
          </w:rPr>
          <w:instrText xml:space="preserve"> PAGEREF _Toc526783359 \h </w:instrText>
        </w:r>
        <w:r>
          <w:rPr>
            <w:webHidden/>
          </w:rPr>
        </w:r>
        <w:r>
          <w:rPr>
            <w:webHidden/>
          </w:rPr>
          <w:fldChar w:fldCharType="separate"/>
        </w:r>
        <w:r>
          <w:rPr>
            <w:webHidden/>
          </w:rPr>
          <w:t>18</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60" w:history="1">
        <w:r w:rsidRPr="001C61E6">
          <w:rPr>
            <w:rStyle w:val="Hyperlink"/>
          </w:rPr>
          <w:t>POLICY 15</w:t>
        </w:r>
        <w:r>
          <w:rPr>
            <w:rFonts w:asciiTheme="minorHAnsi" w:eastAsiaTheme="minorEastAsia" w:hAnsiTheme="minorHAnsi" w:cstheme="minorBidi"/>
            <w:lang w:val="de-AT"/>
          </w:rPr>
          <w:tab/>
        </w:r>
        <w:r w:rsidRPr="001C61E6">
          <w:rPr>
            <w:rStyle w:val="Hyperlink"/>
          </w:rPr>
          <w:t>Specifying Customization Identifiers in UBL documents</w:t>
        </w:r>
        <w:r>
          <w:rPr>
            <w:webHidden/>
          </w:rPr>
          <w:tab/>
        </w:r>
        <w:r>
          <w:rPr>
            <w:webHidden/>
          </w:rPr>
          <w:fldChar w:fldCharType="begin"/>
        </w:r>
        <w:r>
          <w:rPr>
            <w:webHidden/>
          </w:rPr>
          <w:instrText xml:space="preserve"> PAGEREF _Toc526783360 \h </w:instrText>
        </w:r>
        <w:r>
          <w:rPr>
            <w:webHidden/>
          </w:rPr>
        </w:r>
        <w:r>
          <w:rPr>
            <w:webHidden/>
          </w:rPr>
          <w:fldChar w:fldCharType="separate"/>
        </w:r>
        <w:r>
          <w:rPr>
            <w:webHidden/>
          </w:rPr>
          <w:t>18</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61" w:history="1">
        <w:r w:rsidRPr="001C61E6">
          <w:rPr>
            <w:rStyle w:val="Hyperlink"/>
          </w:rPr>
          <w:t>POLICY 16</w:t>
        </w:r>
        <w:r>
          <w:rPr>
            <w:rFonts w:asciiTheme="minorHAnsi" w:eastAsiaTheme="minorEastAsia" w:hAnsiTheme="minorHAnsi" w:cstheme="minorBidi"/>
            <w:lang w:val="de-AT"/>
          </w:rPr>
          <w:tab/>
        </w:r>
        <w:r w:rsidRPr="001C61E6">
          <w:rPr>
            <w:rStyle w:val="Hyperlink"/>
          </w:rPr>
          <w:t>Document Type Identifier Value pattern</w:t>
        </w:r>
        <w:r>
          <w:rPr>
            <w:webHidden/>
          </w:rPr>
          <w:tab/>
        </w:r>
        <w:r>
          <w:rPr>
            <w:webHidden/>
          </w:rPr>
          <w:fldChar w:fldCharType="begin"/>
        </w:r>
        <w:r>
          <w:rPr>
            <w:webHidden/>
          </w:rPr>
          <w:instrText xml:space="preserve"> PAGEREF _Toc526783361 \h </w:instrText>
        </w:r>
        <w:r>
          <w:rPr>
            <w:webHidden/>
          </w:rPr>
        </w:r>
        <w:r>
          <w:rPr>
            <w:webHidden/>
          </w:rPr>
          <w:fldChar w:fldCharType="separate"/>
        </w:r>
        <w:r>
          <w:rPr>
            <w:webHidden/>
          </w:rPr>
          <w:t>19</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62" w:history="1">
        <w:r w:rsidRPr="001C61E6">
          <w:rPr>
            <w:rStyle w:val="Hyperlink"/>
          </w:rPr>
          <w:t>POLICY 17</w:t>
        </w:r>
        <w:r>
          <w:rPr>
            <w:rFonts w:asciiTheme="minorHAnsi" w:eastAsiaTheme="minorEastAsia" w:hAnsiTheme="minorHAnsi" w:cstheme="minorBidi"/>
            <w:lang w:val="de-AT"/>
          </w:rPr>
          <w:tab/>
        </w:r>
        <w:r w:rsidRPr="001C61E6">
          <w:rPr>
            <w:rStyle w:val="Hyperlink"/>
          </w:rPr>
          <w:t>Specifying Document Type Identifiers in SMP documents</w:t>
        </w:r>
        <w:r>
          <w:rPr>
            <w:webHidden/>
          </w:rPr>
          <w:tab/>
        </w:r>
        <w:r>
          <w:rPr>
            <w:webHidden/>
          </w:rPr>
          <w:fldChar w:fldCharType="begin"/>
        </w:r>
        <w:r>
          <w:rPr>
            <w:webHidden/>
          </w:rPr>
          <w:instrText xml:space="preserve"> PAGEREF _Toc526783362 \h </w:instrText>
        </w:r>
        <w:r>
          <w:rPr>
            <w:webHidden/>
          </w:rPr>
        </w:r>
        <w:r>
          <w:rPr>
            <w:webHidden/>
          </w:rPr>
          <w:fldChar w:fldCharType="separate"/>
        </w:r>
        <w:r>
          <w:rPr>
            <w:webHidden/>
          </w:rPr>
          <w:t>19</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63" w:history="1">
        <w:r w:rsidRPr="001C61E6">
          <w:rPr>
            <w:rStyle w:val="Hyperlink"/>
          </w:rPr>
          <w:t>POLICY 18</w:t>
        </w:r>
        <w:r>
          <w:rPr>
            <w:rFonts w:asciiTheme="minorHAnsi" w:eastAsiaTheme="minorEastAsia" w:hAnsiTheme="minorHAnsi" w:cstheme="minorBidi"/>
            <w:lang w:val="de-AT"/>
          </w:rPr>
          <w:tab/>
        </w:r>
        <w:r w:rsidRPr="001C61E6">
          <w:rPr>
            <w:rStyle w:val="Hyperlink"/>
          </w:rPr>
          <w:t>Document Type Identifier Values</w:t>
        </w:r>
        <w:r>
          <w:rPr>
            <w:webHidden/>
          </w:rPr>
          <w:tab/>
        </w:r>
        <w:r>
          <w:rPr>
            <w:webHidden/>
          </w:rPr>
          <w:fldChar w:fldCharType="begin"/>
        </w:r>
        <w:r>
          <w:rPr>
            <w:webHidden/>
          </w:rPr>
          <w:instrText xml:space="preserve"> PAGEREF _Toc526783363 \h </w:instrText>
        </w:r>
        <w:r>
          <w:rPr>
            <w:webHidden/>
          </w:rPr>
        </w:r>
        <w:r>
          <w:rPr>
            <w:webHidden/>
          </w:rPr>
          <w:fldChar w:fldCharType="separate"/>
        </w:r>
        <w:r>
          <w:rPr>
            <w:webHidden/>
          </w:rPr>
          <w:t>20</w:t>
        </w:r>
        <w:r>
          <w:rPr>
            <w:webHidden/>
          </w:rPr>
          <w:fldChar w:fldCharType="end"/>
        </w:r>
      </w:hyperlink>
    </w:p>
    <w:p w:rsidR="00E16E4D" w:rsidRDefault="00E16E4D">
      <w:pPr>
        <w:pStyle w:val="Verzeichnis1"/>
        <w:rPr>
          <w:rFonts w:asciiTheme="minorHAnsi" w:eastAsiaTheme="minorEastAsia" w:hAnsiTheme="minorHAnsi" w:cstheme="minorBidi"/>
          <w:kern w:val="0"/>
          <w:sz w:val="22"/>
          <w:lang w:val="de-AT" w:eastAsia="de-AT"/>
        </w:rPr>
      </w:pPr>
      <w:hyperlink w:anchor="_Toc526783364" w:history="1">
        <w:r w:rsidRPr="001C61E6">
          <w:rPr>
            <w:rStyle w:val="Hyperlink"/>
          </w:rPr>
          <w:t>6</w:t>
        </w:r>
        <w:r>
          <w:rPr>
            <w:rFonts w:asciiTheme="minorHAnsi" w:eastAsiaTheme="minorEastAsia" w:hAnsiTheme="minorHAnsi" w:cstheme="minorBidi"/>
            <w:kern w:val="0"/>
            <w:sz w:val="22"/>
            <w:lang w:val="de-AT" w:eastAsia="de-AT"/>
          </w:rPr>
          <w:tab/>
        </w:r>
        <w:r w:rsidRPr="001C61E6">
          <w:rPr>
            <w:rStyle w:val="Hyperlink"/>
          </w:rPr>
          <w:t>Policy for PEPPOL Process Identifiers</w:t>
        </w:r>
        <w:r>
          <w:rPr>
            <w:webHidden/>
          </w:rPr>
          <w:tab/>
        </w:r>
        <w:r>
          <w:rPr>
            <w:webHidden/>
          </w:rPr>
          <w:fldChar w:fldCharType="begin"/>
        </w:r>
        <w:r>
          <w:rPr>
            <w:webHidden/>
          </w:rPr>
          <w:instrText xml:space="preserve"> PAGEREF _Toc526783364 \h </w:instrText>
        </w:r>
        <w:r>
          <w:rPr>
            <w:webHidden/>
          </w:rPr>
        </w:r>
        <w:r>
          <w:rPr>
            <w:webHidden/>
          </w:rPr>
          <w:fldChar w:fldCharType="separate"/>
        </w:r>
        <w:r>
          <w:rPr>
            <w:webHidden/>
          </w:rPr>
          <w:t>21</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65" w:history="1">
        <w:r w:rsidRPr="001C61E6">
          <w:rPr>
            <w:rStyle w:val="Hyperlink"/>
          </w:rPr>
          <w:t>POLICY 19</w:t>
        </w:r>
        <w:r>
          <w:rPr>
            <w:rFonts w:asciiTheme="minorHAnsi" w:eastAsiaTheme="minorEastAsia" w:hAnsiTheme="minorHAnsi" w:cstheme="minorBidi"/>
            <w:lang w:val="de-AT"/>
          </w:rPr>
          <w:tab/>
        </w:r>
        <w:r w:rsidRPr="001C61E6">
          <w:rPr>
            <w:rStyle w:val="Hyperlink"/>
          </w:rPr>
          <w:t>Process Identifier Scheme</w:t>
        </w:r>
        <w:r>
          <w:rPr>
            <w:webHidden/>
          </w:rPr>
          <w:tab/>
        </w:r>
        <w:r>
          <w:rPr>
            <w:webHidden/>
          </w:rPr>
          <w:fldChar w:fldCharType="begin"/>
        </w:r>
        <w:r>
          <w:rPr>
            <w:webHidden/>
          </w:rPr>
          <w:instrText xml:space="preserve"> PAGEREF _Toc526783365 \h </w:instrText>
        </w:r>
        <w:r>
          <w:rPr>
            <w:webHidden/>
          </w:rPr>
        </w:r>
        <w:r>
          <w:rPr>
            <w:webHidden/>
          </w:rPr>
          <w:fldChar w:fldCharType="separate"/>
        </w:r>
        <w:r>
          <w:rPr>
            <w:webHidden/>
          </w:rPr>
          <w:t>21</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66" w:history="1">
        <w:r w:rsidRPr="001C61E6">
          <w:rPr>
            <w:rStyle w:val="Hyperlink"/>
          </w:rPr>
          <w:t>POLICY 20</w:t>
        </w:r>
        <w:r>
          <w:rPr>
            <w:rFonts w:asciiTheme="minorHAnsi" w:eastAsiaTheme="minorEastAsia" w:hAnsiTheme="minorHAnsi" w:cstheme="minorBidi"/>
            <w:lang w:val="de-AT"/>
          </w:rPr>
          <w:tab/>
        </w:r>
        <w:r w:rsidRPr="001C61E6">
          <w:rPr>
            <w:rStyle w:val="Hyperlink"/>
          </w:rPr>
          <w:t>Process Identifier Value</w:t>
        </w:r>
        <w:r>
          <w:rPr>
            <w:webHidden/>
          </w:rPr>
          <w:tab/>
        </w:r>
        <w:r>
          <w:rPr>
            <w:webHidden/>
          </w:rPr>
          <w:fldChar w:fldCharType="begin"/>
        </w:r>
        <w:r>
          <w:rPr>
            <w:webHidden/>
          </w:rPr>
          <w:instrText xml:space="preserve"> PAGEREF _Toc526783366 \h </w:instrText>
        </w:r>
        <w:r>
          <w:rPr>
            <w:webHidden/>
          </w:rPr>
        </w:r>
        <w:r>
          <w:rPr>
            <w:webHidden/>
          </w:rPr>
          <w:fldChar w:fldCharType="separate"/>
        </w:r>
        <w:r>
          <w:rPr>
            <w:webHidden/>
          </w:rPr>
          <w:t>21</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67" w:history="1">
        <w:r w:rsidRPr="001C61E6">
          <w:rPr>
            <w:rStyle w:val="Hyperlink"/>
          </w:rPr>
          <w:t>POLICY 21</w:t>
        </w:r>
        <w:r>
          <w:rPr>
            <w:rFonts w:asciiTheme="minorHAnsi" w:eastAsiaTheme="minorEastAsia" w:hAnsiTheme="minorHAnsi" w:cstheme="minorBidi"/>
            <w:lang w:val="de-AT"/>
          </w:rPr>
          <w:tab/>
        </w:r>
        <w:r w:rsidRPr="001C61E6">
          <w:rPr>
            <w:rStyle w:val="Hyperlink"/>
          </w:rPr>
          <w:t>Specifying Process Identifiers in SMP documents</w:t>
        </w:r>
        <w:r>
          <w:rPr>
            <w:webHidden/>
          </w:rPr>
          <w:tab/>
        </w:r>
        <w:r>
          <w:rPr>
            <w:webHidden/>
          </w:rPr>
          <w:fldChar w:fldCharType="begin"/>
        </w:r>
        <w:r>
          <w:rPr>
            <w:webHidden/>
          </w:rPr>
          <w:instrText xml:space="preserve"> PAGEREF _Toc526783367 \h </w:instrText>
        </w:r>
        <w:r>
          <w:rPr>
            <w:webHidden/>
          </w:rPr>
        </w:r>
        <w:r>
          <w:rPr>
            <w:webHidden/>
          </w:rPr>
          <w:fldChar w:fldCharType="separate"/>
        </w:r>
        <w:r>
          <w:rPr>
            <w:webHidden/>
          </w:rPr>
          <w:t>21</w:t>
        </w:r>
        <w:r>
          <w:rPr>
            <w:webHidden/>
          </w:rPr>
          <w:fldChar w:fldCharType="end"/>
        </w:r>
      </w:hyperlink>
    </w:p>
    <w:p w:rsidR="00E16E4D" w:rsidRDefault="00E16E4D">
      <w:pPr>
        <w:pStyle w:val="Verzeichnis1"/>
        <w:rPr>
          <w:rFonts w:asciiTheme="minorHAnsi" w:eastAsiaTheme="minorEastAsia" w:hAnsiTheme="minorHAnsi" w:cstheme="minorBidi"/>
          <w:kern w:val="0"/>
          <w:sz w:val="22"/>
          <w:lang w:val="de-AT" w:eastAsia="de-AT"/>
        </w:rPr>
      </w:pPr>
      <w:hyperlink w:anchor="_Toc526783368" w:history="1">
        <w:r w:rsidRPr="001C61E6">
          <w:rPr>
            <w:rStyle w:val="Hyperlink"/>
          </w:rPr>
          <w:t>7</w:t>
        </w:r>
        <w:r>
          <w:rPr>
            <w:rFonts w:asciiTheme="minorHAnsi" w:eastAsiaTheme="minorEastAsia" w:hAnsiTheme="minorHAnsi" w:cstheme="minorBidi"/>
            <w:kern w:val="0"/>
            <w:sz w:val="22"/>
            <w:lang w:val="de-AT" w:eastAsia="de-AT"/>
          </w:rPr>
          <w:tab/>
        </w:r>
        <w:r w:rsidRPr="001C61E6">
          <w:rPr>
            <w:rStyle w:val="Hyperlink"/>
          </w:rPr>
          <w:t>Policy on Identifying Transport Profiles in PEPPOL</w:t>
        </w:r>
        <w:r>
          <w:rPr>
            <w:webHidden/>
          </w:rPr>
          <w:tab/>
        </w:r>
        <w:r>
          <w:rPr>
            <w:webHidden/>
          </w:rPr>
          <w:fldChar w:fldCharType="begin"/>
        </w:r>
        <w:r>
          <w:rPr>
            <w:webHidden/>
          </w:rPr>
          <w:instrText xml:space="preserve"> PAGEREF _Toc526783368 \h </w:instrText>
        </w:r>
        <w:r>
          <w:rPr>
            <w:webHidden/>
          </w:rPr>
        </w:r>
        <w:r>
          <w:rPr>
            <w:webHidden/>
          </w:rPr>
          <w:fldChar w:fldCharType="separate"/>
        </w:r>
        <w:r>
          <w:rPr>
            <w:webHidden/>
          </w:rPr>
          <w:t>22</w:t>
        </w:r>
        <w:r>
          <w:rPr>
            <w:webHidden/>
          </w:rPr>
          <w:fldChar w:fldCharType="end"/>
        </w:r>
      </w:hyperlink>
    </w:p>
    <w:p w:rsidR="00E16E4D" w:rsidRDefault="00E16E4D">
      <w:pPr>
        <w:pStyle w:val="Verzeichnis2"/>
        <w:rPr>
          <w:rFonts w:asciiTheme="minorHAnsi" w:eastAsiaTheme="minorEastAsia" w:hAnsiTheme="minorHAnsi" w:cstheme="minorBidi"/>
          <w:lang w:val="de-AT"/>
        </w:rPr>
      </w:pPr>
      <w:hyperlink w:anchor="_Toc526783369" w:history="1">
        <w:r w:rsidRPr="001C61E6">
          <w:rPr>
            <w:rStyle w:val="Hyperlink"/>
          </w:rPr>
          <w:t>7.1</w:t>
        </w:r>
        <w:r>
          <w:rPr>
            <w:rFonts w:asciiTheme="minorHAnsi" w:eastAsiaTheme="minorEastAsia" w:hAnsiTheme="minorHAnsi" w:cstheme="minorBidi"/>
            <w:lang w:val="de-AT"/>
          </w:rPr>
          <w:tab/>
        </w:r>
        <w:r w:rsidRPr="001C61E6">
          <w:rPr>
            <w:rStyle w:val="Hyperlink"/>
          </w:rPr>
          <w:t>SMP</w:t>
        </w:r>
        <w:r>
          <w:rPr>
            <w:webHidden/>
          </w:rPr>
          <w:tab/>
        </w:r>
        <w:r>
          <w:rPr>
            <w:webHidden/>
          </w:rPr>
          <w:fldChar w:fldCharType="begin"/>
        </w:r>
        <w:r>
          <w:rPr>
            <w:webHidden/>
          </w:rPr>
          <w:instrText xml:space="preserve"> PAGEREF _Toc526783369 \h </w:instrText>
        </w:r>
        <w:r>
          <w:rPr>
            <w:webHidden/>
          </w:rPr>
        </w:r>
        <w:r>
          <w:rPr>
            <w:webHidden/>
          </w:rPr>
          <w:fldChar w:fldCharType="separate"/>
        </w:r>
        <w:r>
          <w:rPr>
            <w:webHidden/>
          </w:rPr>
          <w:t>22</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70" w:history="1">
        <w:r w:rsidRPr="001C61E6">
          <w:rPr>
            <w:rStyle w:val="Hyperlink"/>
          </w:rPr>
          <w:t>POLICY 22</w:t>
        </w:r>
        <w:r>
          <w:rPr>
            <w:rFonts w:asciiTheme="minorHAnsi" w:eastAsiaTheme="minorEastAsia" w:hAnsiTheme="minorHAnsi" w:cstheme="minorBidi"/>
            <w:lang w:val="de-AT"/>
          </w:rPr>
          <w:tab/>
        </w:r>
        <w:r w:rsidRPr="001C61E6">
          <w:rPr>
            <w:rStyle w:val="Hyperlink"/>
          </w:rPr>
          <w:t>Transport Profile Values</w:t>
        </w:r>
        <w:r>
          <w:rPr>
            <w:webHidden/>
          </w:rPr>
          <w:tab/>
        </w:r>
        <w:r>
          <w:rPr>
            <w:webHidden/>
          </w:rPr>
          <w:fldChar w:fldCharType="begin"/>
        </w:r>
        <w:r>
          <w:rPr>
            <w:webHidden/>
          </w:rPr>
          <w:instrText xml:space="preserve"> PAGEREF _Toc526783370 \h </w:instrText>
        </w:r>
        <w:r>
          <w:rPr>
            <w:webHidden/>
          </w:rPr>
        </w:r>
        <w:r>
          <w:rPr>
            <w:webHidden/>
          </w:rPr>
          <w:fldChar w:fldCharType="separate"/>
        </w:r>
        <w:r>
          <w:rPr>
            <w:webHidden/>
          </w:rPr>
          <w:t>22</w:t>
        </w:r>
        <w:r>
          <w:rPr>
            <w:webHidden/>
          </w:rPr>
          <w:fldChar w:fldCharType="end"/>
        </w:r>
      </w:hyperlink>
    </w:p>
    <w:p w:rsidR="00E16E4D" w:rsidRDefault="00E16E4D">
      <w:pPr>
        <w:pStyle w:val="Verzeichnis3"/>
        <w:rPr>
          <w:rFonts w:asciiTheme="minorHAnsi" w:eastAsiaTheme="minorEastAsia" w:hAnsiTheme="minorHAnsi" w:cstheme="minorBidi"/>
          <w:lang w:val="de-AT"/>
        </w:rPr>
      </w:pPr>
      <w:hyperlink w:anchor="_Toc526783371" w:history="1">
        <w:r w:rsidRPr="001C61E6">
          <w:rPr>
            <w:rStyle w:val="Hyperlink"/>
          </w:rPr>
          <w:t>POLICY 23</w:t>
        </w:r>
        <w:r>
          <w:rPr>
            <w:rFonts w:asciiTheme="minorHAnsi" w:eastAsiaTheme="minorEastAsia" w:hAnsiTheme="minorHAnsi" w:cstheme="minorBidi"/>
            <w:lang w:val="de-AT"/>
          </w:rPr>
          <w:tab/>
        </w:r>
        <w:r w:rsidRPr="001C61E6">
          <w:rPr>
            <w:rStyle w:val="Hyperlink"/>
          </w:rPr>
          <w:t>Specifying Transport Profiles in SMP documents</w:t>
        </w:r>
        <w:r>
          <w:rPr>
            <w:webHidden/>
          </w:rPr>
          <w:tab/>
        </w:r>
        <w:r>
          <w:rPr>
            <w:webHidden/>
          </w:rPr>
          <w:fldChar w:fldCharType="begin"/>
        </w:r>
        <w:r>
          <w:rPr>
            <w:webHidden/>
          </w:rPr>
          <w:instrText xml:space="preserve"> PAGEREF _Toc526783371 \h </w:instrText>
        </w:r>
        <w:r>
          <w:rPr>
            <w:webHidden/>
          </w:rPr>
        </w:r>
        <w:r>
          <w:rPr>
            <w:webHidden/>
          </w:rPr>
          <w:fldChar w:fldCharType="separate"/>
        </w:r>
        <w:r>
          <w:rPr>
            <w:webHidden/>
          </w:rPr>
          <w:t>22</w:t>
        </w:r>
        <w:r>
          <w:rPr>
            <w:webHidden/>
          </w:rPr>
          <w:fldChar w:fldCharType="end"/>
        </w:r>
      </w:hyperlink>
    </w:p>
    <w:p w:rsidR="00E16E4D" w:rsidRDefault="00E16E4D">
      <w:pPr>
        <w:pStyle w:val="Verzeichnis1"/>
        <w:rPr>
          <w:rFonts w:asciiTheme="minorHAnsi" w:eastAsiaTheme="minorEastAsia" w:hAnsiTheme="minorHAnsi" w:cstheme="minorBidi"/>
          <w:kern w:val="0"/>
          <w:sz w:val="22"/>
          <w:lang w:val="de-AT" w:eastAsia="de-AT"/>
        </w:rPr>
      </w:pPr>
      <w:hyperlink w:anchor="_Toc526783372" w:history="1">
        <w:r w:rsidRPr="001C61E6">
          <w:rPr>
            <w:rStyle w:val="Hyperlink"/>
          </w:rPr>
          <w:t>8</w:t>
        </w:r>
        <w:r>
          <w:rPr>
            <w:rFonts w:asciiTheme="minorHAnsi" w:eastAsiaTheme="minorEastAsia" w:hAnsiTheme="minorHAnsi" w:cstheme="minorBidi"/>
            <w:kern w:val="0"/>
            <w:sz w:val="22"/>
            <w:lang w:val="de-AT" w:eastAsia="de-AT"/>
          </w:rPr>
          <w:tab/>
        </w:r>
        <w:r w:rsidRPr="001C61E6">
          <w:rPr>
            <w:rStyle w:val="Hyperlink"/>
          </w:rPr>
          <w:t>Governance of this Policy</w:t>
        </w:r>
        <w:r>
          <w:rPr>
            <w:webHidden/>
          </w:rPr>
          <w:tab/>
        </w:r>
        <w:r>
          <w:rPr>
            <w:webHidden/>
          </w:rPr>
          <w:fldChar w:fldCharType="begin"/>
        </w:r>
        <w:r>
          <w:rPr>
            <w:webHidden/>
          </w:rPr>
          <w:instrText xml:space="preserve"> PAGEREF _Toc526783372 \h </w:instrText>
        </w:r>
        <w:r>
          <w:rPr>
            <w:webHidden/>
          </w:rPr>
        </w:r>
        <w:r>
          <w:rPr>
            <w:webHidden/>
          </w:rPr>
          <w:fldChar w:fldCharType="separate"/>
        </w:r>
        <w:r>
          <w:rPr>
            <w:webHidden/>
          </w:rPr>
          <w:t>23</w:t>
        </w:r>
        <w:r>
          <w:rPr>
            <w:webHidden/>
          </w:rPr>
          <w:fldChar w:fldCharType="end"/>
        </w:r>
      </w:hyperlink>
    </w:p>
    <w:p w:rsidR="00840E57" w:rsidRDefault="003C7500" w:rsidP="00C66CC9">
      <w:pPr>
        <w:sectPr w:rsidR="00840E57" w:rsidSect="00840E57">
          <w:headerReference w:type="default" r:id="rId14"/>
          <w:footerReference w:type="default" r:id="rId15"/>
          <w:footerReference w:type="first" r:id="rId16"/>
          <w:pgSz w:w="11906" w:h="16838"/>
          <w:pgMar w:top="1418" w:right="1418" w:bottom="1418" w:left="1418" w:header="709" w:footer="709" w:gutter="0"/>
          <w:cols w:space="708"/>
          <w:docGrid w:linePitch="360"/>
        </w:sectPr>
      </w:pPr>
      <w:r w:rsidRPr="001F4312">
        <w:fldChar w:fldCharType="end"/>
      </w:r>
      <w:bookmarkStart w:id="10" w:name="_Toc316247562"/>
      <w:bookmarkStart w:id="11" w:name="_GoBack"/>
      <w:bookmarkEnd w:id="11"/>
    </w:p>
    <w:p w:rsidR="00455E1E" w:rsidRPr="00E15FB4" w:rsidRDefault="00483A49" w:rsidP="00E15FB4">
      <w:pPr>
        <w:pStyle w:val="berschrift1"/>
      </w:pPr>
      <w:bookmarkStart w:id="12" w:name="_Toc526783331"/>
      <w:r w:rsidRPr="00E15FB4">
        <w:lastRenderedPageBreak/>
        <w:t>Introduction</w:t>
      </w:r>
      <w:bookmarkEnd w:id="12"/>
    </w:p>
    <w:p w:rsidR="006B4C99" w:rsidRPr="00E15FB4" w:rsidRDefault="00856B5F" w:rsidP="00E15FB4">
      <w:pPr>
        <w:pStyle w:val="berschrift2"/>
      </w:pPr>
      <w:bookmarkStart w:id="13" w:name="_Toc526783332"/>
      <w:r w:rsidRPr="00E15FB4">
        <w:t>Audience</w:t>
      </w:r>
      <w:bookmarkEnd w:id="13"/>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is 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14" w:name="_Toc485137421"/>
      <w:bookmarkStart w:id="15" w:name="_Toc496043127"/>
      <w:bookmarkEnd w:id="14"/>
      <w:bookmarkEnd w:id="15"/>
    </w:p>
    <w:p w:rsidR="00483A49" w:rsidRPr="00E15FB4" w:rsidRDefault="00483A49" w:rsidP="00E15FB4">
      <w:pPr>
        <w:pStyle w:val="berschrift2"/>
      </w:pPr>
      <w:bookmarkStart w:id="16" w:name="_Toc526783333"/>
      <w:r w:rsidRPr="00E15FB4">
        <w:t>References</w:t>
      </w:r>
      <w:bookmarkEnd w:id="16"/>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2B7FCC" w:rsidP="007852AB">
            <w:pPr>
              <w:ind w:right="-143"/>
              <w:rPr>
                <w:iCs/>
              </w:rPr>
            </w:pPr>
            <w:hyperlink r:id="rId17" w:history="1">
              <w:r w:rsidR="0082373C" w:rsidRPr="007852AB">
                <w:rPr>
                  <w:rStyle w:val="Hyperlink"/>
                  <w:iCs/>
                </w:rPr>
                <w:t>http://www.peppol.eu/</w:t>
              </w:r>
            </w:hyperlink>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2B7FCC">
            <w:pPr>
              <w:ind w:right="-143"/>
              <w:rPr>
                <w:bCs/>
                <w:lang w:val="en-US" w:bidi="ne-NP"/>
              </w:rPr>
            </w:pPr>
            <w:hyperlink r:id="rId18" w:history="1">
              <w:r w:rsidR="001870DB" w:rsidRPr="00CD463A">
                <w:rPr>
                  <w:rStyle w:val="Hyperlink"/>
                </w:rPr>
                <w:t>https://peppol.eu/downloads/post-award/</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2B7FCC">
            <w:pPr>
              <w:ind w:right="-143"/>
            </w:pPr>
            <w:hyperlink r:id="rId19" w:history="1">
              <w:r w:rsidR="001870DB" w:rsidRPr="00CD463A">
                <w:rPr>
                  <w:rStyle w:val="Hyperlink"/>
                </w:rPr>
                <w:t>https://peppol.eu/downloads/the-peppol-edelivery-network-specifications/</w:t>
              </w:r>
            </w:hyperlink>
          </w:p>
        </w:tc>
      </w:tr>
      <w:tr w:rsidR="00676FDB" w:rsidRPr="0082373C" w:rsidTr="00315B04">
        <w:tc>
          <w:tcPr>
            <w:tcW w:w="1237" w:type="pct"/>
            <w:shd w:val="clear" w:color="auto" w:fill="auto"/>
          </w:tcPr>
          <w:p w:rsidR="00676FDB" w:rsidRPr="007852AB" w:rsidRDefault="00676FDB" w:rsidP="00CE0D75">
            <w:pPr>
              <w:ind w:right="-143"/>
              <w:rPr>
                <w:iCs/>
              </w:rPr>
            </w:pPr>
            <w:r>
              <w:rPr>
                <w:iCs/>
              </w:rPr>
              <w:t>[PEPPOL_CodeList]</w:t>
            </w:r>
          </w:p>
        </w:tc>
        <w:tc>
          <w:tcPr>
            <w:tcW w:w="3763" w:type="pct"/>
            <w:shd w:val="clear" w:color="auto" w:fill="auto"/>
          </w:tcPr>
          <w:p w:rsidR="00676FDB" w:rsidRDefault="002B7FCC" w:rsidP="00CE0D75">
            <w:pPr>
              <w:ind w:right="-143"/>
            </w:pPr>
            <w:hyperlink r:id="rId20" w:history="1">
              <w:r w:rsidR="00676FDB" w:rsidRPr="00D04824">
                <w:rPr>
                  <w:rStyle w:val="Hyperlink"/>
                </w:rPr>
                <w:t>https://github.com/OpenPEPPOL/documentation/tree/master/Code%20Lists</w:t>
              </w:r>
            </w:hyperlink>
          </w:p>
        </w:tc>
      </w:tr>
      <w:tr w:rsidR="002008EA" w:rsidRPr="0082373C" w:rsidTr="00315B04">
        <w:tc>
          <w:tcPr>
            <w:tcW w:w="1237" w:type="pct"/>
            <w:shd w:val="clear" w:color="auto" w:fill="auto"/>
          </w:tcPr>
          <w:p w:rsidR="002008EA" w:rsidRDefault="002008EA" w:rsidP="00CE0D75">
            <w:pPr>
              <w:ind w:right="-143"/>
              <w:rPr>
                <w:iCs/>
              </w:rPr>
            </w:pPr>
            <w:r>
              <w:rPr>
                <w:iCs/>
              </w:rPr>
              <w:t>[BusdoxDef]</w:t>
            </w:r>
          </w:p>
        </w:tc>
        <w:tc>
          <w:tcPr>
            <w:tcW w:w="3763" w:type="pct"/>
            <w:shd w:val="clear" w:color="auto" w:fill="auto"/>
          </w:tcPr>
          <w:p w:rsidR="002008EA" w:rsidRDefault="002008EA" w:rsidP="002008EA">
            <w:pPr>
              <w:ind w:right="-143"/>
            </w:pPr>
            <w:hyperlink r:id="rId21" w:history="1">
              <w:r w:rsidRPr="00D15CCB">
                <w:rPr>
                  <w:rStyle w:val="Hyperlink"/>
                </w:rPr>
                <w:t>https://github.com/OpenPEPPOL/documentation/blob/master/TransportInfrastructure/ICT-Transport-BusDox_Definitions-101.pdf</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[CEN_BII]</w:t>
            </w:r>
          </w:p>
        </w:tc>
        <w:tc>
          <w:tcPr>
            <w:tcW w:w="3763" w:type="pct"/>
            <w:shd w:val="clear" w:color="auto" w:fill="auto"/>
          </w:tcPr>
          <w:p w:rsidR="00676FDB" w:rsidRPr="0082373C" w:rsidRDefault="002B7FCC" w:rsidP="007852AB">
            <w:pPr>
              <w:ind w:right="-143"/>
            </w:pPr>
            <w:hyperlink r:id="rId22" w:history="1">
              <w:r w:rsidR="00676FDB" w:rsidRPr="007852AB">
                <w:rPr>
                  <w:rStyle w:val="Hyperlink"/>
                  <w:iCs/>
                </w:rPr>
                <w:t>http://</w:t>
              </w:r>
              <w:r w:rsidR="00676FDB" w:rsidRPr="0082373C">
                <w:rPr>
                  <w:rStyle w:val="Hyperlink"/>
                </w:rPr>
                <w:t>www.cen.eu/cwa/bii/specs</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[CEN_BII2]</w:t>
            </w:r>
          </w:p>
        </w:tc>
        <w:tc>
          <w:tcPr>
            <w:tcW w:w="3763" w:type="pct"/>
            <w:shd w:val="clear" w:color="auto" w:fill="auto"/>
          </w:tcPr>
          <w:p w:rsidR="00676FDB" w:rsidRPr="007852AB" w:rsidRDefault="002B7FCC" w:rsidP="007852AB">
            <w:pPr>
              <w:ind w:right="-143"/>
              <w:rPr>
                <w:iCs/>
              </w:rPr>
            </w:pPr>
            <w:hyperlink r:id="rId23" w:history="1">
              <w:r w:rsidR="00676FDB" w:rsidRPr="007852AB">
                <w:rPr>
                  <w:rStyle w:val="Hyperlink"/>
                  <w:iCs/>
                </w:rPr>
                <w:t>http://www.cenbii.eu</w:t>
              </w:r>
            </w:hyperlink>
          </w:p>
        </w:tc>
      </w:tr>
      <w:tr w:rsidR="00676FDB" w:rsidRPr="0082373C" w:rsidTr="00315B04">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2B7FCC" w:rsidP="00DA779F">
            <w:hyperlink r:id="rId24" w:history="1">
              <w:r w:rsidR="00676FDB">
                <w:rPr>
                  <w:rStyle w:val="Hyperlink"/>
                </w:rPr>
                <w:t>ftp://ftp.cen.eu/public/CWAs/BII2/CWA16558/CWA16558-Annex-C-BII-Guideline-ConformanceAndCustomizations-V1_0_0.pdf</w:t>
              </w:r>
            </w:hyperlink>
          </w:p>
        </w:tc>
      </w:tr>
      <w:tr w:rsidR="00676FDB" w:rsidRPr="0082373C" w:rsidTr="00315B04">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2B7FCC" w:rsidP="00DA779F">
            <w:hyperlink r:id="rId25" w:history="1">
              <w:r w:rsidR="00676FDB" w:rsidRPr="0082373C">
                <w:rPr>
                  <w:rStyle w:val="Hyperlink"/>
                </w:rPr>
                <w:t>http://www.iso.org/iso/iso_catalogue/catalogue_tc/catalogue_detail.htm?csnumber=51284</w:t>
              </w:r>
            </w:hyperlink>
          </w:p>
          <w:p w:rsidR="00676FDB" w:rsidRPr="0082373C" w:rsidRDefault="002B7FCC" w:rsidP="00DA779F">
            <w:hyperlink r:id="rId26" w:history="1">
              <w:r w:rsidR="00676FDB" w:rsidRPr="0082373C">
                <w:rPr>
                  <w:rStyle w:val="Hyperlink"/>
                </w:rPr>
                <w:t>http://www.iso.org/iso/iso_catalogue/catalogue_tc/catalogue_detail.htm?csnumber=43349</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[ISO 9735 Service Code List (0007)]</w:t>
            </w:r>
          </w:p>
        </w:tc>
        <w:tc>
          <w:tcPr>
            <w:tcW w:w="3763" w:type="pct"/>
            <w:shd w:val="clear" w:color="auto" w:fill="auto"/>
          </w:tcPr>
          <w:p w:rsidR="00676FDB" w:rsidRPr="007852AB" w:rsidRDefault="002B7FCC" w:rsidP="007852AB">
            <w:pPr>
              <w:ind w:right="-143"/>
              <w:rPr>
                <w:iCs/>
              </w:rPr>
            </w:pPr>
            <w:hyperlink r:id="rId27" w:history="1">
              <w:r w:rsidR="00676FDB" w:rsidRPr="007852AB">
                <w:rPr>
                  <w:rStyle w:val="Hyperlink"/>
                  <w:iCs/>
                </w:rPr>
                <w:t>http://www.gefeg.com/jswg/cl/v41/40107/cl3.htm</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2B7FCC" w:rsidP="007852AB">
            <w:pPr>
              <w:ind w:right="-143"/>
              <w:rPr>
                <w:iCs/>
              </w:rPr>
            </w:pPr>
            <w:hyperlink r:id="rId28" w:history="1">
              <w:r w:rsidR="00676FDB" w:rsidRPr="007852AB">
                <w:rPr>
                  <w:rStyle w:val="Hyperlink"/>
                  <w:iCs/>
                </w:rPr>
                <w:t>http://www.iso.org/iso/catalogue_detail?csnumber=25773</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2B7FCC" w:rsidP="00E15FB4">
            <w:hyperlink r:id="rId29" w:history="1">
              <w:r w:rsidR="00676FDB" w:rsidRPr="00471731">
                <w:rPr>
                  <w:rStyle w:val="Hyperlink"/>
                </w:rPr>
                <w:t>http://docs.oasis-open.org/ubl/os-UBL-2.1/UBL-2.1.html</w:t>
              </w:r>
            </w:hyperlink>
          </w:p>
          <w:p w:rsidR="00676FDB" w:rsidRDefault="002B7FCC" w:rsidP="00E15FB4">
            <w:hyperlink r:id="rId30" w:history="1">
              <w:r w:rsidR="00676FDB" w:rsidRPr="00E15FB4">
                <w:rPr>
                  <w:rStyle w:val="Hyperlink"/>
                </w:rPr>
                <w:t>http://docs.oasis-open.org/ubl/os-UBL-2.1/UBL-2.1.zip</w:t>
              </w:r>
            </w:hyperlink>
          </w:p>
        </w:tc>
      </w:tr>
      <w:tr w:rsidR="00E15FB4" w:rsidRPr="0082373C" w:rsidTr="00315B04">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2B7FCC" w:rsidP="00E15FB4">
            <w:hyperlink r:id="rId31" w:history="1">
              <w:r w:rsidR="00E15FB4" w:rsidRPr="009F0AE3">
                <w:rPr>
                  <w:rStyle w:val="Hyperlink"/>
                </w:rPr>
                <w:t>http://docs.oasis-open.org/ubl/os-UBL-2.2/UBL-2.2.html</w:t>
              </w:r>
            </w:hyperlink>
          </w:p>
          <w:p w:rsidR="00E15FB4" w:rsidRDefault="002B7FCC" w:rsidP="00E15FB4">
            <w:hyperlink r:id="rId32" w:history="1">
              <w:r w:rsidR="00E15FB4" w:rsidRPr="009F0AE3">
                <w:rPr>
                  <w:rStyle w:val="Hyperlink"/>
                </w:rPr>
                <w:t>http://docs.oasis-open.org/ubl/os-UBL-2.2/UBL-2.2.zip</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[OASIS ebCore]</w:t>
            </w:r>
          </w:p>
        </w:tc>
        <w:tc>
          <w:tcPr>
            <w:tcW w:w="3763" w:type="pct"/>
            <w:shd w:val="clear" w:color="auto" w:fill="auto"/>
          </w:tcPr>
          <w:p w:rsidR="00676FDB" w:rsidRPr="007852AB" w:rsidRDefault="002B7FCC" w:rsidP="007852AB">
            <w:pPr>
              <w:ind w:right="-143"/>
              <w:rPr>
                <w:iCs/>
              </w:rPr>
            </w:pPr>
            <w:hyperlink r:id="rId33" w:history="1">
              <w:r w:rsidR="00676FDB" w:rsidRPr="007852AB">
                <w:rPr>
                  <w:rStyle w:val="Hyperlink"/>
                  <w:iCs/>
                </w:rPr>
                <w:t>http://docs.oasis-open.org/ebcore/PartyIdType/v1.0/CD03/PartyIdType-1.0.html</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2B7FCC" w:rsidP="007852AB">
            <w:pPr>
              <w:ind w:right="-143"/>
              <w:rPr>
                <w:iCs/>
              </w:rPr>
            </w:pPr>
            <w:hyperlink r:id="rId34" w:history="1">
              <w:r w:rsidR="00676FDB" w:rsidRPr="007852AB">
                <w:rPr>
                  <w:rStyle w:val="Hyperlink"/>
                  <w:iCs/>
                </w:rPr>
                <w:t>http://www.unece.org/cefact/</w:t>
              </w:r>
            </w:hyperlink>
          </w:p>
        </w:tc>
      </w:tr>
    </w:tbl>
    <w:p w:rsidR="00F00D52" w:rsidRPr="00E15FB4" w:rsidRDefault="002279CE" w:rsidP="00E15FB4">
      <w:pPr>
        <w:pStyle w:val="berschrift1"/>
      </w:pPr>
      <w:bookmarkStart w:id="17" w:name="_Toc526783334"/>
      <w:r w:rsidRPr="00E15FB4">
        <w:lastRenderedPageBreak/>
        <w:t>Introduction</w:t>
      </w:r>
      <w:bookmarkEnd w:id="10"/>
      <w:r w:rsidR="00483A49" w:rsidRPr="00E15FB4">
        <w:t xml:space="preserve"> to </w:t>
      </w:r>
      <w:r w:rsidR="00264E53" w:rsidRPr="00E15FB4">
        <w:t>identifiers</w:t>
      </w:r>
      <w:bookmarkEnd w:id="17"/>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18" w:name="_Toc316247563"/>
      <w:bookmarkStart w:id="19" w:name="_Toc526783335"/>
      <w:r w:rsidRPr="00E15FB4">
        <w:t>Scope</w:t>
      </w:r>
      <w:bookmarkEnd w:id="18"/>
      <w:bookmarkEnd w:id="19"/>
    </w:p>
    <w:p w:rsidR="00E17B9D" w:rsidRPr="00E15FB4" w:rsidRDefault="00F15C7D" w:rsidP="00E15FB4">
      <w:pPr>
        <w:pStyle w:val="berschrift3"/>
      </w:pPr>
      <w:bookmarkStart w:id="20" w:name="_Toc526783336"/>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20"/>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2B4F3B" w:rsidRPr="001F4312">
        <w:t>equates</w:t>
      </w:r>
      <w:r w:rsidRPr="001F4312">
        <w:t xml:space="preserve"> to the re</w:t>
      </w:r>
      <w:r w:rsidR="004B2E35">
        <w:t xml:space="preserve">ceiver Participant in the SMP. </w:t>
      </w:r>
      <w:r w:rsidR="006D5DB3" w:rsidRPr="001F4312">
        <w:t xml:space="preserve">But neither of these are a reliable rule. </w:t>
      </w:r>
      <w:r w:rsidR="002B4F3B" w:rsidRPr="001F4312">
        <w:t>BII profiles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21" w:name="_Toc526783337"/>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21"/>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They (or their Access Point provider) achieve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address </w:t>
      </w:r>
      <w:r w:rsidR="006D5DB3" w:rsidRPr="001F4312">
        <w:t xml:space="preserve">(NB. not the same as the Endpoint ID in the business document)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address is the </w:t>
      </w:r>
      <w:r w:rsidR="006D5DB3" w:rsidRPr="001F4312">
        <w:t xml:space="preserve">service address where </w:t>
      </w:r>
      <w:r w:rsidR="00F3218D" w:rsidRPr="001F4312">
        <w:t xml:space="preserve">the document </w:t>
      </w:r>
      <w:r w:rsidR="00605A0C" w:rsidRPr="001F4312">
        <w:t>is accepted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14:anchorId="30396AC8" wp14:editId="25C248A9">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EA5B88" w:rsidP="00EA5B88">
      <w:pPr>
        <w:pStyle w:val="berschrift2"/>
      </w:pPr>
      <w:bookmarkStart w:id="22" w:name="_Toc526783338"/>
      <w:r>
        <w:t>Glossary</w:t>
      </w:r>
      <w:bookmarkEnd w:id="22"/>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Pr="00EA5B88" w:rsidRDefault="00EA5B88" w:rsidP="00EA5B88">
      <w:pPr>
        <w:pStyle w:val="Listenabsatz"/>
        <w:numPr>
          <w:ilvl w:val="0"/>
          <w:numId w:val="13"/>
        </w:numPr>
      </w:pPr>
      <w:r>
        <w:t>Transport profile identification</w:t>
      </w:r>
    </w:p>
    <w:p w:rsidR="00EA5B88" w:rsidRPr="001F4312" w:rsidRDefault="00A07665" w:rsidP="00EA5B88">
      <w:pPr>
        <w:pStyle w:val="PolicyHeader"/>
      </w:pPr>
      <w:bookmarkStart w:id="23" w:name="_Toc526783339"/>
      <w:r>
        <w:t>Usage</w:t>
      </w:r>
      <w:r w:rsidR="00EA5B88" w:rsidRPr="001F4312">
        <w:t xml:space="preserve"> of ISO15459</w:t>
      </w:r>
      <w:bookmarkEnd w:id="23"/>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Pr="001F4312">
        <w:t>and numeric digits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lastRenderedPageBreak/>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Applies to: all identifiers in all PEPPOL components</w:t>
      </w:r>
    </w:p>
    <w:p w:rsidR="00176B14" w:rsidRDefault="00852006" w:rsidP="00176B14">
      <w:pPr>
        <w:pStyle w:val="PolicyHeader"/>
      </w:pPr>
      <w:bookmarkStart w:id="24" w:name="_Ref317443390"/>
      <w:bookmarkStart w:id="25" w:name="_Ref317443546"/>
      <w:bookmarkStart w:id="26" w:name="_Ref317490234"/>
      <w:bookmarkStart w:id="27" w:name="_Toc526783340"/>
      <w:r>
        <w:t>I</w:t>
      </w:r>
      <w:r w:rsidR="00176B14">
        <w:t xml:space="preserve">dentifier </w:t>
      </w:r>
      <w:r>
        <w:t>V</w:t>
      </w:r>
      <w:r w:rsidR="00176B14">
        <w:t>alue casing</w:t>
      </w:r>
      <w:bookmarkEnd w:id="24"/>
      <w:bookmarkEnd w:id="25"/>
      <w:bookmarkEnd w:id="26"/>
      <w:bookmarkEnd w:id="27"/>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fldChar w:fldCharType="begin"/>
      </w:r>
      <w:r>
        <w:instrText xml:space="preserve"> REF _Ref282443957 \r \h </w:instrText>
      </w:r>
      <w:r>
        <w:fldChar w:fldCharType="separate"/>
      </w:r>
      <w:r w:rsidR="00E16E4D">
        <w:t>POLICY 5</w:t>
      </w:r>
      <w:r>
        <w:fldChar w:fldCharType="end"/>
      </w:r>
      <w:r>
        <w:t xml:space="preserve">, </w:t>
      </w:r>
      <w:r>
        <w:fldChar w:fldCharType="begin"/>
      </w:r>
      <w:r>
        <w:instrText xml:space="preserve"> REF _Ref282436422 \r \h </w:instrText>
      </w:r>
      <w:r>
        <w:fldChar w:fldCharType="separate"/>
      </w:r>
      <w:r w:rsidR="00E16E4D">
        <w:t>POLICY 13</w:t>
      </w:r>
      <w:r>
        <w:fldChar w:fldCharType="end"/>
      </w:r>
      <w:r>
        <w:t xml:space="preserve"> and </w:t>
      </w:r>
      <w:r>
        <w:fldChar w:fldCharType="begin"/>
      </w:r>
      <w:r>
        <w:instrText xml:space="preserve"> REF _Ref281927369 \r \h </w:instrText>
      </w:r>
      <w:r>
        <w:fldChar w:fldCharType="separate"/>
      </w:r>
      <w:r w:rsidR="00E16E4D">
        <w:t>POLICY 19</w:t>
      </w:r>
      <w:r>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“0088:abc” is equal to “0088:ABc”</w:t>
      </w:r>
    </w:p>
    <w:p w:rsidR="00176B14" w:rsidRDefault="0016744F" w:rsidP="00176B14">
      <w:r>
        <w:t>Participant I</w:t>
      </w:r>
      <w:r w:rsidR="00176B14">
        <w:t>dentifier value “0088:abc”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r>
        <w:t xml:space="preserve">is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r>
        <w:t xml:space="preserve">is NOT equal to </w:t>
      </w:r>
    </w:p>
    <w:p w:rsidR="00176B14" w:rsidRDefault="00900D47" w:rsidP="00ED2957">
      <w:pPr>
        <w:pStyle w:val="Code"/>
        <w:shd w:val="clear" w:color="auto" w:fill="FFFFFF"/>
        <w:ind w:left="567"/>
      </w:pPr>
      <w:r w:rsidRPr="00900D47">
        <w:lastRenderedPageBreak/>
        <w:t>URN:FDC:PEPPOL.EU:2017:POACC:BILLING:01:1.0</w:t>
      </w:r>
    </w:p>
    <w:p w:rsidR="00244367" w:rsidRDefault="00244367" w:rsidP="00244367">
      <w:pPr>
        <w:pStyle w:val="berschrift2"/>
      </w:pPr>
      <w:bookmarkStart w:id="28" w:name="_Toc526783341"/>
      <w:r>
        <w:t>Participant vs. Party Identification</w:t>
      </w:r>
      <w:bookmarkEnd w:id="28"/>
    </w:p>
    <w:p w:rsidR="00244367" w:rsidRPr="001F4312" w:rsidRDefault="00244367" w:rsidP="00244367">
      <w:r w:rsidRPr="001F4312">
        <w:t>The following aspects are addressed in th</w:t>
      </w:r>
      <w:r>
        <w:t>is document</w:t>
      </w:r>
      <w:r>
        <w:t>:</w:t>
      </w:r>
    </w:p>
    <w:p w:rsidR="00244367" w:rsidRPr="001F4312" w:rsidRDefault="00244367" w:rsidP="00244367">
      <w:pPr>
        <w:numPr>
          <w:ilvl w:val="0"/>
          <w:numId w:val="2"/>
        </w:numPr>
        <w:ind w:left="708"/>
      </w:pPr>
      <w:r w:rsidRPr="001F4312">
        <w:t xml:space="preserve">The PEPPOL code list of Party Identification schemes used in </w:t>
      </w:r>
      <w:r>
        <w:t>PEPPOL</w:t>
      </w:r>
      <w:r w:rsidRPr="001F4312">
        <w:t xml:space="preserve"> </w:t>
      </w:r>
      <w:r>
        <w:t xml:space="preserve">BIS instance </w:t>
      </w:r>
      <w:r w:rsidRPr="001F4312">
        <w:t>documents.</w:t>
      </w:r>
    </w:p>
    <w:p w:rsidR="00244367" w:rsidRDefault="00244367" w:rsidP="00244367">
      <w:pPr>
        <w:numPr>
          <w:ilvl w:val="0"/>
          <w:numId w:val="2"/>
        </w:numPr>
        <w:ind w:left="708"/>
      </w:pPr>
      <w:r w:rsidRPr="001F4312">
        <w:t>The PEPPOL code list of Participant Identification schemes used in metadata</w:t>
      </w:r>
      <w:r>
        <w:t xml:space="preserve"> as well as in PEPPOL</w:t>
      </w:r>
      <w:r w:rsidRPr="001F4312">
        <w:t xml:space="preserve"> </w:t>
      </w:r>
      <w:r>
        <w:t xml:space="preserve">BIS instance </w:t>
      </w:r>
      <w:r w:rsidRPr="001F4312">
        <w:t>documents</w:t>
      </w:r>
      <w:r>
        <w:t>.</w:t>
      </w:r>
    </w:p>
    <w:p w:rsidR="00244367" w:rsidRPr="001F4312" w:rsidRDefault="00244367" w:rsidP="00244367">
      <w:r w:rsidRPr="001F4312">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6"/>
      </w:r>
      <w:r w:rsidRPr="001F4312">
        <w:t xml:space="preserve"> for unique identifiers. This requires defining a controlled set of </w:t>
      </w:r>
      <w:r>
        <w:t>“</w:t>
      </w:r>
      <w:r w:rsidRPr="001F4312">
        <w:t>Issuing Agency Codes</w:t>
      </w:r>
      <w:r>
        <w:t>”</w:t>
      </w:r>
      <w:r w:rsidRPr="001F4312">
        <w:rPr>
          <w:rStyle w:val="Funotenzeichen"/>
        </w:rPr>
        <w:footnoteReference w:id="7"/>
      </w:r>
      <w:r w:rsidRPr="001F4312">
        <w:t xml:space="preserve"> for identification schemes (also known as </w:t>
      </w:r>
      <w:r>
        <w:t>“</w:t>
      </w:r>
      <w:r w:rsidRPr="001F4312">
        <w:t>party identifier types</w:t>
      </w:r>
      <w:r>
        <w:t>”</w:t>
      </w:r>
      <w:r w:rsidRPr="001F4312">
        <w:rPr>
          <w:rStyle w:val="Funotenzeichen"/>
        </w:rPr>
        <w:footnoteReference w:id="8"/>
      </w:r>
      <w:r w:rsidRPr="001F4312">
        <w:t xml:space="preserve"> or </w:t>
      </w:r>
      <w:r>
        <w:t>“</w:t>
      </w:r>
      <w:r w:rsidRPr="001F4312">
        <w:t>Identification code qualifier</w:t>
      </w:r>
      <w:r>
        <w:t>”</w:t>
      </w:r>
      <w:r w:rsidRPr="001F4312">
        <w:rPr>
          <w:rStyle w:val="Funotenzeichen"/>
        </w:rPr>
        <w:footnoteReference w:id="9"/>
      </w:r>
      <w:r w:rsidRPr="001F4312">
        <w:t xml:space="preserve"> or </w:t>
      </w:r>
      <w:r>
        <w:t>“</w:t>
      </w:r>
      <w:r w:rsidRPr="001F4312">
        <w:t>International Code Designators</w:t>
      </w:r>
      <w:r>
        <w:t>”</w:t>
      </w:r>
      <w:r w:rsidRPr="001F4312">
        <w:rPr>
          <w:rStyle w:val="Funotenzeichen"/>
        </w:rPr>
        <w:footnoteReference w:id="10"/>
      </w:r>
      <w:r w:rsidRPr="001F4312">
        <w:t xml:space="preserve"> or </w:t>
      </w:r>
      <w:r>
        <w:t>“</w:t>
      </w:r>
      <w:r w:rsidRPr="001F4312">
        <w:t>Party ID Type</w:t>
      </w:r>
      <w:r>
        <w:t>”</w:t>
      </w:r>
      <w:r w:rsidRPr="001F4312">
        <w:rPr>
          <w:rStyle w:val="Funotenzeichen"/>
        </w:rPr>
        <w:footnoteReference w:id="11"/>
      </w:r>
      <w:r w:rsidRPr="001F4312">
        <w:t>) required by PEPPOL implementations.</w:t>
      </w:r>
    </w:p>
    <w:p w:rsidR="00244367" w:rsidRPr="001F4312" w:rsidRDefault="00244367" w:rsidP="00244367">
      <w:r w:rsidRPr="001F4312">
        <w:t>Each PEPPOL Party identifier to be used in the federated system is a combination of the Issuing Agency Code and the value given by the Issuing Agency.</w:t>
      </w:r>
    </w:p>
    <w:p w:rsidR="00244367" w:rsidRPr="001923A4" w:rsidRDefault="00244367" w:rsidP="00244367">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244367" w:rsidRDefault="00244367" w:rsidP="00244367">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244367" w:rsidRPr="006132BB" w:rsidRDefault="00244367" w:rsidP="00244367">
      <w:r w:rsidRPr="006132BB">
        <w:t>This section defines the policies for the formatting and the population of values for Party Identifiers used by PEPPOL.</w:t>
      </w:r>
    </w:p>
    <w:p w:rsidR="00244367" w:rsidRPr="00244367" w:rsidRDefault="00244367" w:rsidP="00244367">
      <w:r w:rsidRPr="00244367">
        <w:t xml:space="preserve">It should be pointed out here that this policy covers only use of UBL document’s </w:t>
      </w:r>
      <w:r w:rsidRPr="00244367">
        <w:rPr>
          <w:rFonts w:ascii="Courier New" w:hAnsi="Courier New" w:cs="Courier New"/>
        </w:rPr>
        <w:t>Party/PartyIdentification/ID</w:t>
      </w:r>
      <w:r w:rsidRPr="00244367">
        <w:t xml:space="preserve"> and </w:t>
      </w:r>
      <w:r w:rsidRPr="00244367">
        <w:rPr>
          <w:rFonts w:ascii="Courier New" w:hAnsi="Courier New" w:cs="Courier New"/>
        </w:rPr>
        <w:t>Party/EndpointID</w:t>
      </w:r>
      <w:r w:rsidRPr="00244367">
        <w:t xml:space="preserve">. Other party </w:t>
      </w:r>
      <w:r w:rsidRPr="00244367">
        <w:t xml:space="preserve">or participant </w:t>
      </w:r>
      <w:r w:rsidRPr="00244367">
        <w:t>identifiers within UBL documents are out of scope</w:t>
      </w:r>
      <w:r w:rsidRPr="00244367">
        <w:t xml:space="preserve"> for this policy</w:t>
      </w:r>
      <w:r w:rsidRPr="00244367">
        <w:t xml:space="preserve">. </w:t>
      </w:r>
    </w:p>
    <w:p w:rsidR="00FA528F" w:rsidRDefault="00D11EA7" w:rsidP="00E15FB4">
      <w:pPr>
        <w:pStyle w:val="berschrift1"/>
      </w:pPr>
      <w:bookmarkStart w:id="29" w:name="_Toc316247564"/>
      <w:bookmarkStart w:id="30" w:name="_Toc526783342"/>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29"/>
      <w:bookmarkEnd w:id="30"/>
    </w:p>
    <w:p w:rsidR="00244367" w:rsidRPr="00244367" w:rsidRDefault="00244367" w:rsidP="00244367">
      <w:pPr>
        <w:rPr>
          <w:lang w:eastAsia="it-IT"/>
        </w:rPr>
      </w:pPr>
      <w:r>
        <w:rPr>
          <w:lang w:eastAsia="it-IT"/>
        </w:rPr>
        <w:t>Par</w:t>
      </w:r>
      <w:r>
        <w:rPr>
          <w:lang w:eastAsia="it-IT"/>
        </w:rPr>
        <w:t>ticipant</w:t>
      </w:r>
      <w:r w:rsidR="001F705E">
        <w:rPr>
          <w:lang w:eastAsia="it-IT"/>
        </w:rPr>
        <w:t xml:space="preserve"> identifiers relate</w:t>
      </w:r>
      <w:r>
        <w:rPr>
          <w:lang w:eastAsia="it-IT"/>
        </w:rPr>
        <w:t xml:space="preserve"> to </w:t>
      </w:r>
      <w:r>
        <w:rPr>
          <w:lang w:eastAsia="it-IT"/>
        </w:rPr>
        <w:t>technical</w:t>
      </w:r>
      <w:r>
        <w:rPr>
          <w:lang w:eastAsia="it-IT"/>
        </w:rPr>
        <w:t xml:space="preserve"> entities and </w:t>
      </w:r>
      <w:r>
        <w:rPr>
          <w:lang w:eastAsia="it-IT"/>
        </w:rPr>
        <w:t>are</w:t>
      </w:r>
      <w:r>
        <w:rPr>
          <w:lang w:eastAsia="it-IT"/>
        </w:rPr>
        <w:t xml:space="preserve"> used </w:t>
      </w:r>
      <w:r>
        <w:rPr>
          <w:lang w:eastAsia="it-IT"/>
        </w:rPr>
        <w:t xml:space="preserve">in transport level document as well as </w:t>
      </w:r>
      <w:r>
        <w:rPr>
          <w:lang w:eastAsia="it-IT"/>
        </w:rPr>
        <w:t>in business documents.</w:t>
      </w:r>
    </w:p>
    <w:p w:rsidR="00112E79" w:rsidRPr="00E15FB4" w:rsidRDefault="009F57D9" w:rsidP="00E15FB4">
      <w:pPr>
        <w:pStyle w:val="berschrift2"/>
      </w:pPr>
      <w:bookmarkStart w:id="31" w:name="_Toc316247565"/>
      <w:bookmarkStart w:id="32" w:name="_Toc526783343"/>
      <w:r w:rsidRPr="00E15FB4">
        <w:t>Format</w:t>
      </w:r>
      <w:bookmarkEnd w:id="31"/>
      <w:bookmarkEnd w:id="32"/>
    </w:p>
    <w:p w:rsidR="009858FE" w:rsidRPr="001F4312" w:rsidRDefault="00335DC4" w:rsidP="001F4312">
      <w:pPr>
        <w:pStyle w:val="PolicyHeader"/>
      </w:pPr>
      <w:bookmarkStart w:id="33" w:name="_Toc526783344"/>
      <w:r w:rsidRPr="001F4312">
        <w:t xml:space="preserve">Use of </w:t>
      </w:r>
      <w:r w:rsidR="00F46B3F" w:rsidRPr="001F4312">
        <w:t>ISO15459</w:t>
      </w:r>
      <w:r w:rsidR="00D326D2" w:rsidRPr="001F4312">
        <w:t xml:space="preserve"> structure</w:t>
      </w:r>
      <w:bookmarkEnd w:id="33"/>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34" w:name="_Ref282382537"/>
      <w:bookmarkStart w:id="35" w:name="_Ref288664968"/>
      <w:bookmarkStart w:id="36" w:name="_Ref288665016"/>
      <w:r>
        <w:t xml:space="preserve">Applies to: all Participant </w:t>
      </w:r>
      <w:r w:rsidR="006132BB">
        <w:t xml:space="preserve">identifiers in all </w:t>
      </w:r>
      <w:r>
        <w:t xml:space="preserve">PEPPOL </w:t>
      </w:r>
      <w:r w:rsidR="006132BB">
        <w:t>components</w:t>
      </w:r>
    </w:p>
    <w:bookmarkEnd w:id="34"/>
    <w:bookmarkEnd w:id="35"/>
    <w:bookmarkEnd w:id="36"/>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[PEPPOL_CodeList]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37" w:name="_Toc526783345"/>
      <w:r w:rsidRPr="001F4312">
        <w:t xml:space="preserve">Coding of </w:t>
      </w:r>
      <w:r w:rsidR="00A727BA">
        <w:t>Identifier Schemes</w:t>
      </w:r>
      <w:bookmarkEnd w:id="37"/>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[PEPPOL_CodeList]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r w:rsidR="00B61A2A" w:rsidRPr="001407A3">
        <w:t xml:space="preserve"> </w:t>
      </w:r>
      <w:r w:rsidR="00E371C2" w:rsidRPr="001407A3">
        <w:t xml:space="preserve">This maintenance is necessary because </w:t>
      </w:r>
      <w:r w:rsidR="001C032A">
        <w:t>CEF did not yet publish a list for usage in EN 16931.</w:t>
      </w:r>
    </w:p>
    <w:p w:rsidR="00DA409B" w:rsidRPr="006132BB" w:rsidRDefault="00867E11" w:rsidP="006132BB">
      <w:bookmarkStart w:id="38"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39" w:name="_Toc526783346"/>
      <w:r>
        <w:t>Identifier Scheme</w:t>
      </w:r>
      <w:r w:rsidR="00963991" w:rsidRPr="00E15FB4">
        <w:t xml:space="preserve"> </w:t>
      </w:r>
      <w:r w:rsidR="008963EC">
        <w:t>v</w:t>
      </w:r>
      <w:r w:rsidR="009F57D9" w:rsidRPr="00E15FB4">
        <w:t>alues</w:t>
      </w:r>
      <w:bookmarkEnd w:id="38"/>
      <w:bookmarkEnd w:id="39"/>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2"/>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3"/>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40" w:name="_Ref282443957"/>
      <w:bookmarkStart w:id="41" w:name="_Toc526783347"/>
      <w:r>
        <w:t>P</w:t>
      </w:r>
      <w:r w:rsidR="00987E82">
        <w:t xml:space="preserve">articipant </w:t>
      </w:r>
      <w:r>
        <w:t>I</w:t>
      </w:r>
      <w:r w:rsidR="00031029">
        <w:t xml:space="preserve">dentifier </w:t>
      </w:r>
      <w:r w:rsidR="002D29A3">
        <w:t xml:space="preserve">Meta </w:t>
      </w:r>
      <w:r w:rsidR="00BD30B4">
        <w:t>S</w:t>
      </w:r>
      <w:r w:rsidR="00031029">
        <w:t>cheme</w:t>
      </w:r>
      <w:bookmarkEnd w:id="40"/>
      <w:bookmarkEnd w:id="41"/>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3C7500">
        <w:fldChar w:fldCharType="begin"/>
      </w:r>
      <w:r w:rsidR="00C7372E">
        <w:instrText xml:space="preserve"> REF _Ref317443390 \r \h </w:instrText>
      </w:r>
      <w:r w:rsidR="003C7500">
        <w:fldChar w:fldCharType="separate"/>
      </w:r>
      <w:r w:rsidR="00E16E4D">
        <w:t>POLICY 2</w:t>
      </w:r>
      <w:r w:rsidR="003C7500">
        <w:fldChar w:fldCharType="end"/>
      </w:r>
      <w:r w:rsidR="00C7372E">
        <w:t>)</w:t>
      </w:r>
      <w:r w:rsidR="00786ED5">
        <w:t>.</w:t>
      </w:r>
    </w:p>
    <w:p w:rsidR="00567012" w:rsidRDefault="00567012" w:rsidP="00DA409B">
      <w:r w:rsidRPr="00567012">
        <w:t xml:space="preserve">Note: the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42" w:name="_Ref526773555"/>
      <w:bookmarkStart w:id="43" w:name="_Toc526783348"/>
      <w:r w:rsidRPr="00031029">
        <w:t xml:space="preserve">Numeric Codes for </w:t>
      </w:r>
      <w:bookmarkEnd w:id="42"/>
      <w:r w:rsidR="00CD2FB6">
        <w:t>Identifier Schemes</w:t>
      </w:r>
      <w:bookmarkEnd w:id="43"/>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4"/>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[PEPPOL_CodeList].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rsidR="007E22AC" w:rsidRDefault="007E22AC" w:rsidP="007E22AC">
      <w:pPr>
        <w:pStyle w:val="PolicyHeader"/>
      </w:pPr>
      <w:bookmarkStart w:id="44" w:name="_Toc526783349"/>
      <w:r>
        <w:t>Participant Identifiers for DNS</w:t>
      </w:r>
      <w:bookmarkEnd w:id="44"/>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E22AC" w:rsidRPr="00B7135A" w:rsidTr="0017603A">
        <w:tc>
          <w:tcPr>
            <w:tcW w:w="1668" w:type="dxa"/>
          </w:tcPr>
          <w:p w:rsidR="007E22AC" w:rsidRPr="00B7135A" w:rsidRDefault="007E22AC" w:rsidP="0017603A">
            <w:r w:rsidRPr="00B7135A">
              <w:t>&lt;hash-of-value&gt;</w:t>
            </w:r>
          </w:p>
        </w:tc>
        <w:tc>
          <w:tcPr>
            <w:tcW w:w="7618" w:type="dxa"/>
          </w:tcPr>
          <w:p w:rsidR="007E22AC" w:rsidRDefault="007E22AC" w:rsidP="0017603A">
            <w:r>
              <w:t>I</w:t>
            </w:r>
            <w:r w:rsidRPr="00B7135A">
              <w:t xml:space="preserve">s the </w:t>
            </w:r>
            <w:r>
              <w:t xml:space="preserve">string representation of the </w:t>
            </w:r>
            <w:r w:rsidRPr="00B7135A">
              <w:t>MD5 hash value, of the lowercased identifier value (e.g. 0088:abc).</w:t>
            </w:r>
          </w:p>
          <w:p w:rsidR="007E22AC" w:rsidRDefault="007E22AC" w:rsidP="0017603A">
            <w:r>
              <w:t xml:space="preserve">The </w:t>
            </w:r>
            <w:r>
              <w:rPr>
                <w:b/>
              </w:rPr>
              <w:t>UTF-8</w:t>
            </w:r>
            <w:r>
              <w:t xml:space="preserve"> charset needs to be used for extracting bytes out of strings for MD5 hash value creation.</w:t>
            </w:r>
          </w:p>
          <w:p w:rsidR="007E22AC" w:rsidRDefault="007E22AC" w:rsidP="0017603A">
            <w:r>
              <w:t xml:space="preserve">Lowercasing must be performed according to the </w:t>
            </w:r>
            <w:r w:rsidRPr="00A0723C">
              <w:rPr>
                <w:b/>
              </w:rPr>
              <w:t>en_US</w:t>
            </w:r>
            <w:r>
              <w:t xml:space="preserve"> locale rules (no special character handling).</w:t>
            </w:r>
          </w:p>
          <w:p w:rsidR="007E22AC" w:rsidRPr="00B7135A" w:rsidRDefault="007E22AC" w:rsidP="0017603A">
            <w:r>
              <w:t xml:space="preserve">Note: it is important, that the MD5 hash value is generated </w:t>
            </w:r>
            <w:r w:rsidRPr="0086227D">
              <w:rPr>
                <w:b/>
              </w:rPr>
              <w:t>after</w:t>
            </w:r>
            <w:r>
              <w:t xml:space="preserve"> the identifier value has been lowercased because according to </w:t>
            </w:r>
            <w:r>
              <w:fldChar w:fldCharType="begin"/>
            </w:r>
            <w:r>
              <w:instrText xml:space="preserve"> REF _Ref317443390 \r \h </w:instrText>
            </w:r>
            <w:r>
              <w:fldChar w:fldCharType="separate"/>
            </w:r>
            <w:r w:rsidR="00E16E4D">
              <w:t>POLICY 2</w:t>
            </w:r>
            <w:r>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17603A">
        <w:tc>
          <w:tcPr>
            <w:tcW w:w="1668" w:type="dxa"/>
          </w:tcPr>
          <w:p w:rsidR="007E22AC" w:rsidRPr="00B7135A" w:rsidRDefault="007E22AC" w:rsidP="0017603A">
            <w:r w:rsidRPr="00B7135A">
              <w:lastRenderedPageBreak/>
              <w:t>&lt;scheme&gt;</w:t>
            </w:r>
          </w:p>
        </w:tc>
        <w:tc>
          <w:tcPr>
            <w:tcW w:w="7618" w:type="dxa"/>
          </w:tcPr>
          <w:p w:rsidR="007E22AC" w:rsidRDefault="007E22AC" w:rsidP="0017603A">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5"/>
            </w:r>
            <w:r>
              <w:t>.</w:t>
            </w:r>
          </w:p>
          <w:p w:rsidR="007E22AC" w:rsidRPr="00B7135A" w:rsidRDefault="007E22AC" w:rsidP="002008EA">
            <w:r>
              <w:t xml:space="preserve">Note: </w:t>
            </w:r>
            <w:r w:rsidR="002008EA">
              <w:rPr>
                <w:iCs/>
              </w:rPr>
              <w:t>[BusdoxDef]</w:t>
            </w:r>
            <w:r>
              <w:t xml:space="preserve"> ensures that the participant identifier schemes are valid DNS name parts by imposing respective restrictions.</w:t>
            </w:r>
          </w:p>
        </w:tc>
      </w:tr>
      <w:tr w:rsidR="007E22AC" w:rsidRPr="00B7135A" w:rsidTr="0017603A">
        <w:tc>
          <w:tcPr>
            <w:tcW w:w="1668" w:type="dxa"/>
          </w:tcPr>
          <w:p w:rsidR="007E22AC" w:rsidRPr="00B7135A" w:rsidRDefault="007E22AC" w:rsidP="0017603A">
            <w:r w:rsidRPr="00B7135A">
              <w:t>&lt;SML-zone-name&gt;</w:t>
            </w:r>
          </w:p>
        </w:tc>
        <w:tc>
          <w:tcPr>
            <w:tcW w:w="7618" w:type="dxa"/>
          </w:tcPr>
          <w:p w:rsidR="007E22AC" w:rsidRDefault="007E22AC" w:rsidP="0017603A">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45" w:name="_Toc526783350"/>
      <w:r w:rsidRPr="009846B9">
        <w:t>XML attributes for Participant Identifiers</w:t>
      </w:r>
      <w:r w:rsidR="00554639" w:rsidRPr="009846B9">
        <w:t xml:space="preserve"> in </w:t>
      </w:r>
      <w:r w:rsidR="00A72582">
        <w:t>SMP responses</w:t>
      </w:r>
      <w:bookmarkEnd w:id="45"/>
    </w:p>
    <w:p w:rsidR="001407A3" w:rsidRDefault="00AD7BA9" w:rsidP="009846B9">
      <w:pPr>
        <w:pStyle w:val="Policy"/>
      </w:pPr>
      <w:r w:rsidRPr="00AD7BA9">
        <w:t xml:space="preserve">The “scheme” attribute must be populated with the value "iso6523-actorid-upis" </w:t>
      </w:r>
      <w:r>
        <w:t xml:space="preserve">(see </w:t>
      </w:r>
      <w:r w:rsidR="003C7500">
        <w:fldChar w:fldCharType="begin"/>
      </w:r>
      <w:r>
        <w:instrText xml:space="preserve"> REF _Ref282443957 \r \h </w:instrText>
      </w:r>
      <w:r w:rsidR="003C7500">
        <w:fldChar w:fldCharType="separate"/>
      </w:r>
      <w:r w:rsidR="00E16E4D">
        <w:t>POLICY 5</w:t>
      </w:r>
      <w:r w:rsidR="003C7500">
        <w:fldChar w:fldCharType="end"/>
      </w:r>
      <w:r>
        <w:t xml:space="preserve">) </w:t>
      </w:r>
      <w:r w:rsidRPr="00AD7BA9">
        <w:t>in all instances of the “ParticipantIdentifier”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Pr="00653E7D">
        <w:rPr>
          <w:rStyle w:val="InlinecodeZchn"/>
        </w:rPr>
        <w:t>4035811991014</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&gt;0088:4035811991014&lt;/ParticipantIdentifier&gt;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542034921</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542034921</w:t>
      </w:r>
      <w:r w:rsidRPr="003F6527">
        <w:t>&lt;/ParticipantIdentifier&gt;</w:t>
      </w:r>
    </w:p>
    <w:p w:rsidR="00DE6D82" w:rsidRPr="002F4FC6" w:rsidRDefault="00DE6D82" w:rsidP="00DE6D82">
      <w:pPr>
        <w:pStyle w:val="PolicyHeader"/>
      </w:pPr>
      <w:bookmarkStart w:id="46" w:name="_Toc526783351"/>
      <w:r w:rsidRPr="002F4FC6">
        <w:t xml:space="preserve">XML attributes for </w:t>
      </w:r>
      <w:r>
        <w:t>EndpointIDs</w:t>
      </w:r>
      <w:r w:rsidRPr="002F4FC6">
        <w:t xml:space="preserve"> in UBL documents</w:t>
      </w:r>
      <w:bookmarkEnd w:id="46"/>
    </w:p>
    <w:p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w:t>
      </w:r>
      <w:r>
        <w:t>element</w:t>
      </w:r>
      <w:r>
        <w:t xml:space="preserve">. </w:t>
      </w:r>
      <w:r w:rsidRPr="00402E6A">
        <w:t xml:space="preserve">The </w:t>
      </w:r>
      <w:r w:rsidR="00CD2FB6">
        <w:t xml:space="preserve">only </w:t>
      </w:r>
      <w:r w:rsidRPr="00402E6A">
        <w:t>valid values are defined in the</w:t>
      </w:r>
      <w:r>
        <w:t xml:space="preserve"> [</w:t>
      </w:r>
      <w:r w:rsidRPr="007852AB">
        <w:rPr>
          <w:bCs/>
          <w:lang w:val="en-US" w:bidi="ne-NP"/>
        </w:rPr>
        <w:t>PEPPOL_</w:t>
      </w:r>
      <w:r>
        <w:rPr>
          <w:bCs/>
          <w:lang w:val="en-US" w:bidi="ne-NP"/>
        </w:rPr>
        <w:t>CodeList]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fldChar w:fldCharType="begin"/>
      </w:r>
      <w:r>
        <w:instrText xml:space="preserve"> REF _Ref526773555 \r \h </w:instrText>
      </w:r>
      <w:r>
        <w:fldChar w:fldCharType="separate"/>
      </w:r>
      <w:r w:rsidR="00E16E4D">
        <w:t>POLICY 6</w:t>
      </w:r>
      <w:r>
        <w:fldChar w:fldCharType="end"/>
      </w:r>
      <w:r>
        <w:t xml:space="preserve"> MAY be used.</w:t>
      </w:r>
    </w:p>
    <w:p w:rsidR="00DE6D82" w:rsidRDefault="00DE6D82" w:rsidP="00DE6D82">
      <w:r>
        <w:t xml:space="preserve">Applies to: </w:t>
      </w:r>
      <w:r>
        <w:t>all business d</w:t>
      </w:r>
      <w:r>
        <w:t>ocument</w:t>
      </w:r>
      <w:r w:rsidR="003F638A">
        <w:t>s</w:t>
      </w:r>
      <w:r>
        <w:t xml:space="preserve"> used in a PEPPOL BIS with UBL syntax mapping</w:t>
      </w:r>
    </w:p>
    <w:p w:rsidR="00DE6D82" w:rsidRPr="003F6527" w:rsidRDefault="00DE6D82" w:rsidP="00DE6D82">
      <w:pPr>
        <w:rPr>
          <w:b/>
          <w:sz w:val="24"/>
        </w:rPr>
      </w:pPr>
      <w:r w:rsidRPr="003F6527">
        <w:rPr>
          <w:b/>
          <w:sz w:val="24"/>
        </w:rPr>
        <w:lastRenderedPageBreak/>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&gt;4035811991014&lt;/cbc:EndpointID&gt;</w:t>
      </w:r>
    </w:p>
    <w:p w:rsidR="00DE6D82" w:rsidRPr="001407A3" w:rsidRDefault="00DE6D82" w:rsidP="00DE6D82">
      <w:pPr>
        <w:pStyle w:val="Code"/>
        <w:shd w:val="clear" w:color="auto" w:fill="FFFFFF"/>
        <w:ind w:left="567"/>
      </w:pPr>
      <w:r w:rsidRPr="001407A3">
        <w:t>&lt;/cac:Party&gt;</w:t>
      </w:r>
    </w:p>
    <w:p w:rsidR="002B7FCC" w:rsidRDefault="002B7FCC" w:rsidP="002B7FCC">
      <w:pPr>
        <w:pStyle w:val="berschrift1"/>
      </w:pPr>
      <w:bookmarkStart w:id="47" w:name="_Toc526783352"/>
      <w:r w:rsidRPr="00E15FB4">
        <w:lastRenderedPageBreak/>
        <w:t xml:space="preserve">Policy for PEPPOL </w:t>
      </w:r>
      <w:r>
        <w:t>Party</w:t>
      </w:r>
      <w:r w:rsidRPr="00E15FB4">
        <w:t xml:space="preserve"> Identification</w:t>
      </w:r>
      <w:bookmarkEnd w:id="47"/>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48" w:name="_Toc526783353"/>
      <w:r w:rsidRPr="00E15FB4">
        <w:t>Format</w:t>
      </w:r>
      <w:bookmarkEnd w:id="48"/>
    </w:p>
    <w:p w:rsidR="001B7239" w:rsidRPr="001F4312" w:rsidRDefault="001B7239" w:rsidP="001B7239">
      <w:pPr>
        <w:pStyle w:val="PolicyHeader"/>
      </w:pPr>
      <w:bookmarkStart w:id="49" w:name="_Toc526783354"/>
      <w:r w:rsidRPr="001F4312">
        <w:t>Use of ISO15459 structure</w:t>
      </w:r>
      <w:bookmarkEnd w:id="49"/>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 xml:space="preserve">Applies to: all </w:t>
      </w:r>
      <w:r>
        <w:t>Party</w:t>
      </w:r>
      <w:r>
        <w:t xml:space="preserve"> identifiers in all PEPPOL components</w:t>
      </w:r>
    </w:p>
    <w:p w:rsidR="001B7239" w:rsidRDefault="001B7239" w:rsidP="001B7239">
      <w:r>
        <w:t xml:space="preserve">Note: the </w:t>
      </w:r>
      <w:r>
        <w:t>Identifier Scheme</w:t>
      </w:r>
      <w:r>
        <w:t xml:space="preserve"> </w:t>
      </w:r>
      <w:r>
        <w:t>MAY</w:t>
      </w:r>
      <w:r>
        <w:t xml:space="preserve"> be omitted if it can be reasoned with</w:t>
      </w:r>
      <w:r>
        <w:t>in</w:t>
      </w:r>
      <w:r>
        <w:t xml:space="preserve"> the context</w:t>
      </w:r>
      <w:r w:rsidR="004B7358">
        <w:rPr>
          <w:rStyle w:val="Funotenzeichen"/>
        </w:rPr>
        <w:footnoteReference w:id="16"/>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50" w:name="_Toc526783355"/>
      <w:r w:rsidRPr="001F4312">
        <w:t xml:space="preserve">Coding of </w:t>
      </w:r>
      <w:r w:rsidR="000B0166">
        <w:t>Identifier Schemes</w:t>
      </w:r>
      <w:bookmarkEnd w:id="50"/>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1356A9" w:rsidRPr="002F4FC6" w:rsidRDefault="001356A9" w:rsidP="002F4FC6">
      <w:pPr>
        <w:pStyle w:val="PolicyHeader"/>
      </w:pPr>
      <w:bookmarkStart w:id="51" w:name="_Toc526783356"/>
      <w:r w:rsidRPr="002F4FC6">
        <w:t>XML attributes for Party Identifiers in UBL document</w:t>
      </w:r>
      <w:r w:rsidR="00A667A7" w:rsidRPr="002F4FC6">
        <w:t>s</w:t>
      </w:r>
      <w:bookmarkEnd w:id="51"/>
    </w:p>
    <w:p w:rsidR="004F5FDD" w:rsidRDefault="00557E8B" w:rsidP="004F5FDD">
      <w:pPr>
        <w:pStyle w:val="Policy"/>
      </w:pPr>
      <w:r>
        <w:t xml:space="preserve">The “schemeID” attribute </w:t>
      </w:r>
      <w:r w:rsidR="004F5FDD">
        <w:t>SHOULD</w:t>
      </w:r>
      <w:r>
        <w:t xml:space="preserve"> be populated in all instances of the “ID” element when used within a “PartyIdentification” </w:t>
      </w:r>
      <w:r w:rsidR="004F5FDD">
        <w:t>element</w:t>
      </w:r>
      <w:r>
        <w:t xml:space="preserve"> when used within a “Party” </w:t>
      </w:r>
      <w:r w:rsidR="004F5FDD">
        <w:t>element</w:t>
      </w:r>
      <w:r>
        <w:t xml:space="preserve">. The </w:t>
      </w:r>
      <w:r w:rsidR="004F5FDD">
        <w:t xml:space="preserve">only </w:t>
      </w:r>
      <w:r>
        <w:t xml:space="preserve">valid values are defined in the [ISO 6523] code list as the numeric </w:t>
      </w:r>
      <w:r w:rsidR="00ED0D30">
        <w:t>“International Code Designator” (</w:t>
      </w:r>
      <w:r>
        <w:t>ICD</w:t>
      </w:r>
      <w:r w:rsidR="00ED0D30">
        <w:t>)</w:t>
      </w:r>
      <w:r>
        <w:t xml:space="preserve"> value.</w:t>
      </w:r>
    </w:p>
    <w:p w:rsidR="00402E6A" w:rsidRPr="002F4FC6" w:rsidRDefault="004F5FDD" w:rsidP="004F5FDD">
      <w:pPr>
        <w:pStyle w:val="Policy"/>
      </w:pPr>
      <w:r>
        <w:t xml:space="preserve">Extended values starting with “99” as indicated by </w:t>
      </w:r>
      <w:r>
        <w:fldChar w:fldCharType="begin"/>
      </w:r>
      <w:r>
        <w:instrText xml:space="preserve"> REF _Ref526773555 \r \h </w:instrText>
      </w:r>
      <w:r>
        <w:fldChar w:fldCharType="separate"/>
      </w:r>
      <w:r w:rsidR="00E16E4D">
        <w:t>POLICY 6</w:t>
      </w:r>
      <w:r>
        <w:fldChar w:fldCharType="end"/>
      </w:r>
      <w:r>
        <w:t xml:space="preserve"> MUST NOT be used.</w:t>
      </w:r>
      <w:r w:rsidR="00557E8B" w:rsidRPr="002F4FC6">
        <w:t xml:space="preserve"> </w:t>
      </w:r>
    </w:p>
    <w:p w:rsidR="007A2F88" w:rsidRDefault="00867E11" w:rsidP="001407A3">
      <w:r>
        <w:t xml:space="preserve">Applies to: </w:t>
      </w:r>
      <w:r w:rsidR="002B7FCC">
        <w:t xml:space="preserve">all business </w:t>
      </w:r>
      <w:r w:rsidR="004F5FDD">
        <w:t>d</w:t>
      </w:r>
      <w:r w:rsidR="00DB77B3">
        <w:t>ocument</w:t>
      </w:r>
      <w:r w:rsidR="002B7FCC">
        <w:t>s</w:t>
      </w:r>
      <w:r w:rsidR="00DB77B3">
        <w:t xml:space="preserve"> </w:t>
      </w:r>
      <w:r>
        <w:t>used in a PEPPOL BIS</w:t>
      </w:r>
      <w:r w:rsidR="00DB77B3">
        <w:t xml:space="preserve"> with UBL syntax mapping</w:t>
      </w:r>
    </w:p>
    <w:p w:rsidR="00597A9E" w:rsidRDefault="00597A9E" w:rsidP="001407A3">
      <w:r>
        <w:t xml:space="preserve">Note: </w:t>
      </w:r>
      <w:r w:rsidR="00BA6A93">
        <w:t>t</w:t>
      </w:r>
      <w:r>
        <w:t>he Party Identification is not involved in a PEPPOL Document Exchange – it is contained for business usage only.</w:t>
      </w:r>
    </w:p>
    <w:p w:rsidR="00597A9E" w:rsidRDefault="00597A9E" w:rsidP="00597A9E">
      <w:pPr>
        <w:rPr>
          <w:b/>
          <w:sz w:val="24"/>
        </w:rPr>
      </w:pPr>
      <w:r w:rsidRPr="003F6527">
        <w:rPr>
          <w:b/>
          <w:sz w:val="24"/>
        </w:rPr>
        <w:t>Example</w:t>
      </w:r>
      <w:r w:rsidR="005C5CE6">
        <w:rPr>
          <w:b/>
          <w:sz w:val="24"/>
        </w:rPr>
        <w:t xml:space="preserve"> 1</w:t>
      </w:r>
      <w:r>
        <w:rPr>
          <w:b/>
          <w:sz w:val="24"/>
        </w:rPr>
        <w:t>:</w:t>
      </w:r>
    </w:p>
    <w:p w:rsidR="00597A9E" w:rsidRDefault="00597A9E" w:rsidP="00597A9E">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00A9149E" w:rsidRPr="00A9149E">
        <w:rPr>
          <w:rStyle w:val="InlinecodeZchn"/>
        </w:rPr>
        <w:t>4035811991014</w:t>
      </w:r>
      <w:r>
        <w:t>.</w:t>
      </w:r>
    </w:p>
    <w:p w:rsidR="00597A9E" w:rsidRPr="003F6527" w:rsidRDefault="00597A9E" w:rsidP="00597A9E">
      <w:pPr>
        <w:pStyle w:val="Code"/>
        <w:shd w:val="clear" w:color="auto" w:fill="FFFFFF"/>
        <w:ind w:left="567"/>
      </w:pPr>
      <w:r w:rsidRPr="003F6527">
        <w:t>&lt;cac:PartyIdentification&gt;</w:t>
      </w:r>
      <w:r w:rsidRPr="003F6527">
        <w:br/>
        <w:t xml:space="preserve">  &lt;cbc:ID schemeID="</w:t>
      </w:r>
      <w:r>
        <w:t>0088</w:t>
      </w:r>
      <w:r w:rsidRPr="003F6527">
        <w:t>"&gt;4035811991014&lt;/cbc:ID&gt;</w:t>
      </w:r>
      <w:r w:rsidRPr="003F6527">
        <w:br/>
        <w:t>&lt;/cac:PartyIdentification&gt;</w:t>
      </w:r>
    </w:p>
    <w:p w:rsidR="005C5CE6" w:rsidRDefault="005C5CE6" w:rsidP="005C5CE6">
      <w:pPr>
        <w:rPr>
          <w:b/>
          <w:sz w:val="24"/>
        </w:rPr>
      </w:pPr>
      <w:r w:rsidRPr="003F6527">
        <w:rPr>
          <w:b/>
          <w:sz w:val="24"/>
        </w:rPr>
        <w:t>Example</w:t>
      </w:r>
      <w:r>
        <w:rPr>
          <w:b/>
          <w:sz w:val="24"/>
        </w:rPr>
        <w:t xml:space="preserve"> 2</w:t>
      </w:r>
      <w:r>
        <w:rPr>
          <w:b/>
          <w:sz w:val="24"/>
        </w:rPr>
        <w:t>:</w:t>
      </w:r>
    </w:p>
    <w:p w:rsidR="00597A9E" w:rsidRDefault="00597A9E" w:rsidP="00597A9E">
      <w:r w:rsidRPr="000431FC">
        <w:t>The following example denote</w:t>
      </w:r>
      <w:r w:rsidR="005C5CE6">
        <w:t>s</w:t>
      </w:r>
      <w:r w:rsidRPr="000431FC">
        <w:t xml:space="preserve"> that </w:t>
      </w:r>
      <w:r w:rsidR="005C5CE6">
        <w:t xml:space="preserve">the </w:t>
      </w:r>
      <w:r>
        <w:t xml:space="preserve">ISO 6523 ICD value is </w:t>
      </w:r>
      <w:r w:rsidRPr="00A9149E">
        <w:rPr>
          <w:rStyle w:val="InlinecodeZchn"/>
        </w:rPr>
        <w:t>0</w:t>
      </w:r>
      <w:r w:rsidR="00B455E2">
        <w:rPr>
          <w:rStyle w:val="InlinecodeZchn"/>
        </w:rPr>
        <w:t>002</w:t>
      </w:r>
      <w:r>
        <w:t xml:space="preserve"> meaning it’s a </w:t>
      </w:r>
      <w:r w:rsidR="00B455E2">
        <w:t xml:space="preserve">French SIRENE </w:t>
      </w:r>
      <w:r>
        <w:t>number with the value of</w:t>
      </w:r>
      <w:r w:rsidRPr="000431FC">
        <w:t xml:space="preserve"> </w:t>
      </w:r>
      <w:r w:rsidR="00B455E2" w:rsidRPr="00B455E2">
        <w:rPr>
          <w:rStyle w:val="InlinecodeZchn"/>
        </w:rPr>
        <w:t>542034921</w:t>
      </w:r>
      <w:r w:rsidRPr="000431FC">
        <w:t>.</w:t>
      </w:r>
    </w:p>
    <w:p w:rsidR="00597A9E" w:rsidRPr="001A5003" w:rsidRDefault="00597A9E" w:rsidP="00597A9E">
      <w:pPr>
        <w:pStyle w:val="Code"/>
        <w:shd w:val="clear" w:color="auto" w:fill="FFFFFF"/>
        <w:ind w:left="567"/>
      </w:pPr>
      <w:r w:rsidRPr="003F6527">
        <w:lastRenderedPageBreak/>
        <w:t>&lt;cac:PartyIdentification&gt;</w:t>
      </w:r>
      <w:r w:rsidRPr="003F6527">
        <w:br/>
        <w:t xml:space="preserve">  &lt;cbc:ID schemeID="</w:t>
      </w:r>
      <w:r>
        <w:t>0</w:t>
      </w:r>
      <w:r w:rsidR="00B455E2">
        <w:t>002</w:t>
      </w:r>
      <w:r w:rsidRPr="003F6527">
        <w:t>"&gt;</w:t>
      </w:r>
      <w:r w:rsidR="00B455E2">
        <w:t>542034921</w:t>
      </w:r>
      <w:r w:rsidRPr="003F6527">
        <w:t>&lt;/cbc:ID&gt;</w:t>
      </w:r>
      <w:r w:rsidRPr="003F6527">
        <w:br/>
        <w:t>&lt;/cac:PartyIdentification&gt;</w:t>
      </w:r>
    </w:p>
    <w:p w:rsidR="00992AEB" w:rsidRPr="00E15FB4" w:rsidRDefault="00235DA3" w:rsidP="00E15FB4">
      <w:pPr>
        <w:pStyle w:val="berschrift1"/>
      </w:pPr>
      <w:bookmarkStart w:id="52" w:name="_Toc316247567"/>
      <w:bookmarkStart w:id="53" w:name="_Toc526783357"/>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52"/>
      <w:bookmarkEnd w:id="53"/>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sidRPr="005576B6">
        <w:rPr>
          <w:iCs/>
        </w:rPr>
        <w:t>]</w:t>
      </w:r>
      <w:r w:rsidR="00F03CDF">
        <w:rPr>
          <w:iCs/>
        </w:rPr>
        <w:t>)</w:t>
      </w:r>
      <w:r>
        <w:t xml:space="preserve">. As outlined in </w:t>
      </w:r>
      <w:r w:rsidR="003C7500">
        <w:fldChar w:fldCharType="begin"/>
      </w:r>
      <w:r w:rsidR="009C67BE">
        <w:instrText xml:space="preserve"> REF _Ref317443546 \r \h </w:instrText>
      </w:r>
      <w:r w:rsidR="003C7500">
        <w:fldChar w:fldCharType="separate"/>
      </w:r>
      <w:r w:rsidR="00E16E4D">
        <w:t>POLICY 2</w:t>
      </w:r>
      <w:r w:rsidR="003C7500">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An identification of the specification containing the total set of rules regarding semantic content, cardinalities and business rules to which the data contained in the instance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54" w:name="_Ref282436422"/>
      <w:bookmarkStart w:id="55" w:name="_Toc526783358"/>
      <w:r>
        <w:t xml:space="preserve">Document </w:t>
      </w:r>
      <w:r w:rsidR="00235DA3">
        <w:t xml:space="preserve">Type </w:t>
      </w:r>
      <w:r>
        <w:t>Identifier scheme</w:t>
      </w:r>
      <w:bookmarkEnd w:id="54"/>
      <w:bookmarkEnd w:id="55"/>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8E4860" w:rsidP="00DA409B">
      <w:bookmarkStart w:id="56"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57" w:name="_Ref317443814"/>
      <w:bookmarkStart w:id="58" w:name="_Toc526783359"/>
      <w:r w:rsidRPr="001638EE">
        <w:t>Customization Identifiers</w:t>
      </w:r>
      <w:bookmarkEnd w:id="56"/>
      <w:bookmarkEnd w:id="57"/>
      <w:bookmarkEnd w:id="58"/>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A Customization Identifier MUST NOT contain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r w:rsidR="00454A55">
        <w:rPr>
          <w:b/>
          <w:sz w:val="24"/>
        </w:rPr>
        <w:t>Billing</w:t>
      </w:r>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59" w:name="_Ref281927294"/>
      <w:bookmarkStart w:id="60" w:name="_Toc526783360"/>
      <w:r w:rsidRPr="001407A3">
        <w:t>Specifying Customization Identifiers in UBL documents</w:t>
      </w:r>
      <w:bookmarkEnd w:id="59"/>
      <w:bookmarkEnd w:id="60"/>
    </w:p>
    <w:p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Billing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FD0153" w:rsidRPr="001407A3" w:rsidRDefault="00D326D2" w:rsidP="001407A3">
      <w:pPr>
        <w:pStyle w:val="PolicyHeader"/>
      </w:pPr>
      <w:bookmarkStart w:id="61" w:name="_Toc526783361"/>
      <w:r w:rsidRPr="001407A3">
        <w:t xml:space="preserve">Document </w:t>
      </w:r>
      <w:r w:rsidR="00235DA3">
        <w:t xml:space="preserve">Type </w:t>
      </w:r>
      <w:r w:rsidRPr="001407A3">
        <w:t>Identifier</w:t>
      </w:r>
      <w:r w:rsidR="00827B5A">
        <w:t xml:space="preserve"> Value </w:t>
      </w:r>
      <w:r w:rsidR="002D08B0">
        <w:t>pattern</w:t>
      </w:r>
      <w:bookmarkEnd w:id="61"/>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r>
        <w:t>syntax specific id</w:t>
      </w:r>
      <w:r w:rsidRPr="006D1F48">
        <w:t>&gt;##&lt;customization id&gt;::&lt;version&gt;</w:t>
      </w:r>
    </w:p>
    <w:p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2008EA" w:rsidRDefault="002008EA" w:rsidP="00DA409B">
      <w:r>
        <w:t xml:space="preserve">Note: for XML based document types, the </w:t>
      </w:r>
      <w:r w:rsidRPr="002008EA">
        <w:rPr>
          <w:rStyle w:val="InlinecodeZchn"/>
        </w:rPr>
        <w:t>&lt;syntax specific id&gt;</w:t>
      </w:r>
      <w:r>
        <w:t xml:space="preserve"> should be </w:t>
      </w:r>
      <w:r w:rsidRPr="001457FF">
        <w:rPr>
          <w:rStyle w:val="InlinecodeZchn"/>
        </w:rPr>
        <w:t>&lt;root NS&gt;::&lt;document element local name&gt;</w:t>
      </w:r>
      <w:r>
        <w:t xml:space="preserve"> according to </w:t>
      </w:r>
      <w:r w:rsidR="001457FF">
        <w:rPr>
          <w:iCs/>
        </w:rPr>
        <w:t>[BusdoxDef]</w:t>
      </w:r>
      <w:r w:rsidR="001457FF">
        <w:rPr>
          <w:iCs/>
        </w:rPr>
        <w:t>.</w:t>
      </w:r>
    </w:p>
    <w:p w:rsidR="002008EA" w:rsidRDefault="002008EA" w:rsidP="00DA409B">
      <w:r>
        <w:t xml:space="preserve">Note: </w:t>
      </w:r>
      <w:r>
        <w:t xml:space="preserve">The combination of </w:t>
      </w:r>
      <w:r w:rsidR="001457FF">
        <w:t>cu</w:t>
      </w:r>
      <w:r>
        <w:t>stomization ID and version is denoted as “</w:t>
      </w:r>
      <w:r w:rsidRPr="00951054">
        <w:t>Subtype identifier</w:t>
      </w:r>
      <w:r>
        <w:t xml:space="preserve">” in </w:t>
      </w:r>
      <w:r w:rsidR="001457FF">
        <w:rPr>
          <w:iCs/>
        </w:rPr>
        <w:t>[BusdoxDef]</w:t>
      </w:r>
      <w:r>
        <w:t xml:space="preserve">. Therefore the URL encoding of these elements has to be done as stated </w:t>
      </w:r>
      <w:r w:rsidR="001457FF">
        <w:t>there</w:t>
      </w:r>
      <w:r>
        <w:t>.</w:t>
      </w:r>
    </w:p>
    <w:p w:rsidR="00547A34" w:rsidRPr="003F6527" w:rsidRDefault="00547A34" w:rsidP="001407A3">
      <w:pPr>
        <w:rPr>
          <w:b/>
          <w:sz w:val="24"/>
        </w:rPr>
      </w:pPr>
      <w:r w:rsidRPr="003F6527">
        <w:rPr>
          <w:b/>
          <w:sz w:val="24"/>
        </w:rPr>
        <w:t>Example</w:t>
      </w:r>
      <w:r w:rsidR="00335EEE">
        <w:rPr>
          <w:b/>
          <w:sz w:val="24"/>
        </w:rPr>
        <w:t xml:space="preserve"> (</w:t>
      </w:r>
      <w:r w:rsidR="00335EEE">
        <w:rPr>
          <w:b/>
          <w:sz w:val="24"/>
        </w:rPr>
        <w:t xml:space="preserve">from </w:t>
      </w:r>
      <w:r w:rsidR="00335EEE">
        <w:rPr>
          <w:b/>
          <w:sz w:val="24"/>
        </w:rPr>
        <w:t>Billing</w:t>
      </w:r>
      <w:r w:rsidR="00335EEE">
        <w:rPr>
          <w:b/>
          <w:sz w:val="24"/>
        </w:rPr>
        <w:t xml:space="preserve"> BIS v</w:t>
      </w:r>
      <w:r w:rsidR="00335EEE">
        <w:rPr>
          <w:b/>
          <w:sz w:val="24"/>
        </w:rPr>
        <w:t>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2362F2" w:rsidRPr="003F6527" w:rsidRDefault="00335EEE" w:rsidP="003F6527">
      <w:pPr>
        <w:pStyle w:val="Code"/>
        <w:shd w:val="clear" w:color="auto" w:fill="FFFFFF"/>
        <w:ind w:left="567"/>
      </w:pPr>
      <w:r w:rsidRPr="00335EEE">
        <w:t>urn:oasis:names:specification:ubl:schema:xsd:Invoice-2::Invoice##urn:cen.eu:en16931:2017#compliant#urn:fdc:peppol.eu:2017:poacc:billing:3.0::2.1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1407A3" w:rsidRPr="002F08C0" w:rsidRDefault="00A9548F" w:rsidP="002F08C0">
            <w:pPr>
              <w:rPr>
                <w:b/>
              </w:rPr>
            </w:pPr>
            <w:r>
              <w:rPr>
                <w:b/>
              </w:rPr>
              <w:t xml:space="preserve">XML </w:t>
            </w:r>
            <w:r w:rsidR="001407A3" w:rsidRPr="002F08C0">
              <w:rPr>
                <w:b/>
              </w:rPr>
              <w:t>Root namespace</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1407A3" w:rsidRPr="002F08C0" w:rsidRDefault="00A9548F" w:rsidP="002F08C0">
            <w:pPr>
              <w:rPr>
                <w:b/>
              </w:rPr>
            </w:pPr>
            <w:r>
              <w:rPr>
                <w:b/>
              </w:rPr>
              <w:t xml:space="preserve">XML </w:t>
            </w:r>
            <w:r w:rsidR="001407A3" w:rsidRPr="002F08C0">
              <w:rPr>
                <w:b/>
              </w:rPr>
              <w:t>Document 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62" w:name="_Toc526783362"/>
      <w:r w:rsidRPr="001407A3">
        <w:t xml:space="preserve">Specifying </w:t>
      </w:r>
      <w:r>
        <w:t>Document</w:t>
      </w:r>
      <w:r w:rsidRPr="001407A3">
        <w:t xml:space="preserve"> </w:t>
      </w:r>
      <w:r w:rsidR="00235DA3">
        <w:t xml:space="preserve">Type </w:t>
      </w:r>
      <w:r w:rsidRPr="001407A3">
        <w:t xml:space="preserve">Identifiers in </w:t>
      </w:r>
      <w:r>
        <w:t>SMP documents</w:t>
      </w:r>
      <w:bookmarkEnd w:id="62"/>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94310A">
        <w:t>busdox</w:t>
      </w:r>
      <w:r>
        <w:t>-</w:t>
      </w:r>
      <w:r w:rsidR="0094310A">
        <w:t>doc</w:t>
      </w:r>
      <w:r>
        <w:t>id-</w:t>
      </w:r>
      <w:r w:rsidR="0094310A">
        <w:t>qns</w:t>
      </w:r>
      <w:r>
        <w:t>” (see</w:t>
      </w:r>
      <w:r w:rsidR="0094310A">
        <w:t xml:space="preserve"> </w:t>
      </w:r>
      <w:r w:rsidR="003C7500">
        <w:fldChar w:fldCharType="begin"/>
      </w:r>
      <w:r w:rsidR="0094310A">
        <w:instrText xml:space="preserve"> REF _Ref282436422 \r \h </w:instrText>
      </w:r>
      <w:r w:rsidR="003C7500">
        <w:fldChar w:fldCharType="separate"/>
      </w:r>
      <w:r w:rsidR="00E16E4D">
        <w:t>POLICY 13</w:t>
      </w:r>
      <w:r w:rsidR="003C7500">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B748CA" w:rsidP="003D64C4">
      <w:pPr>
        <w:rPr>
          <w:b/>
          <w:sz w:val="24"/>
        </w:rPr>
      </w:pPr>
      <w:r>
        <w:rPr>
          <w:b/>
          <w:sz w:val="24"/>
        </w:rPr>
        <w:br w:type="page"/>
      </w:r>
      <w:r w:rsidR="003D64C4" w:rsidRPr="003F6527">
        <w:rPr>
          <w:b/>
          <w:sz w:val="24"/>
        </w:rPr>
        <w:lastRenderedPageBreak/>
        <w:t>Example</w:t>
      </w:r>
      <w:r w:rsidR="00EB031F">
        <w:rPr>
          <w:b/>
          <w:sz w:val="24"/>
        </w:rPr>
        <w:t xml:space="preserve"> (from Billing BIS v3)</w:t>
      </w:r>
      <w:r w:rsidR="003D64C4"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A56BD2" w:rsidRDefault="006C4743" w:rsidP="002D08B0">
      <w:pPr>
        <w:pStyle w:val="PolicyHeader"/>
      </w:pPr>
      <w:bookmarkStart w:id="63" w:name="_Toc485137445"/>
      <w:bookmarkStart w:id="64" w:name="_Toc496043153"/>
      <w:bookmarkStart w:id="65" w:name="_Toc496043299"/>
      <w:bookmarkStart w:id="66" w:name="_Toc526776300"/>
      <w:bookmarkStart w:id="67" w:name="_Document_Type_Identifier"/>
      <w:bookmarkStart w:id="68" w:name="_Toc316247569"/>
      <w:bookmarkStart w:id="69" w:name="_Toc526783363"/>
      <w:bookmarkEnd w:id="63"/>
      <w:bookmarkEnd w:id="64"/>
      <w:bookmarkEnd w:id="65"/>
      <w:bookmarkEnd w:id="66"/>
      <w:bookmarkEnd w:id="67"/>
      <w:r w:rsidRPr="00E15FB4">
        <w:t xml:space="preserve">Document </w:t>
      </w:r>
      <w:r w:rsidR="00235DA3" w:rsidRPr="00E15FB4">
        <w:t>Type Identifier</w:t>
      </w:r>
      <w:r w:rsidRPr="00E15FB4">
        <w:t xml:space="preserve"> </w:t>
      </w:r>
      <w:r w:rsidR="00A56BD2" w:rsidRPr="00E15FB4">
        <w:t>Values</w:t>
      </w:r>
      <w:bookmarkEnd w:id="68"/>
      <w:bookmarkEnd w:id="69"/>
    </w:p>
    <w:p w:rsidR="00827B5A" w:rsidRDefault="00827B5A" w:rsidP="002D08B0">
      <w:pPr>
        <w:pStyle w:val="Policy"/>
      </w:pPr>
      <w:r w:rsidRPr="00827B5A">
        <w:t xml:space="preserve">All valid </w:t>
      </w:r>
      <w:r w:rsidR="002D08B0">
        <w:t>Document Type</w:t>
      </w:r>
      <w:r w:rsidRPr="00827B5A">
        <w:t xml:space="preserve"> Identifier Values are defined in [PEPPOL_CodeList].</w:t>
      </w:r>
    </w:p>
    <w:p w:rsidR="002D08B0" w:rsidRDefault="002D08B0" w:rsidP="00EB7DC6">
      <w:r>
        <w:t xml:space="preserve">Applies to: </w:t>
      </w:r>
      <w:r>
        <w:t>all Document Type Identifiers in all components</w:t>
      </w:r>
    </w:p>
    <w:p w:rsidR="00273344" w:rsidRPr="001F4312" w:rsidRDefault="004E1D48" w:rsidP="00EB7DC6">
      <w:r w:rsidRPr="00A71CFB">
        <w:t xml:space="preserve">Rows </w:t>
      </w:r>
      <w:r w:rsidR="002E3934">
        <w:t>in [PEPPOL_CodeList]</w:t>
      </w:r>
      <w:r w:rsidR="002E3934">
        <w:t xml:space="preserve">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70" w:name="_Toc316247570"/>
      <w:bookmarkStart w:id="71" w:name="_Toc526783364"/>
      <w:r w:rsidRPr="00E15FB4">
        <w:lastRenderedPageBreak/>
        <w:t xml:space="preserve">Policy </w:t>
      </w:r>
      <w:r w:rsidR="00377E1D">
        <w:t xml:space="preserve">for PEPPOL Process </w:t>
      </w:r>
      <w:bookmarkEnd w:id="70"/>
      <w:r w:rsidR="00377E1D">
        <w:t>Identifiers</w:t>
      </w:r>
      <w:bookmarkEnd w:id="71"/>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3C7500">
        <w:fldChar w:fldCharType="begin"/>
      </w:r>
      <w:r w:rsidR="00B26C62">
        <w:instrText xml:space="preserve"> REF _Ref317490234 \r \h </w:instrText>
      </w:r>
      <w:r w:rsidR="003C7500">
        <w:fldChar w:fldCharType="separate"/>
      </w:r>
      <w:r w:rsidR="00E16E4D">
        <w:t>POLICY 2</w:t>
      </w:r>
      <w:r w:rsidR="003C7500">
        <w:fldChar w:fldCharType="end"/>
      </w:r>
      <w:r>
        <w:t xml:space="preserve"> PEPPOL process identifiers have to be treated case sensitive.</w:t>
      </w:r>
    </w:p>
    <w:p w:rsidR="004225A4" w:rsidRPr="001407A3" w:rsidRDefault="00E97FD2" w:rsidP="004225A4">
      <w:pPr>
        <w:pStyle w:val="PolicyHeader"/>
      </w:pPr>
      <w:bookmarkStart w:id="72" w:name="_Ref281927369"/>
      <w:bookmarkStart w:id="73" w:name="_Toc526783365"/>
      <w:r>
        <w:t>Process Identifier S</w:t>
      </w:r>
      <w:r w:rsidR="004225A4">
        <w:t>cheme</w:t>
      </w:r>
      <w:bookmarkEnd w:id="72"/>
      <w:bookmarkEnd w:id="73"/>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r>
        <w:t>cenbii-procid-ubl</w:t>
      </w:r>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74" w:name="_Toc526783366"/>
      <w:r>
        <w:t>Process Identifier</w:t>
      </w:r>
      <w:r w:rsidR="00E97FD2">
        <w:t xml:space="preserve"> </w:t>
      </w:r>
      <w:r w:rsidR="0047136B">
        <w:t>V</w:t>
      </w:r>
      <w:r w:rsidR="00E97FD2">
        <w:t>alue</w:t>
      </w:r>
      <w:bookmarkEnd w:id="74"/>
    </w:p>
    <w:p w:rsidR="00A70EFD" w:rsidRDefault="00A70EFD" w:rsidP="004225A4">
      <w:pPr>
        <w:pStyle w:val="Policy"/>
      </w:pPr>
      <w:r>
        <w:t>All valid Process Identifier Values are defined in [PEPPOL_CodeList].</w:t>
      </w:r>
    </w:p>
    <w:p w:rsidR="00E97FD2" w:rsidRDefault="00E97FD2" w:rsidP="004225A4">
      <w:pPr>
        <w:pStyle w:val="Policy"/>
      </w:pPr>
      <w:r>
        <w:t>Process Identifier Values MUST NOT contain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Billing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 xml:space="preserve">in </w:t>
      </w:r>
      <w:r>
        <w:t>[PEPPOL_CodeList]</w:t>
      </w:r>
      <w:r>
        <w:t xml:space="preserve">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667607" w:rsidRPr="001407A3" w:rsidRDefault="00667607" w:rsidP="00667607">
      <w:pPr>
        <w:pStyle w:val="PolicyHeader"/>
      </w:pPr>
      <w:bookmarkStart w:id="75" w:name="_Toc526783367"/>
      <w:r w:rsidRPr="001407A3">
        <w:t xml:space="preserve">Specifying </w:t>
      </w:r>
      <w:r>
        <w:t>Process</w:t>
      </w:r>
      <w:r w:rsidRPr="001407A3">
        <w:t xml:space="preserve"> Identifiers in </w:t>
      </w:r>
      <w:r>
        <w:t>SMP</w:t>
      </w:r>
      <w:r w:rsidR="00E61519">
        <w:t xml:space="preserve"> documents</w:t>
      </w:r>
      <w:bookmarkEnd w:id="75"/>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3C7500">
        <w:fldChar w:fldCharType="begin"/>
      </w:r>
      <w:r w:rsidR="00E61519">
        <w:instrText xml:space="preserve"> REF _Ref281927369 \r \h </w:instrText>
      </w:r>
      <w:r w:rsidR="003C7500">
        <w:fldChar w:fldCharType="separate"/>
      </w:r>
      <w:r w:rsidR="00E16E4D">
        <w:t>POLICY 19</w:t>
      </w:r>
      <w:r w:rsidR="003C7500">
        <w:fldChar w:fldCharType="end"/>
      </w:r>
      <w:r w:rsidR="00E61519">
        <w:t xml:space="preserve">) and the element </w:t>
      </w:r>
      <w:r w:rsidR="00E61519">
        <w:t>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76" w:name="_Toc526783368"/>
      <w:r w:rsidRPr="00E15FB4">
        <w:lastRenderedPageBreak/>
        <w:t>Policy on Identifying Transport Profiles in PEPPOL</w:t>
      </w:r>
      <w:bookmarkEnd w:id="76"/>
    </w:p>
    <w:p w:rsidR="008D4811" w:rsidRPr="00E15FB4" w:rsidRDefault="008D4811" w:rsidP="00E15FB4">
      <w:pPr>
        <w:pStyle w:val="berschrift2"/>
      </w:pPr>
      <w:bookmarkStart w:id="77" w:name="_Toc526783369"/>
      <w:r w:rsidRPr="00E15FB4">
        <w:t>SMP</w:t>
      </w:r>
      <w:bookmarkEnd w:id="77"/>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78" w:name="_Toc526783370"/>
      <w:r>
        <w:t>Transport Profile Values</w:t>
      </w:r>
      <w:bookmarkEnd w:id="78"/>
    </w:p>
    <w:p w:rsidR="00953680" w:rsidRPr="001407A3" w:rsidRDefault="00953680" w:rsidP="00953680">
      <w:pPr>
        <w:pStyle w:val="Policy"/>
      </w:pPr>
      <w:r w:rsidRPr="00C43EFC">
        <w:t xml:space="preserve">All valid </w:t>
      </w:r>
      <w:r>
        <w:t xml:space="preserve">Transport Profile </w:t>
      </w:r>
      <w:r w:rsidRPr="00C43EFC">
        <w:t>Values are defined in [PEPPOL_CodeList].</w:t>
      </w:r>
    </w:p>
    <w:p w:rsidR="00953680" w:rsidRDefault="00953680" w:rsidP="00953680">
      <w:r>
        <w:t>Applies to: all XML documents used in the SMP</w:t>
      </w:r>
    </w:p>
    <w:p w:rsidR="006634D0" w:rsidRPr="006634D0" w:rsidRDefault="006634D0" w:rsidP="0095368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79" w:name="_Toc526783371"/>
      <w:r w:rsidRPr="001407A3">
        <w:t xml:space="preserve">Specifying </w:t>
      </w:r>
      <w:r>
        <w:t xml:space="preserve">Transport Profiles </w:t>
      </w:r>
      <w:r w:rsidRPr="001407A3">
        <w:t xml:space="preserve">in </w:t>
      </w:r>
      <w:r>
        <w:t>SMP documents</w:t>
      </w:r>
      <w:bookmarkEnd w:id="79"/>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80" w:name="_Toc316247573"/>
      <w:bookmarkStart w:id="81" w:name="_Toc526783372"/>
      <w:r w:rsidRPr="00E15FB4">
        <w:lastRenderedPageBreak/>
        <w:t>Governance</w:t>
      </w:r>
      <w:r w:rsidR="00CB3950" w:rsidRPr="00E15FB4">
        <w:t xml:space="preserve"> of this Policy</w:t>
      </w:r>
      <w:bookmarkEnd w:id="80"/>
      <w:bookmarkEnd w:id="81"/>
    </w:p>
    <w:p w:rsidR="00554639" w:rsidRDefault="008F6A20" w:rsidP="00546B07">
      <w:r w:rsidRPr="001F4312">
        <w:t xml:space="preserve">This policy needs maintenance to ensure it supports new versions of the standards, extensions to </w:t>
      </w:r>
      <w:r w:rsidRPr="001F4312">
        <w:t xml:space="preserve">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w:t>
      </w:r>
      <w:r w:rsidR="005B695D">
        <w:t>is maintained by the PEPPOL Transport Infrastructure Coordinating Community</w:t>
      </w:r>
      <w:r w:rsidR="005B695D">
        <w:t xml:space="preserve">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 In effect </w:t>
      </w:r>
      <w:r w:rsidR="002A3ECC">
        <w:t>Open</w:t>
      </w:r>
      <w:r w:rsidRPr="006132BB">
        <w:t xml:space="preserve">PEPPOL </w:t>
      </w:r>
      <w:r w:rsidR="002A3ECC">
        <w:t xml:space="preserve">TICC </w:t>
      </w:r>
      <w:r w:rsidRPr="006132BB">
        <w:t xml:space="preserve">is taking the role of </w:t>
      </w:r>
      <w:r w:rsidR="00595276" w:rsidRPr="006132BB">
        <w:t xml:space="preserve">a governance agency </w:t>
      </w:r>
      <w:r w:rsidRPr="006132BB">
        <w:t xml:space="preserve">for </w:t>
      </w:r>
      <w:r w:rsidR="00C21085" w:rsidRPr="006132BB">
        <w:t>PEPPOL</w:t>
      </w:r>
      <w:r w:rsidRPr="006132BB">
        <w:t>.</w:t>
      </w:r>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164CDD" w15:done="0"/>
  <w15:commentEx w15:paraId="748F9A0A" w15:done="0"/>
  <w15:commentEx w15:paraId="44157715" w15:done="0"/>
  <w15:commentEx w15:paraId="06862771" w15:done="0"/>
  <w15:commentEx w15:paraId="63A3C01D" w15:done="0"/>
  <w15:commentEx w15:paraId="1C0DFCDE" w15:done="0"/>
  <w15:commentEx w15:paraId="5FAA8C71" w15:done="0"/>
  <w15:commentEx w15:paraId="49706EC8" w15:done="0"/>
  <w15:commentEx w15:paraId="7956C93E" w15:done="0"/>
  <w15:commentEx w15:paraId="11734085" w15:done="0"/>
  <w15:commentEx w15:paraId="0D7EDE80" w15:done="0"/>
  <w15:commentEx w15:paraId="572A801B" w15:done="0"/>
  <w15:commentEx w15:paraId="14818113" w15:done="0"/>
  <w15:commentEx w15:paraId="474173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45D" w:rsidRDefault="00F6445D" w:rsidP="009858FE">
      <w:r>
        <w:separator/>
      </w:r>
    </w:p>
  </w:endnote>
  <w:endnote w:type="continuationSeparator" w:id="0">
    <w:p w:rsidR="00F6445D" w:rsidRDefault="00F6445D"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CC" w:rsidRDefault="002B7FC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2B7FCC" w:rsidRPr="00A929BA" w:rsidRDefault="002B7FC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7411DE51" wp14:editId="6C8AC3C8">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fldChar w:fldCharType="begin"/>
    </w:r>
    <w:r>
      <w:instrText xml:space="preserve"> PAGE   \* MERGEFORMAT </w:instrText>
    </w:r>
    <w:r>
      <w:fldChar w:fldCharType="separate"/>
    </w:r>
    <w:r w:rsidR="00E16E4D">
      <w:rPr>
        <w:noProof/>
      </w:rPr>
      <w:t>23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CC" w:rsidRDefault="002B7FCC" w:rsidP="00230577">
    <w:pPr>
      <w:pStyle w:val="Fuzeile"/>
      <w:jc w:val="center"/>
    </w:pPr>
    <w:r>
      <w:rPr>
        <w:noProof/>
        <w:lang w:val="de-AT" w:eastAsia="de-AT"/>
      </w:rPr>
      <w:drawing>
        <wp:anchor distT="0" distB="0" distL="114300" distR="114300" simplePos="0" relativeHeight="251670528" behindDoc="0" locked="0" layoutInCell="1" allowOverlap="1" wp14:anchorId="2285C153" wp14:editId="005655C3">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45D" w:rsidRDefault="00F6445D" w:rsidP="009858FE">
      <w:r>
        <w:separator/>
      </w:r>
    </w:p>
  </w:footnote>
  <w:footnote w:type="continuationSeparator" w:id="0">
    <w:p w:rsidR="00F6445D" w:rsidRDefault="00F6445D" w:rsidP="009858FE">
      <w:r>
        <w:continuationSeparator/>
      </w:r>
    </w:p>
  </w:footnote>
  <w:footnote w:id="1">
    <w:p w:rsidR="002B7FCC" w:rsidRDefault="002B7FCC"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2B7FCC" w:rsidRDefault="002B7FCC" w:rsidP="00E91975">
      <w:pPr>
        <w:pStyle w:val="Funotentext"/>
      </w:pPr>
      <w:r>
        <w:rPr>
          <w:rStyle w:val="Funotenzeichen"/>
        </w:rPr>
        <w:footnoteRef/>
      </w:r>
      <w:r>
        <w:t xml:space="preserve"> </w:t>
      </w:r>
      <w:r>
        <w:rPr>
          <w:lang w:val="en-US"/>
        </w:rPr>
        <w:t>English: Danish Business Authority</w:t>
      </w:r>
    </w:p>
  </w:footnote>
  <w:footnote w:id="3">
    <w:p w:rsidR="002B7FCC" w:rsidRDefault="002B7FCC" w:rsidP="00E91975">
      <w:pPr>
        <w:pStyle w:val="Funotentext"/>
      </w:pPr>
      <w:r>
        <w:rPr>
          <w:rStyle w:val="Funotenzeichen"/>
        </w:rPr>
        <w:footnoteRef/>
      </w:r>
      <w:r w:rsidRPr="00543A39">
        <w:rPr>
          <w:rFonts w:cs="Arial"/>
          <w:lang w:val="en-US"/>
        </w:rPr>
        <w:t xml:space="preserve"> English: Austrian Federal Computing Centre </w:t>
      </w:r>
    </w:p>
  </w:footnote>
  <w:footnote w:id="4">
    <w:p w:rsidR="002B7FCC" w:rsidRPr="00CE0D75" w:rsidRDefault="002B7FCC">
      <w:pPr>
        <w:pStyle w:val="Funotentext"/>
        <w:rPr>
          <w:lang w:val="de-AT"/>
        </w:rPr>
      </w:pPr>
      <w:r>
        <w:rPr>
          <w:rStyle w:val="Funotenzeichen"/>
        </w:rPr>
        <w:footnoteRef/>
      </w:r>
      <w:r>
        <w:t xml:space="preserve"> </w:t>
      </w:r>
      <w:r>
        <w:rPr>
          <w:lang w:val="de-AT"/>
        </w:rPr>
        <w:t xml:space="preserve">English: </w:t>
      </w:r>
      <w:r w:rsidRPr="00A9119A">
        <w:t>Agency for Digital Government</w:t>
      </w:r>
    </w:p>
  </w:footnote>
  <w:footnote w:id="5">
    <w:p w:rsidR="002B7FCC" w:rsidRPr="00A17013" w:rsidRDefault="002B7FCC">
      <w:pPr>
        <w:pStyle w:val="Funotentext"/>
        <w:rPr>
          <w:lang w:val="de-AT"/>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244367" w:rsidRPr="00B862AB" w:rsidRDefault="00244367" w:rsidP="00244367">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7">
    <w:p w:rsidR="00244367" w:rsidRPr="00B862AB" w:rsidRDefault="00244367" w:rsidP="00244367">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8">
    <w:p w:rsidR="00244367" w:rsidRPr="00B862AB" w:rsidRDefault="00244367" w:rsidP="00244367">
      <w:pPr>
        <w:pStyle w:val="Funotentext"/>
      </w:pPr>
      <w:r w:rsidRPr="00B862AB">
        <w:rPr>
          <w:rStyle w:val="Funotenzeichen"/>
        </w:rPr>
        <w:footnoteRef/>
      </w:r>
      <w:r w:rsidRPr="00B862AB">
        <w:t xml:space="preserve"> CEN/BII terminology</w:t>
      </w:r>
    </w:p>
  </w:footnote>
  <w:footnote w:id="9">
    <w:p w:rsidR="00244367" w:rsidRPr="00B862AB" w:rsidRDefault="00244367" w:rsidP="00244367">
      <w:pPr>
        <w:pStyle w:val="Funotentext"/>
      </w:pPr>
      <w:r w:rsidRPr="00B862AB">
        <w:rPr>
          <w:rStyle w:val="Funotenzeichen"/>
        </w:rPr>
        <w:footnoteRef/>
      </w:r>
      <w:r w:rsidRPr="00B862AB">
        <w:t xml:space="preserve"> ISO 9735 Service Code List (0007) terminology</w:t>
      </w:r>
    </w:p>
  </w:footnote>
  <w:footnote w:id="10">
    <w:p w:rsidR="00244367" w:rsidRPr="00B862AB" w:rsidRDefault="00244367" w:rsidP="00244367">
      <w:pPr>
        <w:pStyle w:val="Funotentext"/>
      </w:pPr>
      <w:r w:rsidRPr="00B862AB">
        <w:rPr>
          <w:rStyle w:val="Funotenzeichen"/>
        </w:rPr>
        <w:footnoteRef/>
      </w:r>
      <w:r w:rsidRPr="00B862AB">
        <w:t xml:space="preserve"> ISO 6523 terminology</w:t>
      </w:r>
    </w:p>
  </w:footnote>
  <w:footnote w:id="11">
    <w:p w:rsidR="00244367" w:rsidRPr="00B862AB" w:rsidRDefault="00244367" w:rsidP="00244367">
      <w:pPr>
        <w:pStyle w:val="Funotentext"/>
      </w:pPr>
      <w:r w:rsidRPr="00B862AB">
        <w:rPr>
          <w:rStyle w:val="Funotenzeichen"/>
        </w:rPr>
        <w:footnoteRef/>
      </w:r>
      <w:r w:rsidRPr="00B862AB">
        <w:t xml:space="preserve"> OASIS ebCore terminology</w:t>
      </w:r>
    </w:p>
  </w:footnote>
  <w:footnote w:id="12">
    <w:p w:rsidR="002B7FCC" w:rsidRPr="00B862AB" w:rsidRDefault="002B7FC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3">
    <w:p w:rsidR="002B7FCC" w:rsidRPr="00B862AB" w:rsidRDefault="002B7FC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4">
    <w:p w:rsidR="002B7FCC" w:rsidRPr="00B862AB" w:rsidRDefault="002B7FC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5">
    <w:p w:rsidR="007E22AC" w:rsidRPr="00B862AB" w:rsidRDefault="007E22A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6">
    <w:p w:rsidR="004B7358" w:rsidRPr="004B7358" w:rsidRDefault="004B7358">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CC" w:rsidRPr="00543A39" w:rsidRDefault="002B7FC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14:anchorId="733295FB" wp14:editId="76B0B4B8">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2B7FCC" w:rsidRPr="00543A39" w:rsidRDefault="002B7FC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57.5pt;height:276.5pt" o:bullet="t">
        <v:imagedata r:id="rId1" o:title=""/>
      </v:shape>
    </w:pict>
  </w:numPicBullet>
  <w:numPicBullet w:numPicBulletId="1">
    <w:pict>
      <v:shape id="_x0000_i1330"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7"/>
  </w:num>
  <w:num w:numId="5">
    <w:abstractNumId w:val="6"/>
  </w:num>
  <w:num w:numId="6">
    <w:abstractNumId w:val="3"/>
    <w:lvlOverride w:ilvl="0">
      <w:startOverride w:val="1"/>
    </w:lvlOverride>
  </w:num>
  <w:num w:numId="7">
    <w:abstractNumId w:val="10"/>
  </w:num>
  <w:num w:numId="8">
    <w:abstractNumId w:val="7"/>
  </w:num>
  <w:num w:numId="9">
    <w:abstractNumId w:val="5"/>
  </w:num>
  <w:num w:numId="10">
    <w:abstractNumId w:val="4"/>
  </w:num>
  <w:num w:numId="11">
    <w:abstractNumId w:val="18"/>
  </w:num>
  <w:num w:numId="12">
    <w:abstractNumId w:val="14"/>
  </w:num>
  <w:num w:numId="13">
    <w:abstractNumId w:val="9"/>
  </w:num>
  <w:num w:numId="14">
    <w:abstractNumId w:val="12"/>
  </w:num>
  <w:num w:numId="15">
    <w:abstractNumId w:val="3"/>
  </w:num>
  <w:num w:numId="16">
    <w:abstractNumId w:val="0"/>
  </w:num>
  <w:num w:numId="17">
    <w:abstractNumId w:val="11"/>
  </w:num>
  <w:num w:numId="18">
    <w:abstractNumId w:val="19"/>
  </w:num>
  <w:num w:numId="19">
    <w:abstractNumId w:val="1"/>
  </w:num>
  <w:num w:numId="20">
    <w:abstractNumId w:val="8"/>
  </w:num>
  <w:num w:numId="2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001F"/>
    <w:rsid w:val="00000DCA"/>
    <w:rsid w:val="00002E2D"/>
    <w:rsid w:val="00003E13"/>
    <w:rsid w:val="00004D82"/>
    <w:rsid w:val="00005CB9"/>
    <w:rsid w:val="00006B7E"/>
    <w:rsid w:val="00022C65"/>
    <w:rsid w:val="00024947"/>
    <w:rsid w:val="00025260"/>
    <w:rsid w:val="00026CE5"/>
    <w:rsid w:val="00031029"/>
    <w:rsid w:val="0003131C"/>
    <w:rsid w:val="000331DD"/>
    <w:rsid w:val="000362DD"/>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5B1"/>
    <w:rsid w:val="00075742"/>
    <w:rsid w:val="000770B8"/>
    <w:rsid w:val="00083B3E"/>
    <w:rsid w:val="000867A6"/>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47FA"/>
    <w:rsid w:val="001D03EA"/>
    <w:rsid w:val="001D1ABE"/>
    <w:rsid w:val="001D7B12"/>
    <w:rsid w:val="001D7C36"/>
    <w:rsid w:val="001F4312"/>
    <w:rsid w:val="001F705E"/>
    <w:rsid w:val="001F721C"/>
    <w:rsid w:val="002008EA"/>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44367"/>
    <w:rsid w:val="00251E80"/>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F08C0"/>
    <w:rsid w:val="002F2D47"/>
    <w:rsid w:val="002F349C"/>
    <w:rsid w:val="002F4FC6"/>
    <w:rsid w:val="002F6B4D"/>
    <w:rsid w:val="0030114D"/>
    <w:rsid w:val="00301D86"/>
    <w:rsid w:val="0030213E"/>
    <w:rsid w:val="0030381F"/>
    <w:rsid w:val="003042D4"/>
    <w:rsid w:val="003047CE"/>
    <w:rsid w:val="00307224"/>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7E1D"/>
    <w:rsid w:val="00377EF6"/>
    <w:rsid w:val="003809D0"/>
    <w:rsid w:val="00381588"/>
    <w:rsid w:val="003826B6"/>
    <w:rsid w:val="003828F0"/>
    <w:rsid w:val="003831F2"/>
    <w:rsid w:val="0038411E"/>
    <w:rsid w:val="00385C5B"/>
    <w:rsid w:val="003865EC"/>
    <w:rsid w:val="00386C51"/>
    <w:rsid w:val="003870F0"/>
    <w:rsid w:val="003979C1"/>
    <w:rsid w:val="003A2A12"/>
    <w:rsid w:val="003A2EC7"/>
    <w:rsid w:val="003A4522"/>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82D"/>
    <w:rsid w:val="0047614E"/>
    <w:rsid w:val="00483A49"/>
    <w:rsid w:val="00484A65"/>
    <w:rsid w:val="00493021"/>
    <w:rsid w:val="00493F33"/>
    <w:rsid w:val="00494294"/>
    <w:rsid w:val="004A6153"/>
    <w:rsid w:val="004B2E35"/>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50020C"/>
    <w:rsid w:val="00500452"/>
    <w:rsid w:val="0050134F"/>
    <w:rsid w:val="00514984"/>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92153"/>
    <w:rsid w:val="00593673"/>
    <w:rsid w:val="00595276"/>
    <w:rsid w:val="00597A9E"/>
    <w:rsid w:val="005A0B45"/>
    <w:rsid w:val="005A343F"/>
    <w:rsid w:val="005B5E49"/>
    <w:rsid w:val="005B695D"/>
    <w:rsid w:val="005B72A5"/>
    <w:rsid w:val="005C1035"/>
    <w:rsid w:val="005C5CE6"/>
    <w:rsid w:val="005C6A17"/>
    <w:rsid w:val="005C6AB6"/>
    <w:rsid w:val="005D0438"/>
    <w:rsid w:val="005D23A0"/>
    <w:rsid w:val="005D2496"/>
    <w:rsid w:val="005D24ED"/>
    <w:rsid w:val="005D3FE9"/>
    <w:rsid w:val="005E1D0F"/>
    <w:rsid w:val="005E7875"/>
    <w:rsid w:val="005E7C7F"/>
    <w:rsid w:val="005F0923"/>
    <w:rsid w:val="005F1CA1"/>
    <w:rsid w:val="005F3129"/>
    <w:rsid w:val="005F3400"/>
    <w:rsid w:val="005F5331"/>
    <w:rsid w:val="005F57EB"/>
    <w:rsid w:val="006022AD"/>
    <w:rsid w:val="0060323D"/>
    <w:rsid w:val="00605A0C"/>
    <w:rsid w:val="00606A36"/>
    <w:rsid w:val="0060755B"/>
    <w:rsid w:val="0060776E"/>
    <w:rsid w:val="00607F16"/>
    <w:rsid w:val="00610C97"/>
    <w:rsid w:val="00611FE8"/>
    <w:rsid w:val="00612100"/>
    <w:rsid w:val="006132BB"/>
    <w:rsid w:val="006172B2"/>
    <w:rsid w:val="006175AB"/>
    <w:rsid w:val="00621109"/>
    <w:rsid w:val="00625308"/>
    <w:rsid w:val="0062539B"/>
    <w:rsid w:val="00630F86"/>
    <w:rsid w:val="00631A8C"/>
    <w:rsid w:val="00637E80"/>
    <w:rsid w:val="00637F30"/>
    <w:rsid w:val="006406D4"/>
    <w:rsid w:val="006410A8"/>
    <w:rsid w:val="006451C0"/>
    <w:rsid w:val="0064547B"/>
    <w:rsid w:val="00653E7D"/>
    <w:rsid w:val="0066128E"/>
    <w:rsid w:val="00662456"/>
    <w:rsid w:val="00662584"/>
    <w:rsid w:val="006634D0"/>
    <w:rsid w:val="00665A22"/>
    <w:rsid w:val="00665DC3"/>
    <w:rsid w:val="00667607"/>
    <w:rsid w:val="006758BD"/>
    <w:rsid w:val="00676FDB"/>
    <w:rsid w:val="006804C3"/>
    <w:rsid w:val="00680B65"/>
    <w:rsid w:val="00681355"/>
    <w:rsid w:val="006826AB"/>
    <w:rsid w:val="00684EE9"/>
    <w:rsid w:val="00691638"/>
    <w:rsid w:val="006954DB"/>
    <w:rsid w:val="00696D63"/>
    <w:rsid w:val="006A1D65"/>
    <w:rsid w:val="006A2356"/>
    <w:rsid w:val="006A3490"/>
    <w:rsid w:val="006A3A05"/>
    <w:rsid w:val="006A6FF5"/>
    <w:rsid w:val="006A7CE3"/>
    <w:rsid w:val="006B38E7"/>
    <w:rsid w:val="006B4C99"/>
    <w:rsid w:val="006C332B"/>
    <w:rsid w:val="006C4743"/>
    <w:rsid w:val="006C61E2"/>
    <w:rsid w:val="006D03C8"/>
    <w:rsid w:val="006D1F48"/>
    <w:rsid w:val="006D52A0"/>
    <w:rsid w:val="006D5ADB"/>
    <w:rsid w:val="006D5DB3"/>
    <w:rsid w:val="006E0D85"/>
    <w:rsid w:val="006E0E51"/>
    <w:rsid w:val="006E50F9"/>
    <w:rsid w:val="006E6113"/>
    <w:rsid w:val="006F2DCD"/>
    <w:rsid w:val="0070096E"/>
    <w:rsid w:val="0070575D"/>
    <w:rsid w:val="007061C5"/>
    <w:rsid w:val="00711CF3"/>
    <w:rsid w:val="007233B8"/>
    <w:rsid w:val="00741CB9"/>
    <w:rsid w:val="00745621"/>
    <w:rsid w:val="007524F6"/>
    <w:rsid w:val="0075392D"/>
    <w:rsid w:val="0075723F"/>
    <w:rsid w:val="007602B4"/>
    <w:rsid w:val="00761304"/>
    <w:rsid w:val="00763295"/>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36C9"/>
    <w:rsid w:val="0079779C"/>
    <w:rsid w:val="007A18C6"/>
    <w:rsid w:val="007A1D9B"/>
    <w:rsid w:val="007A2F88"/>
    <w:rsid w:val="007A5A0A"/>
    <w:rsid w:val="007A7165"/>
    <w:rsid w:val="007B1920"/>
    <w:rsid w:val="007B217B"/>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8067EE"/>
    <w:rsid w:val="00811AD9"/>
    <w:rsid w:val="0081733B"/>
    <w:rsid w:val="0082373C"/>
    <w:rsid w:val="00825112"/>
    <w:rsid w:val="008272F2"/>
    <w:rsid w:val="00827A5E"/>
    <w:rsid w:val="00827B5A"/>
    <w:rsid w:val="008312A1"/>
    <w:rsid w:val="00834A1D"/>
    <w:rsid w:val="00834AC0"/>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D3"/>
    <w:rsid w:val="0093207A"/>
    <w:rsid w:val="009332DE"/>
    <w:rsid w:val="00934F61"/>
    <w:rsid w:val="009369A1"/>
    <w:rsid w:val="009413DB"/>
    <w:rsid w:val="0094237D"/>
    <w:rsid w:val="0094257E"/>
    <w:rsid w:val="0094310A"/>
    <w:rsid w:val="00943BE0"/>
    <w:rsid w:val="00944080"/>
    <w:rsid w:val="00947BA9"/>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55FF"/>
    <w:rsid w:val="009A5FB2"/>
    <w:rsid w:val="009A7EAF"/>
    <w:rsid w:val="009B1E23"/>
    <w:rsid w:val="009B2E7E"/>
    <w:rsid w:val="009B4663"/>
    <w:rsid w:val="009C15B7"/>
    <w:rsid w:val="009C16BF"/>
    <w:rsid w:val="009C26A5"/>
    <w:rsid w:val="009C2B70"/>
    <w:rsid w:val="009C3F56"/>
    <w:rsid w:val="009C429B"/>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723C"/>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3E41"/>
    <w:rsid w:val="00AF6AD2"/>
    <w:rsid w:val="00AF6C96"/>
    <w:rsid w:val="00B10582"/>
    <w:rsid w:val="00B10EE8"/>
    <w:rsid w:val="00B25B0A"/>
    <w:rsid w:val="00B265B7"/>
    <w:rsid w:val="00B26892"/>
    <w:rsid w:val="00B26C62"/>
    <w:rsid w:val="00B27DE4"/>
    <w:rsid w:val="00B326B9"/>
    <w:rsid w:val="00B33306"/>
    <w:rsid w:val="00B34190"/>
    <w:rsid w:val="00B415AC"/>
    <w:rsid w:val="00B444C5"/>
    <w:rsid w:val="00B455E2"/>
    <w:rsid w:val="00B50D62"/>
    <w:rsid w:val="00B57515"/>
    <w:rsid w:val="00B617CC"/>
    <w:rsid w:val="00B61A2A"/>
    <w:rsid w:val="00B6569E"/>
    <w:rsid w:val="00B7135A"/>
    <w:rsid w:val="00B748CA"/>
    <w:rsid w:val="00B74D20"/>
    <w:rsid w:val="00B75439"/>
    <w:rsid w:val="00B75E38"/>
    <w:rsid w:val="00B80E12"/>
    <w:rsid w:val="00B837B6"/>
    <w:rsid w:val="00B862AB"/>
    <w:rsid w:val="00B86EB1"/>
    <w:rsid w:val="00B90C0E"/>
    <w:rsid w:val="00B95515"/>
    <w:rsid w:val="00B95BB4"/>
    <w:rsid w:val="00B96A62"/>
    <w:rsid w:val="00B9736D"/>
    <w:rsid w:val="00BA1D27"/>
    <w:rsid w:val="00BA6A93"/>
    <w:rsid w:val="00BB581A"/>
    <w:rsid w:val="00BB6701"/>
    <w:rsid w:val="00BB7D66"/>
    <w:rsid w:val="00BC3820"/>
    <w:rsid w:val="00BC397B"/>
    <w:rsid w:val="00BC44BB"/>
    <w:rsid w:val="00BD15DA"/>
    <w:rsid w:val="00BD30B4"/>
    <w:rsid w:val="00BE2AE1"/>
    <w:rsid w:val="00BE721F"/>
    <w:rsid w:val="00BF0A1A"/>
    <w:rsid w:val="00BF0CAE"/>
    <w:rsid w:val="00C0047C"/>
    <w:rsid w:val="00C06447"/>
    <w:rsid w:val="00C06C8F"/>
    <w:rsid w:val="00C11B1F"/>
    <w:rsid w:val="00C146F0"/>
    <w:rsid w:val="00C21085"/>
    <w:rsid w:val="00C21136"/>
    <w:rsid w:val="00C21E64"/>
    <w:rsid w:val="00C22C34"/>
    <w:rsid w:val="00C25156"/>
    <w:rsid w:val="00C267D7"/>
    <w:rsid w:val="00C325C1"/>
    <w:rsid w:val="00C32D43"/>
    <w:rsid w:val="00C3596C"/>
    <w:rsid w:val="00C42414"/>
    <w:rsid w:val="00C42B76"/>
    <w:rsid w:val="00C4356C"/>
    <w:rsid w:val="00C43D9B"/>
    <w:rsid w:val="00C43EFC"/>
    <w:rsid w:val="00C47740"/>
    <w:rsid w:val="00C508BF"/>
    <w:rsid w:val="00C50DDE"/>
    <w:rsid w:val="00C51725"/>
    <w:rsid w:val="00C53694"/>
    <w:rsid w:val="00C53EC4"/>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61F3"/>
    <w:rsid w:val="00CD1457"/>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204B"/>
    <w:rsid w:val="00D256B4"/>
    <w:rsid w:val="00D27B0D"/>
    <w:rsid w:val="00D320B0"/>
    <w:rsid w:val="00D326D2"/>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3192"/>
    <w:rsid w:val="00D66FFA"/>
    <w:rsid w:val="00D7038C"/>
    <w:rsid w:val="00D71E0C"/>
    <w:rsid w:val="00D72EDF"/>
    <w:rsid w:val="00D73D06"/>
    <w:rsid w:val="00D75721"/>
    <w:rsid w:val="00D762B6"/>
    <w:rsid w:val="00D87A29"/>
    <w:rsid w:val="00D91A2E"/>
    <w:rsid w:val="00DA0ABB"/>
    <w:rsid w:val="00DA3317"/>
    <w:rsid w:val="00DA409B"/>
    <w:rsid w:val="00DA4735"/>
    <w:rsid w:val="00DA7411"/>
    <w:rsid w:val="00DA779F"/>
    <w:rsid w:val="00DB2636"/>
    <w:rsid w:val="00DB439B"/>
    <w:rsid w:val="00DB77B3"/>
    <w:rsid w:val="00DC1BC2"/>
    <w:rsid w:val="00DC3CC2"/>
    <w:rsid w:val="00DC49A7"/>
    <w:rsid w:val="00DD11B2"/>
    <w:rsid w:val="00DD1A91"/>
    <w:rsid w:val="00DD4574"/>
    <w:rsid w:val="00DD69F3"/>
    <w:rsid w:val="00DD6AD5"/>
    <w:rsid w:val="00DE04EF"/>
    <w:rsid w:val="00DE05CE"/>
    <w:rsid w:val="00DE2025"/>
    <w:rsid w:val="00DE2B4B"/>
    <w:rsid w:val="00DE5560"/>
    <w:rsid w:val="00DE5F73"/>
    <w:rsid w:val="00DE6D82"/>
    <w:rsid w:val="00DF149A"/>
    <w:rsid w:val="00DF2BD1"/>
    <w:rsid w:val="00DF585E"/>
    <w:rsid w:val="00DF6245"/>
    <w:rsid w:val="00E00E20"/>
    <w:rsid w:val="00E0121F"/>
    <w:rsid w:val="00E04BE3"/>
    <w:rsid w:val="00E15FB4"/>
    <w:rsid w:val="00E16E4D"/>
    <w:rsid w:val="00E17B9D"/>
    <w:rsid w:val="00E2253A"/>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93B0A"/>
    <w:rsid w:val="00E97FD2"/>
    <w:rsid w:val="00EA22B4"/>
    <w:rsid w:val="00EA4AC3"/>
    <w:rsid w:val="00EA5035"/>
    <w:rsid w:val="00EA5B88"/>
    <w:rsid w:val="00EA7479"/>
    <w:rsid w:val="00EB031F"/>
    <w:rsid w:val="00EB0BF1"/>
    <w:rsid w:val="00EB1F2B"/>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EE9"/>
    <w:rsid w:val="00F71403"/>
    <w:rsid w:val="00F73185"/>
    <w:rsid w:val="00F7402A"/>
    <w:rsid w:val="00F7576D"/>
    <w:rsid w:val="00F7725D"/>
    <w:rsid w:val="00F805E2"/>
    <w:rsid w:val="00F80E32"/>
    <w:rsid w:val="00F8204E"/>
    <w:rsid w:val="00F84121"/>
    <w:rsid w:val="00F92D42"/>
    <w:rsid w:val="00F9337D"/>
    <w:rsid w:val="00FA1415"/>
    <w:rsid w:val="00FA1420"/>
    <w:rsid w:val="00FA180C"/>
    <w:rsid w:val="00FA528F"/>
    <w:rsid w:val="00FA579D"/>
    <w:rsid w:val="00FB0594"/>
    <w:rsid w:val="00FB1D25"/>
    <w:rsid w:val="00FB4A72"/>
    <w:rsid w:val="00FB56E2"/>
    <w:rsid w:val="00FC7D27"/>
    <w:rsid w:val="00FD00DF"/>
    <w:rsid w:val="00FD0153"/>
    <w:rsid w:val="00FD17E8"/>
    <w:rsid w:val="00FD51B0"/>
    <w:rsid w:val="00FE0D87"/>
    <w:rsid w:val="00FE241E"/>
    <w:rsid w:val="00FE35EA"/>
    <w:rsid w:val="00FE6673"/>
    <w:rsid w:val="00FE711F"/>
    <w:rsid w:val="00FF314F"/>
    <w:rsid w:val="00FF39D1"/>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1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fi.no" TargetMode="External"/><Relationship Id="rId18" Type="http://schemas.openxmlformats.org/officeDocument/2006/relationships/hyperlink" Target="https://peppol.eu/downloads/post-award/" TargetMode="External"/><Relationship Id="rId26" Type="http://schemas.openxmlformats.org/officeDocument/2006/relationships/hyperlink" Target="http://www.iso.org/iso/iso_catalogue/catalogue_tc/catalogue_detail.htm?csnumber=43349" TargetMode="External"/><Relationship Id="rId3" Type="http://schemas.openxmlformats.org/officeDocument/2006/relationships/styles" Target="styles.xml"/><Relationship Id="rId21" Type="http://schemas.openxmlformats.org/officeDocument/2006/relationships/hyperlink" Target="https://github.com/OpenPEPPOL/documentation/blob/master/TransportInfrastructure/ICT-Transport-BusDox_Definitions-101.pdf" TargetMode="External"/><Relationship Id="rId34" Type="http://schemas.openxmlformats.org/officeDocument/2006/relationships/hyperlink" Target="http://www.unece.org/cefact/" TargetMode="Externa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peppol.eu/" TargetMode="External"/><Relationship Id="rId25" Type="http://schemas.openxmlformats.org/officeDocument/2006/relationships/hyperlink" Target="http://www.iso.org/iso/iso_catalogue/catalogue_tc/catalogue_detail.htm?csnumber=51284" TargetMode="External"/><Relationship Id="rId33" Type="http://schemas.openxmlformats.org/officeDocument/2006/relationships/hyperlink" Target="http://docs.oasis-open.org/ebcore/PartyIdType/v1.0/CD03/PartyIdType-1.0.html"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github.com/OpenPEPPOL/documentation/tree/master/Code%20Lists" TargetMode="External"/><Relationship Id="rId29" Type="http://schemas.openxmlformats.org/officeDocument/2006/relationships/hyperlink" Target="http://docs.oasis-open.org/ubl/os-UBL-2.1/UBL-2.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ftp://ftp.cen.eu/public/CWAs/BII2/CWA16558/CWA16558-Annex-C-BII-Guideline-ConformanceAndCustomizations-V1_0_0.pdf" TargetMode="External"/><Relationship Id="rId32" Type="http://schemas.openxmlformats.org/officeDocument/2006/relationships/hyperlink" Target="http://docs.oasis-open.org/ubl/os-UBL-2.2/UBL-2.2.zi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www.cenbii.eu" TargetMode="External"/><Relationship Id="rId28" Type="http://schemas.openxmlformats.org/officeDocument/2006/relationships/hyperlink" Target="http://www.iso.org/iso/catalogue_detail?csnumber=25773"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eppol.eu/downloads/the-peppol-edelivery-network-specifications/" TargetMode="External"/><Relationship Id="rId31" Type="http://schemas.openxmlformats.org/officeDocument/2006/relationships/hyperlink" Target="http://docs.oasis-open.org/ubl/os-UBL-2.2/UBL-2.2.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hyperlink" Target="http://www.cen.eu/cwa/bii/specs" TargetMode="External"/><Relationship Id="rId27" Type="http://schemas.openxmlformats.org/officeDocument/2006/relationships/hyperlink" Target="http://www.gefeg.com/jswg/cl/v41/40107/cl3.htm" TargetMode="External"/><Relationship Id="rId30" Type="http://schemas.openxmlformats.org/officeDocument/2006/relationships/hyperlink" Target="http://docs.oasis-open.org/ubl/os-UBL-2.1/UBL-2.1.zip" TargetMode="External"/><Relationship Id="rId35"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E3E-F377-4857-931E-99E7FCF2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5065</Words>
  <Characters>31914</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36906</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DI Philip Helger</cp:lastModifiedBy>
  <cp:revision>186</cp:revision>
  <cp:lastPrinted>2012-03-20T13:03:00Z</cp:lastPrinted>
  <dcterms:created xsi:type="dcterms:W3CDTF">2018-09-21T14:23:00Z</dcterms:created>
  <dcterms:modified xsi:type="dcterms:W3CDTF">2018-10-08T15:33:00Z</dcterms:modified>
</cp:coreProperties>
</file>