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80"/>
      </w:pPr>
      <w:r>
        <w:t>Сервис экспорта Guard</w:t>
      </w:r>
    </w:p>
    <w:p>
      <w:pPr>
        <w:pStyle w:val="Subtitle"/>
      </w:pPr>
      <w:r>
        <w:t>Описание сервиса и руководство по использованию и расширению</w:t>
      </w:r>
    </w:p>
    <w:p>
      <w:r>
        <w:t>Для пользователей Root администраторов и junior разработчиков</w:t>
      </w:r>
    </w:p>
    <w:p>
      <w:r>
        <w:t>Версия документа 1.0</w:t>
        <w:br/>
        <w:t>14 октября 2026</w:t>
        <w:br/>
        <w:t>Состояние реализации codex/data-export</w:t>
      </w:r>
    </w:p>
    <w:p>
      <w:r>
        <w:t>В документе описаны формирование Excel и Word, события и ошибки, защищённый архив и порядок подключения новых сущностей. Начните с раздела своей роли; при изменении кода используйте разделы 7 и 8.</w:t>
      </w:r>
    </w:p>
    <w:p>
      <w:r>
        <w:t>Рабочая база данных и архив не изменяются примерами из руководства. Примеры новой области являются учебными и требуют адаптации к реальной модели.</w:t>
      </w:r>
    </w:p>
    <w:p>
      <w:r>
        <w:br w:type="page"/>
      </w:r>
    </w:p>
    <w:p>
      <w:pPr>
        <w:pStyle w:val="Heading1"/>
        <w:pageBreakBefore w:val="0"/>
      </w:pPr>
      <w:r>
        <w:t>Оглавление</w:t>
      </w:r>
    </w:p>
    <w:p>
      <w:r>
        <w:t>Пункты оглавления ведут к разделам документа. Номера страниц доступны в нижнем колонтитуле.</w:t>
      </w:r>
    </w:p>
    <w:p>
      <w:pPr>
        <w:keepNext w:val="0"/>
        <w:spacing w:after="60"/>
        <w:ind w:left="0"/>
      </w:pPr>
      <w:hyperlink w:anchor="section_1">
        <w:r>
          <w:rPr>
            <w:color w:val="000000"/>
            <w:b/>
          </w:rPr>
          <w:t>1 Назначение сервиса</w:t>
        </w:r>
      </w:hyperlink>
    </w:p>
    <w:p>
      <w:pPr>
        <w:keepNext w:val="0"/>
        <w:spacing w:after="60"/>
        <w:ind w:left="227"/>
      </w:pPr>
      <w:hyperlink w:anchor="section_2">
        <w:r>
          <w:rPr>
            <w:color w:val="000000"/>
          </w:rPr>
          <w:t>1.1 Поддерживаемые области</w:t>
        </w:r>
      </w:hyperlink>
    </w:p>
    <w:p>
      <w:pPr>
        <w:keepNext w:val="0"/>
        <w:spacing w:after="60"/>
        <w:ind w:left="227"/>
      </w:pPr>
      <w:hyperlink w:anchor="section_3">
        <w:r>
          <w:rPr>
            <w:color w:val="000000"/>
          </w:rPr>
          <w:t>1.2 Возможности и ограничения</w:t>
        </w:r>
      </w:hyperlink>
    </w:p>
    <w:p>
      <w:pPr>
        <w:keepNext w:val="0"/>
        <w:spacing w:after="60"/>
        <w:ind w:left="0"/>
      </w:pPr>
      <w:hyperlink w:anchor="section_4">
        <w:r>
          <w:rPr>
            <w:color w:val="000000"/>
            <w:b/>
          </w:rPr>
          <w:t>2 Правила формирования документов</w:t>
        </w:r>
      </w:hyperlink>
    </w:p>
    <w:p>
      <w:pPr>
        <w:keepNext w:val="0"/>
        <w:spacing w:after="60"/>
        <w:ind w:left="227"/>
      </w:pPr>
      <w:hyperlink w:anchor="section_5">
        <w:r>
          <w:rPr>
            <w:color w:val="000000"/>
          </w:rPr>
          <w:t>2.1 Состав полей и заголовки</w:t>
        </w:r>
      </w:hyperlink>
    </w:p>
    <w:p>
      <w:pPr>
        <w:keepNext w:val="0"/>
        <w:spacing w:after="60"/>
        <w:ind w:left="227"/>
      </w:pPr>
      <w:hyperlink w:anchor="section_6">
        <w:r>
          <w:rPr>
            <w:color w:val="000000"/>
          </w:rPr>
          <w:t>2.2 Условия выборки</w:t>
        </w:r>
      </w:hyperlink>
    </w:p>
    <w:p>
      <w:pPr>
        <w:keepNext w:val="0"/>
        <w:spacing w:after="60"/>
        <w:ind w:left="227"/>
      </w:pPr>
      <w:hyperlink w:anchor="section_7">
        <w:r>
          <w:rPr>
            <w:color w:val="000000"/>
          </w:rPr>
          <w:t>2.3 Подразделения в Excel</w:t>
        </w:r>
      </w:hyperlink>
    </w:p>
    <w:p>
      <w:pPr>
        <w:keepNext w:val="0"/>
        <w:spacing w:after="60"/>
        <w:ind w:left="227"/>
      </w:pPr>
      <w:hyperlink w:anchor="section_8">
        <w:r>
          <w:rPr>
            <w:color w:val="000000"/>
          </w:rPr>
          <w:t>2.4 Пустые и большие документы</w:t>
        </w:r>
      </w:hyperlink>
    </w:p>
    <w:p>
      <w:pPr>
        <w:keepNext w:val="0"/>
        <w:spacing w:after="60"/>
        <w:ind w:left="227"/>
      </w:pPr>
      <w:hyperlink w:anchor="section_9">
        <w:r>
          <w:rPr>
            <w:color w:val="000000"/>
          </w:rPr>
          <w:t>2.5 Метки документа</w:t>
        </w:r>
      </w:hyperlink>
    </w:p>
    <w:p>
      <w:pPr>
        <w:keepNext w:val="0"/>
        <w:spacing w:after="60"/>
        <w:ind w:left="0"/>
      </w:pPr>
      <w:hyperlink w:anchor="section_10">
        <w:r>
          <w:rPr>
            <w:color w:val="000000"/>
            <w:b/>
          </w:rPr>
          <w:t>3 Как устроен сервис</w:t>
        </w:r>
      </w:hyperlink>
    </w:p>
    <w:p>
      <w:pPr>
        <w:keepNext w:val="0"/>
        <w:spacing w:after="60"/>
        <w:ind w:left="227"/>
      </w:pPr>
      <w:hyperlink w:anchor="section_11">
        <w:r>
          <w:rPr>
            <w:color w:val="000000"/>
          </w:rPr>
          <w:t>3.1 Компоненты и ответственность</w:t>
        </w:r>
      </w:hyperlink>
    </w:p>
    <w:p>
      <w:pPr>
        <w:keepNext w:val="0"/>
        <w:spacing w:after="60"/>
        <w:ind w:left="227"/>
      </w:pPr>
      <w:hyperlink w:anchor="section_12">
        <w:r>
          <w:rPr>
            <w:color w:val="000000"/>
          </w:rPr>
          <w:t>3.2 Путь запроса</w:t>
        </w:r>
      </w:hyperlink>
    </w:p>
    <w:p>
      <w:pPr>
        <w:keepNext w:val="0"/>
        <w:spacing w:after="60"/>
        <w:ind w:left="227"/>
      </w:pPr>
      <w:hyperlink w:anchor="section_13">
        <w:r>
          <w:rPr>
            <w:color w:val="000000"/>
          </w:rPr>
          <w:t>3.3 Очередь и хранилище</w:t>
        </w:r>
      </w:hyperlink>
    </w:p>
    <w:p>
      <w:pPr>
        <w:keepNext w:val="0"/>
        <w:spacing w:after="60"/>
        <w:ind w:left="227"/>
      </w:pPr>
      <w:hyperlink w:anchor="section_14">
        <w:r>
          <w:rPr>
            <w:color w:val="000000"/>
          </w:rPr>
          <w:t>3.4 Схемы процесса BPMN 2 0</w:t>
        </w:r>
      </w:hyperlink>
    </w:p>
    <w:p>
      <w:pPr>
        <w:keepNext w:val="0"/>
        <w:spacing w:after="60"/>
        <w:ind w:left="0"/>
      </w:pPr>
      <w:hyperlink w:anchor="section_15">
        <w:r>
          <w:rPr>
            <w:color w:val="000000"/>
            <w:b/>
          </w:rPr>
          <w:t>4 Сценарии и варианты событий</w:t>
        </w:r>
      </w:hyperlink>
    </w:p>
    <w:p>
      <w:pPr>
        <w:keepNext w:val="0"/>
        <w:spacing w:after="60"/>
        <w:ind w:left="227"/>
      </w:pPr>
      <w:hyperlink w:anchor="section_16">
        <w:r>
          <w:rPr>
            <w:color w:val="000000"/>
          </w:rPr>
          <w:t>4.1 Успешная выгрузка</w:t>
        </w:r>
      </w:hyperlink>
    </w:p>
    <w:p>
      <w:pPr>
        <w:keepNext w:val="0"/>
        <w:spacing w:after="60"/>
        <w:ind w:left="227"/>
      </w:pPr>
      <w:hyperlink w:anchor="section_17">
        <w:r>
          <w:rPr>
            <w:color w:val="000000"/>
          </w:rPr>
          <w:t>4.2 Ожидание и закрытие диалога</w:t>
        </w:r>
      </w:hyperlink>
    </w:p>
    <w:p>
      <w:pPr>
        <w:keepNext w:val="0"/>
        <w:spacing w:after="60"/>
        <w:ind w:left="227"/>
      </w:pPr>
      <w:hyperlink w:anchor="section_18">
        <w:r>
          <w:rPr>
            <w:color w:val="000000"/>
          </w:rPr>
          <w:t>4.3 Отмена</w:t>
        </w:r>
      </w:hyperlink>
    </w:p>
    <w:p>
      <w:pPr>
        <w:keepNext w:val="0"/>
        <w:spacing w:after="60"/>
        <w:ind w:left="227"/>
      </w:pPr>
      <w:hyperlink w:anchor="section_19">
        <w:r>
          <w:rPr>
            <w:color w:val="000000"/>
          </w:rPr>
          <w:t>4.4 Ошибка формирования и нехватка места</w:t>
        </w:r>
      </w:hyperlink>
    </w:p>
    <w:p>
      <w:pPr>
        <w:keepNext w:val="0"/>
        <w:spacing w:after="60"/>
        <w:ind w:left="227"/>
      </w:pPr>
      <w:hyperlink w:anchor="section_20">
        <w:r>
          <w:rPr>
            <w:color w:val="000000"/>
          </w:rPr>
          <w:t>4.5 Изменение доступа</w:t>
        </w:r>
      </w:hyperlink>
    </w:p>
    <w:p>
      <w:pPr>
        <w:keepNext w:val="0"/>
        <w:spacing w:after="60"/>
        <w:ind w:left="227"/>
      </w:pPr>
      <w:hyperlink w:anchor="section_21">
        <w:r>
          <w:rPr>
            <w:color w:val="000000"/>
          </w:rPr>
          <w:t>4.6 Обрыв и повторная попытка</w:t>
        </w:r>
      </w:hyperlink>
    </w:p>
    <w:p>
      <w:pPr>
        <w:keepNext w:val="0"/>
        <w:spacing w:after="60"/>
        <w:ind w:left="227"/>
      </w:pPr>
      <w:hyperlink w:anchor="section_22">
        <w:r>
          <w:rPr>
            <w:color w:val="000000"/>
          </w:rPr>
          <w:t>4.7 Перезапуск сервера</w:t>
        </w:r>
      </w:hyperlink>
    </w:p>
    <w:p>
      <w:pPr>
        <w:keepNext w:val="0"/>
        <w:spacing w:after="60"/>
        <w:ind w:left="227"/>
      </w:pPr>
      <w:hyperlink w:anchor="section_23">
        <w:r>
          <w:rPr>
            <w:color w:val="000000"/>
          </w:rPr>
          <w:t>4.8 Повреждение архива и потеря ключей</w:t>
        </w:r>
      </w:hyperlink>
    </w:p>
    <w:p>
      <w:pPr>
        <w:keepNext w:val="0"/>
        <w:spacing w:after="60"/>
        <w:ind w:left="227"/>
      </w:pPr>
      <w:hyperlink w:anchor="section_24">
        <w:r>
          <w:rPr>
            <w:color w:val="000000"/>
          </w:rPr>
          <w:t>4.9 Истечение срока</w:t>
        </w:r>
      </w:hyperlink>
    </w:p>
    <w:p>
      <w:pPr>
        <w:keepNext w:val="0"/>
        <w:spacing w:after="60"/>
        <w:ind w:left="227"/>
      </w:pPr>
      <w:hyperlink w:anchor="section_25">
        <w:r>
          <w:rPr>
            <w:color w:val="000000"/>
          </w:rPr>
          <w:t>4.10 Состояния и переходы</w:t>
        </w:r>
      </w:hyperlink>
    </w:p>
    <w:p>
      <w:pPr>
        <w:keepNext w:val="0"/>
        <w:spacing w:after="60"/>
        <w:ind w:left="227"/>
      </w:pPr>
      <w:hyperlink w:anchor="section_26">
        <w:r>
          <w:rPr>
            <w:color w:val="000000"/>
          </w:rPr>
          <w:t>4.11 События аудита</w:t>
        </w:r>
      </w:hyperlink>
    </w:p>
    <w:p>
      <w:pPr>
        <w:keepNext w:val="0"/>
        <w:spacing w:after="60"/>
        <w:ind w:left="0"/>
      </w:pPr>
      <w:hyperlink w:anchor="section_27">
        <w:r>
          <w:rPr>
            <w:color w:val="000000"/>
            <w:b/>
          </w:rPr>
          <w:t>5 Инструкция пользователя</w:t>
        </w:r>
      </w:hyperlink>
    </w:p>
    <w:p>
      <w:pPr>
        <w:keepNext w:val="0"/>
        <w:spacing w:after="60"/>
        <w:ind w:left="227"/>
      </w:pPr>
      <w:hyperlink w:anchor="section_28">
        <w:r>
          <w:rPr>
            <w:color w:val="000000"/>
          </w:rPr>
          <w:t>5.1 Подготовка и запуск</w:t>
        </w:r>
      </w:hyperlink>
    </w:p>
    <w:p>
      <w:pPr>
        <w:keepNext w:val="0"/>
        <w:spacing w:after="60"/>
        <w:ind w:left="227"/>
      </w:pPr>
      <w:hyperlink w:anchor="section_29">
        <w:r>
          <w:rPr>
            <w:color w:val="000000"/>
          </w:rPr>
          <w:t>5.2 Возврат и ошибки</w:t>
        </w:r>
      </w:hyperlink>
    </w:p>
    <w:p>
      <w:pPr>
        <w:keepNext w:val="0"/>
        <w:spacing w:after="60"/>
        <w:ind w:left="0"/>
      </w:pPr>
      <w:hyperlink w:anchor="section_30">
        <w:r>
          <w:rPr>
            <w:color w:val="000000"/>
            <w:b/>
          </w:rPr>
          <w:t>6 Инструкция Root</w:t>
        </w:r>
      </w:hyperlink>
    </w:p>
    <w:p>
      <w:pPr>
        <w:keepNext w:val="0"/>
        <w:spacing w:after="60"/>
        <w:ind w:left="227"/>
      </w:pPr>
      <w:hyperlink w:anchor="section_31">
        <w:r>
          <w:rPr>
            <w:color w:val="000000"/>
          </w:rPr>
          <w:t>6.1 Архив и расследование</w:t>
        </w:r>
      </w:hyperlink>
    </w:p>
    <w:p>
      <w:pPr>
        <w:keepNext w:val="0"/>
        <w:spacing w:after="60"/>
        <w:ind w:left="227"/>
      </w:pPr>
      <w:hyperlink w:anchor="section_32">
        <w:r>
          <w:rPr>
            <w:color w:val="000000"/>
          </w:rPr>
          <w:t>6.2 Срок хранения и роли</w:t>
        </w:r>
      </w:hyperlink>
    </w:p>
    <w:p>
      <w:pPr>
        <w:keepNext w:val="0"/>
        <w:spacing w:after="60"/>
        <w:ind w:left="0"/>
      </w:pPr>
      <w:hyperlink w:anchor="section_33">
        <w:r>
          <w:rPr>
            <w:color w:val="000000"/>
            <w:b/>
          </w:rPr>
          <w:t>7 Практическое руководство для junior разработчика</w:t>
        </w:r>
      </w:hyperlink>
    </w:p>
    <w:p>
      <w:pPr>
        <w:keepNext w:val="0"/>
        <w:spacing w:after="60"/>
        <w:ind w:left="227"/>
      </w:pPr>
      <w:hyperlink w:anchor="section_34">
        <w:r>
          <w:rPr>
            <w:color w:val="000000"/>
          </w:rPr>
          <w:t>7.1 Подготовка окружения и чтение кода</w:t>
        </w:r>
      </w:hyperlink>
    </w:p>
    <w:p>
      <w:pPr>
        <w:keepNext w:val="0"/>
        <w:spacing w:after="60"/>
        <w:ind w:left="227"/>
      </w:pPr>
      <w:hyperlink w:anchor="section_35">
        <w:r>
          <w:rPr>
            <w:color w:val="000000"/>
          </w:rPr>
          <w:t>7.2 Разбор существующего экспорта IP адресов</w:t>
        </w:r>
      </w:hyperlink>
    </w:p>
    <w:p>
      <w:pPr>
        <w:keepNext w:val="0"/>
        <w:spacing w:after="60"/>
        <w:ind w:left="227"/>
      </w:pPr>
      <w:hyperlink w:anchor="section_36">
        <w:r>
          <w:rPr>
            <w:color w:val="000000"/>
          </w:rPr>
          <w:t>7.3 Карта точек расширения</w:t>
        </w:r>
      </w:hyperlink>
    </w:p>
    <w:p>
      <w:pPr>
        <w:keepNext w:val="0"/>
        <w:spacing w:after="60"/>
        <w:ind w:left="227"/>
      </w:pPr>
      <w:hyperlink w:anchor="section_37">
        <w:r>
          <w:rPr>
            <w:color w:val="000000"/>
          </w:rPr>
          <w:t>7.4 Пошаговое подключение новой сущности</w:t>
        </w:r>
      </w:hyperlink>
    </w:p>
    <w:p>
      <w:pPr>
        <w:keepNext w:val="0"/>
        <w:spacing w:after="60"/>
        <w:ind w:left="227"/>
      </w:pPr>
      <w:hyperlink w:anchor="section_38">
        <w:r>
          <w:rPr>
            <w:color w:val="000000"/>
          </w:rPr>
          <w:t>7.5 Изменение существующих полей и версия схемы</w:t>
        </w:r>
      </w:hyperlink>
    </w:p>
    <w:p>
      <w:pPr>
        <w:keepNext w:val="0"/>
        <w:spacing w:after="60"/>
        <w:ind w:left="227"/>
      </w:pPr>
      <w:hyperlink w:anchor="section_39">
        <w:r>
          <w:rPr>
            <w:color w:val="000000"/>
          </w:rPr>
          <w:t>7.6 Пример регистрации новой области</w:t>
        </w:r>
      </w:hyperlink>
    </w:p>
    <w:p>
      <w:pPr>
        <w:keepNext w:val="0"/>
        <w:spacing w:after="60"/>
        <w:ind w:left="227"/>
      </w:pPr>
      <w:hyperlink w:anchor="section_40">
        <w:r>
          <w:rPr>
            <w:color w:val="000000"/>
          </w:rPr>
          <w:t>7.7 Типичные ошибки и диагностика</w:t>
        </w:r>
      </w:hyperlink>
    </w:p>
    <w:p>
      <w:pPr>
        <w:keepNext w:val="0"/>
        <w:spacing w:after="60"/>
        <w:ind w:left="227"/>
      </w:pPr>
      <w:hyperlink w:anchor="section_41">
        <w:r>
          <w:rPr>
            <w:color w:val="000000"/>
          </w:rPr>
          <w:t>7.8 Чек лист завершения подключения</w:t>
        </w:r>
      </w:hyperlink>
    </w:p>
    <w:p>
      <w:pPr>
        <w:keepNext w:val="0"/>
        <w:spacing w:after="60"/>
        <w:ind w:left="0"/>
      </w:pPr>
      <w:hyperlink w:anchor="section_42">
        <w:r>
          <w:rPr>
            <w:color w:val="000000"/>
            <w:b/>
          </w:rPr>
          <w:t>8 Проверка изменений</w:t>
        </w:r>
      </w:hyperlink>
    </w:p>
    <w:p>
      <w:pPr>
        <w:keepNext w:val="0"/>
        <w:spacing w:after="60"/>
        <w:ind w:left="227"/>
      </w:pPr>
      <w:hyperlink w:anchor="section_43">
        <w:r>
          <w:rPr>
            <w:color w:val="000000"/>
          </w:rPr>
          <w:t>8.1 Команды и безопасная среда</w:t>
        </w:r>
      </w:hyperlink>
    </w:p>
    <w:p>
      <w:pPr>
        <w:keepNext w:val="0"/>
        <w:spacing w:after="60"/>
        <w:ind w:left="227"/>
      </w:pPr>
      <w:hyperlink w:anchor="section_44">
        <w:r>
          <w:rPr>
            <w:color w:val="000000"/>
          </w:rPr>
          <w:t>8.2 Матрица приёмки</w:t>
        </w:r>
      </w:hyperlink>
    </w:p>
    <w:p>
      <w:pPr>
        <w:keepNext w:val="0"/>
        <w:spacing w:after="60"/>
        <w:ind w:left="227"/>
      </w:pPr>
      <w:hyperlink w:anchor="section_45">
        <w:r>
          <w:rPr>
            <w:color w:val="000000"/>
          </w:rPr>
          <w:t>8.3 Браузер и Office</w:t>
        </w:r>
      </w:hyperlink>
    </w:p>
    <w:p>
      <w:pPr>
        <w:keepNext w:val="0"/>
        <w:spacing w:after="60"/>
        <w:ind w:left="0"/>
      </w:pPr>
      <w:hyperlink w:anchor="section_46">
        <w:r>
          <w:rPr>
            <w:color w:val="000000"/>
            <w:b/>
          </w:rPr>
          <w:t>9 Развёртывание и эксплуатация</w:t>
        </w:r>
      </w:hyperlink>
    </w:p>
    <w:p>
      <w:pPr>
        <w:keepNext w:val="0"/>
        <w:spacing w:after="60"/>
        <w:ind w:left="227"/>
      </w:pPr>
      <w:hyperlink w:anchor="section_47">
        <w:r>
          <w:rPr>
            <w:color w:val="000000"/>
          </w:rPr>
          <w:t>9.1 Миграция и параметры</w:t>
        </w:r>
      </w:hyperlink>
    </w:p>
    <w:p>
      <w:pPr>
        <w:keepNext w:val="0"/>
        <w:spacing w:after="60"/>
        <w:ind w:left="227"/>
      </w:pPr>
      <w:hyperlink w:anchor="section_48">
        <w:r>
          <w:rPr>
            <w:color w:val="000000"/>
          </w:rPr>
          <w:t>9.2 Ключи и доступ к диску</w:t>
        </w:r>
      </w:hyperlink>
    </w:p>
    <w:p>
      <w:pPr>
        <w:keepNext w:val="0"/>
        <w:spacing w:after="60"/>
        <w:ind w:left="227"/>
      </w:pPr>
      <w:hyperlink w:anchor="section_49">
        <w:r>
          <w:rPr>
            <w:color w:val="000000"/>
          </w:rPr>
          <w:t>9.3 Резервирование и восстановление</w:t>
        </w:r>
      </w:hyperlink>
    </w:p>
    <w:p>
      <w:pPr>
        <w:keepNext w:val="0"/>
        <w:spacing w:after="60"/>
        <w:ind w:left="227"/>
      </w:pPr>
      <w:hyperlink w:anchor="section_50">
        <w:r>
          <w:rPr>
            <w:color w:val="000000"/>
          </w:rPr>
          <w:t>9.4 Очистка и диагностика</w:t>
        </w:r>
      </w:hyperlink>
    </w:p>
    <w:p>
      <w:pPr>
        <w:keepNext w:val="0"/>
        <w:spacing w:after="60"/>
        <w:ind w:left="227"/>
      </w:pPr>
      <w:hyperlink w:anchor="section_51">
        <w:r>
          <w:rPr>
            <w:color w:val="000000"/>
          </w:rPr>
          <w:t>9.5 Рост объёмов и количества сущностей</w:t>
        </w:r>
      </w:hyperlink>
    </w:p>
    <w:p>
      <w:pPr>
        <w:keepNext w:val="0"/>
        <w:spacing w:after="60"/>
        <w:ind w:left="0"/>
      </w:pPr>
      <w:hyperlink w:anchor="section_52">
        <w:r>
          <w:rPr>
            <w:color w:val="000000"/>
            <w:b/>
          </w:rPr>
          <w:t>10 Приложения</w:t>
        </w:r>
      </w:hyperlink>
    </w:p>
    <w:p>
      <w:pPr>
        <w:keepNext w:val="0"/>
        <w:spacing w:after="60"/>
        <w:ind w:left="227"/>
      </w:pPr>
      <w:hyperlink w:anchor="section_53">
        <w:r>
          <w:rPr>
            <w:color w:val="000000"/>
          </w:rPr>
          <w:t>10.1 Интерфейс сервиса</w:t>
        </w:r>
      </w:hyperlink>
    </w:p>
    <w:p>
      <w:pPr>
        <w:keepNext w:val="0"/>
        <w:spacing w:after="60"/>
        <w:ind w:left="227"/>
      </w:pPr>
      <w:hyperlink w:anchor="section_54">
        <w:r>
          <w:rPr>
            <w:color w:val="000000"/>
          </w:rPr>
          <w:t>10.2 Параметры запроса</w:t>
        </w:r>
      </w:hyperlink>
    </w:p>
    <w:p>
      <w:pPr>
        <w:keepNext w:val="0"/>
        <w:spacing w:after="60"/>
        <w:ind w:left="227"/>
      </w:pPr>
      <w:hyperlink w:anchor="section_55">
        <w:r>
          <w:rPr>
            <w:color w:val="000000"/>
          </w:rPr>
          <w:t>10.3 Permissions</w:t>
        </w:r>
      </w:hyperlink>
    </w:p>
    <w:p>
      <w:pPr>
        <w:keepNext w:val="0"/>
        <w:spacing w:after="60"/>
        <w:ind w:left="227"/>
      </w:pPr>
      <w:hyperlink w:anchor="section_56">
        <w:r>
          <w:rPr>
            <w:color w:val="000000"/>
          </w:rPr>
          <w:t>10.4 Термины и документация проекта</w:t>
        </w:r>
      </w:hyperlink>
    </w:p>
    <w:p>
      <w:pPr>
        <w:pStyle w:val="Heading1"/>
      </w:pPr>
      <w:bookmarkStart w:id="1" w:name="section_1"/>
      <w:r>
        <w:t>1 Назначение сервиса</w:t>
      </w:r>
      <w:bookmarkEnd w:id="1"/>
    </w:p>
    <w:p>
      <w:r>
        <w:t>Сервис экспорта Guard формирует Excel и Word из списков сотрудников, подразделений и IP-адресов. Он сохраняет на сервере точную копию выданного файла, чтобы Root мог изучить содержание выгрузки при расследовании утечки. Работа пользователя не блокируется на время формирования: запрос сохраняется как задание и обрабатывается в фоне.</w:t>
      </w:r>
    </w:p>
    <w:p>
      <w:r>
        <w:t>Руководство предназначено для пользователей, Root, администраторов сервера и junior-разработчиков, подключающих новые сущности. Оно описывает текущую реализацию в ветке codex/data-export и отделяет существующие возможности от направлений развития.</w:t>
      </w:r>
    </w:p>
    <w:p>
      <w:pPr>
        <w:pStyle w:val="Heading2"/>
      </w:pPr>
      <w:bookmarkStart w:id="2" w:name="section_2"/>
      <w:r>
        <w:t>1.1 Поддерживаемые области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Область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Форматы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Состав данных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Сотрудники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XLSX и DOCX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Фамилия, имя, отчество, подразделение, статус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Подразделения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XLSX и DOCX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Поля списка подразделений, включая родителя и справочники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IP-адреса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XLSX и DOCX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Адрес или подсеть, описание, подразделение, статус</w:t>
            </w:r>
          </w:p>
        </w:tc>
      </w:tr>
    </w:tbl>
    <w:p>
      <w:pPr>
        <w:spacing w:after="40"/>
      </w:pPr>
    </w:p>
    <w:p>
      <w:r>
        <w:t>CSV удалён. Назначенные IP-адресам сотрудники не включаются в выгрузку. Поля полной карточки сотрудника не добавляются автоматически. При разделении результата на части пользователь получает ZIP с несколькими XLSX или DOCX.</w:t>
      </w:r>
    </w:p>
    <w:p>
      <w:pPr>
        <w:pStyle w:val="Heading2"/>
      </w:pPr>
      <w:bookmarkStart w:id="3" w:name="section_3"/>
      <w:r>
        <w:t>1.2 Возможности и ограничения</w:t>
      </w:r>
      <w:bookmarkEnd w:id="3"/>
    </w:p>
    <w:p>
      <w:r>
        <w:t>Общими являются очередь, создание снимка, формирование файлов, шифрование, хранение и передача. Подключение новой сущности требует явной регистрации DTO, запроса, фильтров и правил доступа. Автоматического Export&lt;T&gt; или обнаружения любой EF-сущности по DisplayName сейчас нет.</w:t>
      </w:r>
    </w:p>
    <w:p>
      <w:r>
        <w:t>Предусмотрен один сервер и последовательная обработка заданий. Нет точного процента выполнения: движущаяся полоса показывает ожидание или работу. После начала передачи повторное скачивание той же выгрузки запрещено. Архив предназначен для просмотра Root, а не для повторной выдачи файла пользователю.</w:t>
      </w:r>
    </w:p>
    <w:p>
      <w:r>
        <w:t>Перед эксплуатацией требуются миграция БД, настройка постоянного каталога и ключей шифрования, права ролей и проверка восстановления. Неограниченный объём, несколько серверов и параллельные worker текущей реализацией не гарантируются.</w:t>
      </w:r>
    </w:p>
    <w:p>
      <w:pPr>
        <w:pStyle w:val="Heading1"/>
      </w:pPr>
      <w:bookmarkStart w:id="4" w:name="section_4"/>
      <w:r>
        <w:t>2 Правила формирования документов</w:t>
      </w:r>
      <w:bookmarkEnd w:id="4"/>
    </w:p>
    <w:p>
      <w:pPr>
        <w:pStyle w:val="Heading2"/>
      </w:pPr>
      <w:bookmarkStart w:id="5" w:name="section_5"/>
      <w:r>
        <w:t>2.1 Состав полей и заголовки</w:t>
      </w:r>
      <w:bookmarkEnd w:id="5"/>
    </w:p>
    <w:p>
      <w:r>
        <w:t>Поля фиксируются отдельным DTO экспорта и явным массивом ExportSchema. DisplayName задаёт русский заголовок; массив схемы определяет порядок. Свойство, добавленное в DTO, не попадёт в файл, пока его не включат в схему и проекцию снимка.</w:t>
      </w:r>
    </w:p>
    <w:p>
      <w:r>
        <w:t>Числа int и конечные double записываются в Excel как числа. bool получает логическую ячейку и представление «Да» или «Нет». null означает пустую ячейку. Остальные типы сейчас преобразуются в текст. Для decimal, long и дат разработчик должен отдельно проверить точность и формат. Строка, начинающаяся со знака формулы, остаётся текстом.</w:t>
      </w:r>
    </w:p>
    <w:p>
      <w:pPr>
        <w:pStyle w:val="Heading2"/>
      </w:pPr>
      <w:bookmarkStart w:id="6" w:name="section_6"/>
      <w:r>
        <w:t>2.2 Условия выборки</w:t>
      </w:r>
      <w:bookmarkEnd w:id="6"/>
    </w:p>
    <w:p>
      <w:r>
        <w:t>Экспорт включает все записи по применённым фильтрам, режиму статусов, иерархии и сортировке. Ограничение страницы таблицы не применяется. Изменения конструктора до нажатия «Применить» не влияют на выгрузку. Разрешённые пользовательские условия только сужают серверную область доступа.</w:t>
      </w:r>
    </w:p>
    <w:p>
      <w:r>
        <w:t>Параметры запроса фиксируются при создании задания. Сами данные фиксируются позднее, когда worker выполняет выборку в транзакции RepeatableRead. Поэтому запись, изменившаяся за время ожидания в очереди, может войти в документ уже с новым значением. После сохранения документа содержимое архивной копии не пересоздаётся из текущей БД.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Включаемые состояния сущностей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Дополнительный доступ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Активные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Inserted, Modified, Blocked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Право экспорта и чтения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Архив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Archived, ArchivedBlocked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ReadArchive для сотрудников и подразделений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Удалённые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Deleted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Только Root</w:t>
            </w:r>
          </w:p>
        </w:tc>
      </w:tr>
    </w:tbl>
    <w:p>
      <w:pPr>
        <w:spacing w:after="40"/>
      </w:pPr>
    </w:p>
    <w:p>
      <w:r>
        <w:t>Статусы задания экспорта и Status сущности — разные перечисления. В текущей области IP-адресов отдельное право ReadArchive не используется. Режим «Только свои» при отсутствии корректного подразделения возвращает пустой список, включая Root. Полный серверный доступ Root не отменяет выбранное ограничение отображения.</w:t>
      </w:r>
    </w:p>
    <w:p>
      <w:pPr>
        <w:pStyle w:val="Heading2"/>
      </w:pPr>
      <w:bookmarkStart w:id="7" w:name="section_7"/>
      <w:r>
        <w:t>2.3 Подразделения в Excel</w:t>
      </w:r>
      <w:bookmarkEnd w:id="7"/>
    </w:p>
    <w:p>
      <w:r>
        <w:t>Первыми колонками XLSX идут «Уровень 1», «Уровень 2» и далее: от корня дерева до непосредственного подразделения. Для строки подразделения включается оно само. Наибольшая глубина выбранных цепочек определяет число колонок; короткие цепочки дополняются пустыми ячейками. У записи без подразделения цепочка пустая.</w:t>
      </w:r>
    </w:p>
    <w:p>
      <w:r>
        <w:t>Если дерево имеет несколько корней, каждая цепочка начинается со своего фактического корня; искусственный общий узел не создаётся. Имена предков не предоставляют права просмотра чужих карточек. ParentId и Path должны быть согласованы: цикл, пропущенный предок, неверный путь или глубина свыше 64 приводят к ошибке.</w:t>
      </w:r>
    </w:p>
    <w:p>
      <w:r>
        <w:t>Пример цепочки: Организация → Управление → Отдел. Она занимает три отдельные колонки, что позволяет группировать строки в сводной таблице Excel. Word содержит обычную таблицу фиксированных полей DTO без дополнительных колонок уровней.</w:t>
      </w:r>
    </w:p>
    <w:p>
      <w:pPr>
        <w:pStyle w:val="Heading2"/>
      </w:pPr>
      <w:bookmarkStart w:id="8" w:name="section_8"/>
      <w:r>
        <w:t>2.4 Пустые и большие документы</w:t>
      </w:r>
      <w:bookmarkEnd w:id="8"/>
    </w:p>
    <w:p>
      <w:r>
        <w:t>Пустая выборка формирует файл с заголовками и сообщением «Записи не найдены». Это успешный результат, а не ошибка. По умолчанию в одной части до 50000 строк. При превышении RowsPerPart сервис создаёт ZIP; архив расследования хранит точные байты ZIP, а предпросмотр позволяет выбрать часть.</w:t>
      </w:r>
    </w:p>
    <w:p>
      <w:r>
        <w:t>RowsPerPart ограничивает часть, а не общий размер задания. Широкая таблица Word требует визуальной проверки: документ имеет альбомную ориентацию, но большое число колонок может затруднить чтение.</w:t>
      </w:r>
    </w:p>
    <w:p>
      <w:pPr>
        <w:pStyle w:val="Heading2"/>
      </w:pPr>
      <w:bookmarkStart w:id="9" w:name="section_9"/>
      <w:r>
        <w:t>2.5 Метки документа</w:t>
      </w:r>
      <w:bookmarkEnd w:id="9"/>
    </w:p>
    <w:p>
      <w:r>
        <w:t>В документе указаны автор, номер выгрузки и время формирования. Excel содержит лист «Сведения о выгрузке», Word — заголовок и колонтитул с нумерацией страниц. Идентификатор связывает файл, реестр и аудит. Время в БД хранится в UTC; для отображения документ использует часовой пояс запроса.</w:t>
      </w:r>
    </w:p>
    <w:p>
      <w:r>
        <w:t>Метки помогают расследованию, но их можно удалить при редактировании файла. SHA-256 подтверждает соответствие архивной копии сохранённым байтам, а не достоверность изменённого пользователем документа.</w:t>
      </w:r>
    </w:p>
    <w:p>
      <w:pPr>
        <w:pStyle w:val="Heading1"/>
      </w:pPr>
      <w:bookmarkStart w:id="10" w:name="section_10"/>
      <w:r>
        <w:t>3 Как устроен сервис</w:t>
      </w:r>
      <w:bookmarkEnd w:id="10"/>
    </w:p>
    <w:p>
      <w:pPr>
        <w:pStyle w:val="Heading2"/>
      </w:pPr>
      <w:bookmarkStart w:id="11" w:name="section_11"/>
      <w:r>
        <w:t>3.1 Компоненты и ответственность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ExportActions и ExportProgress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Меню форматов, запуск, показ состояния, отмена и форма скачивания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DataExportService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Проверка запроса, создание задания, доступ к своим заданиям и Root-архиву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ExportAccess и ExportQueries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Полномочия автора и разрешённая выборка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ExportSnapshot и ExportHierarchy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Согласованный снимок DTO и цепочки подразделений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ExportDocumentWriter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Потоковое создание XLSX, DOCX и частей ZIP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ExportStorage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Защищённые файлы, рабочие каталоги, проверка размера и SHA-256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ExportProcessor и ExportWorker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Последовательная обработка, восстановление и очистка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ExportEndpoints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Защищённая однократная HTTP-передача</w:t>
            </w:r>
          </w:p>
        </w:tc>
      </w:tr>
    </w:tbl>
    <w:p>
      <w:pPr>
        <w:spacing w:after="40"/>
      </w:pPr>
    </w:p>
    <w:p>
      <w:pPr>
        <w:pStyle w:val="Heading2"/>
      </w:pPr>
      <w:bookmarkStart w:id="12" w:name="section_12"/>
      <w:r>
        <w:t>3.2 Путь запроса</w:t>
      </w:r>
      <w:bookmarkEnd w:id="12"/>
    </w:p>
    <w:p>
      <w:r>
        <w:t>Компонент списка строит ExportRequest из применённых условий. Сервис проверяет параметры и права, фиксирует автора и создаёт ExportJob. Worker повторно получает реальные полномочия автора, строит снимок строк, формирует файл и сохраняет его защищённую копию. Реестр файла и Ready фиксируются одной транзакцией БД после сохранения файла.</w:t>
      </w:r>
    </w:p>
    <w:p>
      <w:r>
        <w:t>Общей транзакции PostgreSQL и диска нет. Незавершённые файлы не становятся доступными для скачивания; предусмотрены очистка и сверка объектов без реестра. Перед передачей проверяются контрольная сумма и актуальный доступ, затем Ready атомарно заменяется на Delivering и записывается единственная попытка передачи.</w:t>
      </w:r>
    </w:p>
    <w:p>
      <w:pPr>
        <w:pStyle w:val="Heading2"/>
      </w:pPr>
      <w:bookmarkStart w:id="13" w:name="section_13"/>
      <w:r>
        <w:t>3.3 Очередь и хранилище</w:t>
      </w:r>
      <w:bookmarkEnd w:id="13"/>
    </w:p>
    <w:p>
      <w:r>
        <w:t>По умолчанию допускается до трёх заданий пользователя в Queued, Processing или Ready. Лимит проверяется под транзакционной advisory-блокировкой пользователя. Worker обрабатывает очередь последовательно и держит отдельную сеансовую advisory-блокировку PostgreSQL для защиты от перекрывающихся запусков процессов.</w:t>
      </w:r>
    </w:p>
    <w:p>
      <w:r>
        <w:t>Основная БД содержит четыре таблицы: ExportJobs, ExportArtifacts, ExportDeliveryAttempts, ExportRetentionSettings. Файл хранится отдельно от БД. Полные строки результата не записываются в таблицу заданий: для формирования используется зашифрованный промежуточный файл.</w:t>
      </w:r>
    </w:p>
    <w:p>
      <w:r>
        <w:t>Архив шифруется блоками ASP.NET Core Data Protection. Контекст блока содержит назначение и индекс, что позволяет обнаружить перестановку, усечение и подмену. На рабочем диске кратковременно существуют открытые Office-файлы, поскольку формирование и предпросмотр требуют seekable-файл.</w:t>
      </w:r>
    </w:p>
    <w:p>
      <w:pPr>
        <w:pStyle w:val="Heading2"/>
      </w:pPr>
      <w:bookmarkStart w:id="14" w:name="section_14"/>
      <w:r>
        <w:t>3.4 Схемы процесса BPMN 2 0</w:t>
      </w:r>
      <w:bookmarkEnd w:id="14"/>
    </w:p>
    <w:p>
      <w:r>
        <w:t>На следующей странице показан основной процесс экспорта. Диаграмма использует задачи пользователя и сервиса, дорожки ответственности, исключающие шлюзы, начальные и конечные события, а также граничное событие ошибки формирования. Это описательная схема; она не исполняется BPMN-движком приложения.</w:t>
      </w:r>
    </w:p>
    <w:p>
      <w:pPr>
        <w:sectPr>
          <w:footerReference w:type="default" r:id="rId9"/>
          <w:pgSz w:w="11906" w:h="16838"/>
          <w:pgMar w:top="1134" w:right="1247" w:bottom="1134" w:left="1247" w:header="510" w:footer="510" w:gutter="0"/>
          <w:cols w:space="720"/>
          <w:docGrid w:linePitch="360"/>
        </w:sectPr>
      </w:pPr>
    </w:p>
    <w:p>
      <w:pPr>
        <w:pStyle w:val="Heading2"/>
        <w:spacing w:before="0"/>
      </w:pPr>
      <w:r>
        <w:t>Основной процесс экспорта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64959" cy="5436000"/>
            <wp:docPr id="1" name="Picture 1" descr="Схема BPMN 2.0 процесса экспорта Guard с дорожками пользователя сервиса и архи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959" cy="5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907" w:bottom="794" w:left="907" w:header="510" w:footer="510" w:gutter="0"/>
          <w:cols w:space="720"/>
          <w:docGrid w:linePitch="360"/>
        </w:sectPr>
      </w:pPr>
    </w:p>
    <w:p>
      <w:r>
        <w:t>Просмотр архива и очистка — отдельные процессы. Предпросмотр требует Root и чтения сохранённого документа. Очистка запускается примерно каждые 30 секунд; ежедневной является сверка файлов без реестра, а не удаление просроченных заданий.</w:t>
      </w:r>
    </w:p>
    <w:p>
      <w:pPr>
        <w:sectPr>
          <w:pgSz w:w="11906" w:h="16838"/>
          <w:pgMar w:top="1134" w:right="1247" w:bottom="1134" w:left="1247" w:header="510" w:footer="510" w:gutter="0"/>
          <w:cols w:space="720"/>
          <w:docGrid w:linePitch="360"/>
        </w:sectPr>
      </w:pPr>
    </w:p>
    <w:p>
      <w:pPr>
        <w:pStyle w:val="Heading2"/>
        <w:spacing w:before="0"/>
      </w:pPr>
      <w:r>
        <w:t>Просмотр архива и очистка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9072000" cy="3342316"/>
            <wp:docPr id="2" name="Picture 2" descr="Схема BPMN 2.0 процесса экспорта Guard с дорожками пользователя сервиса и архи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34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9072000" cy="2114526"/>
            <wp:docPr id="3" name="Picture 3" descr="Схема BPMN 2.0 процесса экспорта Guard с дорожками пользователя сервиса и архи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11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907" w:bottom="794" w:left="907" w:header="510" w:footer="510" w:gutter="0"/>
          <w:cols w:space="720"/>
          <w:docGrid w:linePitch="360"/>
        </w:sectPr>
      </w:pPr>
    </w:p>
    <w:p>
      <w:pPr>
        <w:pStyle w:val="Heading1"/>
      </w:pPr>
      <w:bookmarkStart w:id="15" w:name="section_15"/>
      <w:r>
        <w:t>4 Сценарии и варианты событий</w:t>
      </w:r>
      <w:bookmarkEnd w:id="15"/>
    </w:p>
    <w:p>
      <w:pPr>
        <w:pStyle w:val="Heading2"/>
      </w:pPr>
      <w:bookmarkStart w:id="16" w:name="section_16"/>
      <w:r>
        <w:t>4.1 Успешная выгрузка</w:t>
      </w:r>
      <w:bookmarkEnd w:id="16"/>
    </w:p>
    <w:p>
      <w:r>
        <w:t>Пользователь применяет фильтр и выбирает Excel или Word. Задание проходит Queued → Processing → Ready. Полоса ожидания движется, но не показывает процент. Ready означает, что документ сформирован, точная копия сохранена и доступ повторно проверен.</w:t>
      </w:r>
    </w:p>
    <w:p>
      <w:r>
        <w:t>Нажатие «Скачать» отправляет POST с antiforgery-токеном. После проверки начинается Delivering, затем Delivered. «Файл передан сервером» означает успешную запись и завершение HTTP-передачи сервером; это не доказывает, что пользователь сохранил или открыл файл.</w:t>
      </w:r>
    </w:p>
    <w:p>
      <w:pPr>
        <w:pStyle w:val="Heading2"/>
      </w:pPr>
      <w:bookmarkStart w:id="17" w:name="section_17"/>
      <w:r>
        <w:t>4.2 Ожидание и закрытие диалога</w:t>
      </w:r>
      <w:bookmarkEnd w:id="17"/>
    </w:p>
    <w:p>
      <w:r>
        <w:t>Queued означает ожидание worker, а Processing — создание снимка, документа и архивной копии. Изменение полосы не связано с количеством обработанных строк. Состояние диалога опрашивается примерно раз в две секунды. Короткий Processing может не успеть отобразиться между опросами.</w:t>
      </w:r>
    </w:p>
    <w:p>
      <w:r>
        <w:t>Закрытие диалога прекращает его опрос, но не отменяет задание. Пользователь возвращается через «Меню → Незавершённые выгрузки» той же таблицы. Выводятся собственные задания этой области. Для отмены нужна отдельная кнопка «Отменить выгрузку».</w:t>
      </w:r>
    </w:p>
    <w:p>
      <w:pPr>
        <w:pStyle w:val="Heading2"/>
      </w:pPr>
      <w:bookmarkStart w:id="18" w:name="section_18"/>
      <w:r>
        <w:t>4.3 Отмена</w:t>
      </w:r>
      <w:bookmarkEnd w:id="18"/>
    </w:p>
    <w:p>
      <w:r>
        <w:t>Отмена допустима в Queued, Processing и Ready. Сервис устанавливает CancelRequested, после чего передача запрещается сразу. Фоновая обработка замечает отмену в контрольных точках; состояние становится Cancelled. Переход может отображаться с задержкой. Начавшуюся передачу Delivering этой кнопкой отменить нельзя.</w:t>
      </w:r>
    </w:p>
    <w:p>
      <w:r>
        <w:t>Файл Ready после отмены может остаться в архиве до истечения срока хранения; Cancelled не означает немедленного физического удаления. Не используйте отмену как операцию удаления доказательств.</w:t>
      </w:r>
    </w:p>
    <w:p>
      <w:pPr>
        <w:pStyle w:val="Heading2"/>
      </w:pPr>
      <w:bookmarkStart w:id="19" w:name="section_19"/>
      <w:r>
        <w:t>4.4 Ошибка формирования и нехватка места</w:t>
      </w:r>
      <w:bookmarkEnd w:id="19"/>
    </w:p>
    <w:p>
      <w:r>
        <w:t>Недопустимый запрос или недостаток прав может быть отклонён до создания задания. Если ошибка возникла в worker, Processing переходит в Failed. Пользователь получает понятное сообщение, технические детали записываются в ILogger. Таймаут по умолчанию — 30 минут обработки; время ожидания в очереди в этот таймаут не входит.</w:t>
      </w:r>
    </w:p>
    <w:p>
      <w:r>
        <w:t>При нехватке места проверьте свободный диск, архив и рабочий каталог. Не удаляйте произвольные файлы вручную. Если запрос слишком велик, сузьте фильтры или обсудите с администратором настройку и производительность. После устранения причины создайте новое задание.</w:t>
      </w:r>
    </w:p>
    <w:p>
      <w:pPr>
        <w:pStyle w:val="Heading2"/>
      </w:pPr>
      <w:bookmarkStart w:id="20" w:name="section_20"/>
      <w:r>
        <w:t>4.5 Изменение доступа</w:t>
      </w:r>
      <w:bookmarkEnd w:id="20"/>
    </w:p>
    <w:p>
      <w:r>
        <w:t>Права автора проверяются при создании, в worker, после формирования и непосредственно перед выдачей. Если право экспорта отозвано, учётная запись недоступна или security stamp изменился, выдача запрещается. Для обычного пользователя проверяется доступ ко всем подразделениям сохранённого файла; файл не обрезается задним числом.</w:t>
      </w:r>
    </w:p>
    <w:p>
      <w:r>
        <w:t>При сужении области нужно создать новую выгрузку с текущими правами. Отказ до начала передачи не обязательно переводит Ready в Failed: задание может остаться Ready, но повторная проверка всё равно запретит выдачу. До потребления попытки HTTP-отказ и состояние задания не являются одним и тем же событием.</w:t>
      </w:r>
    </w:p>
    <w:p>
      <w:pPr>
        <w:pStyle w:val="Heading2"/>
      </w:pPr>
      <w:bookmarkStart w:id="21" w:name="section_21"/>
      <w:r>
        <w:t>4.6 Обрыв и повторная попытка</w:t>
      </w:r>
      <w:bookmarkEnd w:id="21"/>
    </w:p>
    <w:p>
      <w:r>
        <w:t>После перехода в Delivering попытка уже потреблена. Обрыв сети приводит к Failed, если результат удалось записать. Повторный запрос получает отказ; частичное скачивание Range не поддерживается. Решение — новое задание, а не изменение статуса в БД.</w:t>
      </w:r>
    </w:p>
    <w:p>
      <w:r>
        <w:t>Endpoint возвращает 403 при запрете доступа или ошибке antiforgery, 404 для отсутствующего собственного задания и 409 для конфликта состояния или других ошибок до отправки тела. После начала ответа код ошибки может уже не измениться: соединение прерывается. Эти коды относятся к HTTP-скачиванию, а не ко всем методам сервиса.</w:t>
      </w:r>
    </w:p>
    <w:p>
      <w:pPr>
        <w:pStyle w:val="Heading2"/>
      </w:pPr>
      <w:bookmarkStart w:id="22" w:name="section_22"/>
      <w:r>
        <w:t>4.7 Перезапуск сервера</w:t>
      </w:r>
      <w:bookmarkEnd w:id="22"/>
    </w:p>
    <w:p>
      <w:r>
        <w:t>При восстановлении Processing возвращается в Queued и может быть сформирован заново по сохранённому запросу. Данные при повторной обработке могут отличаться от невыданного промежуточного снимка. Delivering переводится в Failed без разрешения повторной выдачи. Ready и Delivered сохраняют архивную копию до срока хранения.</w:t>
      </w:r>
    </w:p>
    <w:p>
      <w:r>
        <w:t>Worker очищает рабочие файлы и ежедневно сверяет файлы без реестра старше суток. Если результат commit БД неясен, сервис проверяет наличие ссылки на файл перед удалением. Расширение восстановления должно сохранять это правило.</w:t>
      </w:r>
    </w:p>
    <w:p>
      <w:pPr>
        <w:pStyle w:val="Heading2"/>
      </w:pPr>
      <w:bookmarkStart w:id="23" w:name="section_23"/>
      <w:r>
        <w:t>4.8 Повреждение архива и потеря ключей</w:t>
      </w:r>
      <w:bookmarkEnd w:id="23"/>
    </w:p>
    <w:p>
      <w:r>
        <w:t>Перед передачей и предпросмотром проверяются расшифрованный размер и SHA-256. Повреждённый или нечитаемый файл не выдаётся. При ошибке администратор проверяет наличие файла, ключи Data Protection, ApplicationName и журнал с номером выгрузки.</w:t>
      </w:r>
    </w:p>
    <w:p>
      <w:r>
        <w:t>Потеря ключей может сделать архив необратимо нечитаемым. Создание новых ключей не расшифрует старую копию. Восстанавливайте согласованные резервные копии БД, файлов и ключей на изолированной среде. Не записывайте содержимое документов, ключи или персональные данные в диагностический лог.</w:t>
      </w:r>
    </w:p>
    <w:p>
      <w:pPr>
        <w:pStyle w:val="Heading2"/>
      </w:pPr>
      <w:bookmarkStart w:id="24" w:name="section_24"/>
      <w:r>
        <w:t>4.9 Истечение срока</w:t>
      </w:r>
      <w:bookmarkEnd w:id="24"/>
    </w:p>
    <w:p>
      <w:r>
        <w:t>Срок по умолчанию — три календарных года от создания задания. Просроченный файл недоступен для передачи и предпросмотра ещё до выполнения очистки. После успешной очистки состояние становится Expired, файл и метаданные передачи удаляются, автор, IP, фильтр и другие персональные сведения очищаются.</w:t>
      </w:r>
    </w:p>
    <w:p>
      <w:r>
        <w:t>Остаётся обезличенная отметка идентификатора, области, формата, времени и состояния. События аудита безопасности и резервные копии имеют собственные политики хранения; очистка рабочего архива не удаляет их автоматически.</w:t>
      </w:r>
    </w:p>
    <w:p>
      <w:pPr>
        <w:pStyle w:val="Heading2"/>
      </w:pPr>
      <w:bookmarkStart w:id="25" w:name="section_25"/>
      <w:r>
        <w:t>4.10 Состояния и переходы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Основные дальнейшие переходы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Queued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Запрос в очереди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Processing, Cancelled, Expired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Processing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Снимок и формирование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Ready, Failed, Cancelled; после сбоя Queued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Ready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Файл сохранён и готов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Delivering, Cancelled, Expired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Delivering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Попытка выдачи потреблена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Delivered или Failed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Delivered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Сервер завершил передачу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Expired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Failed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Обработка или передача не завершена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Expired; повтор через новое задание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Cancelled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 отменил задание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Expired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Expired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Срок истёк и очистка выполнена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Конечное состояние</w:t>
            </w:r>
          </w:p>
        </w:tc>
      </w:tr>
    </w:tbl>
    <w:p>
      <w:pPr>
        <w:spacing w:after="40"/>
      </w:pPr>
    </w:p>
    <w:p>
      <w:r>
        <w:t>Очистка не переводит Processing и Delivering в Expired посреди операции. Контрольные точки, таймаут и восстановление сначала завершают активную работу. Изменять состояния вручную через БД нельзя.</w:t>
      </w:r>
    </w:p>
    <w:p>
      <w:pPr>
        <w:pStyle w:val="Heading2"/>
      </w:pPr>
      <w:bookmarkStart w:id="26" w:name="section_26"/>
      <w:r>
        <w:t>4.11 События аудита</w:t>
      </w:r>
      <w:bookmarkEnd w:id="2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Событие и код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Когда фиксируется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Основные сведения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ExportRequested 22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Задание создано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Автор, IP при наличии, ID, область, формат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ExportArchived 23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Копия сохранена и Ready зафиксирован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ID, число строк, SHA-256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ExportDeliveryStarted 24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Потреблена попытка передачи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Автор, ID, IP задания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ExportDeliveryCompleted 25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Передача успешно завершена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 и ID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ExportFailed 26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Ошибка обработки или передачи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 и ID; детали в техническом логе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ExportCancelled 27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Принята отмена; также при её обработке worker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 и ID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ExportArchiveViewed 28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 получил метаданные или предпросмотр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Root, ID; часть и смещение для предпросмотра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ExportRetentionChanged 29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Изменён срок хранения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 и число лет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ExportExpired 30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Очистка просроченного задания завершена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Автор на момент события и ID</w:t>
            </w:r>
          </w:p>
        </w:tc>
      </w:tr>
    </w:tbl>
    <w:p>
      <w:pPr>
        <w:spacing w:after="40"/>
      </w:pPr>
    </w:p>
    <w:p>
      <w:r>
        <w:t>Отказ в доступе при скачивании дополнительно использует общее событие AccessDenied. Один запрос может породить несколько событий ошибки или отмены: аудит нельзя трактовать как таблицу с одной строкой на переход. AuditSaveChangesInterceptor заполняет метаданные сущностей, но не заменяет этот аудит безопасности.</w:t>
      </w:r>
    </w:p>
    <w:p>
      <w:pPr>
        <w:pStyle w:val="Heading1"/>
      </w:pPr>
      <w:bookmarkStart w:id="27" w:name="section_27"/>
      <w:r>
        <w:t>5 Инструкция пользователя</w:t>
      </w:r>
      <w:bookmarkEnd w:id="27"/>
    </w:p>
    <w:p>
      <w:pPr>
        <w:pStyle w:val="Heading2"/>
      </w:pPr>
      <w:bookmarkStart w:id="28" w:name="section_28"/>
      <w:r>
        <w:t>5.1 Подготовка и запуск</w:t>
      </w:r>
      <w:bookmarkEnd w:id="28"/>
    </w:p>
    <w:p>
      <w:pPr>
        <w:ind w:left="227"/>
      </w:pPr>
      <w:r>
        <w:t>1. Откройте список сотрудников, подразделений или IP-адресов.</w:t>
      </w:r>
    </w:p>
    <w:p>
      <w:pPr>
        <w:ind w:left="227"/>
      </w:pPr>
      <w:r>
        <w:t>2. Выберите режим статусов и уровень иерархии.</w:t>
      </w:r>
    </w:p>
    <w:p>
      <w:pPr>
        <w:ind w:left="227"/>
      </w:pPr>
      <w:r>
        <w:t>3. Настройте условия и нажмите «Применить». Проверьте результат в таблице.</w:t>
      </w:r>
    </w:p>
    <w:p>
      <w:pPr>
        <w:ind w:left="227"/>
      </w:pPr>
      <w:r>
        <w:t>4. При необходимости задайте сортировку. Все страницы будут включены в экспорт.</w:t>
      </w:r>
    </w:p>
    <w:p>
      <w:pPr>
        <w:ind w:left="227"/>
      </w:pPr>
      <w:r>
        <w:t>5. Откройте «Меню» слева в шапке таблицы и выберите «Экспорт в Excel» либо «Экспорт в Word».</w:t>
      </w:r>
    </w:p>
    <w:p>
      <w:pPr>
        <w:ind w:left="227"/>
      </w:pPr>
      <w:r>
        <w:t>6. Дождитесь состояния «Готово к скачиванию» и нажмите «Скачать» один раз.</w:t>
      </w:r>
    </w:p>
    <w:p>
      <w:r>
        <w:t>Если меню экспорта отсутствует, проверьте права роли через Root. Режим управления данными через API не запрещает экспорт. Если запись не входит в разрешённую область, изменение фильтра не предоставит доступ к ней.</w:t>
      </w:r>
    </w:p>
    <w:p>
      <w:pPr>
        <w:pStyle w:val="Heading2"/>
      </w:pPr>
      <w:bookmarkStart w:id="29" w:name="section_29"/>
      <w:r>
        <w:t>5.2 Возврат и ошибки</w:t>
      </w:r>
      <w:bookmarkEnd w:id="29"/>
    </w:p>
    <w:p>
      <w:r>
        <w:t>Диалог можно закрыть и позже открыть задание через «Незавершённые выгрузки». Если незавершённых заданий нет, показывается уведомление. При достижении лимита завершите или отмените прежние задания. Чтобы изменить условия уже созданного запроса, отмените его и создайте новый.</w:t>
      </w:r>
    </w:p>
    <w:p>
      <w:r>
        <w:t>При ошибке сообщите администратору номер выгрузки, область, выбранный формат и видимое сообщение. Не отправляйте файл или персональные данные через неутверждённые каналы. После обрыва передачи создайте новую выгрузку; кнопка повторного скачивания старого задания не предусмотрена.</w:t>
      </w:r>
    </w:p>
    <w:p>
      <w:pPr>
        <w:pStyle w:val="Heading1"/>
      </w:pPr>
      <w:bookmarkStart w:id="30" w:name="section_30"/>
      <w:r>
        <w:t>6 Инструкция Root</w:t>
      </w:r>
      <w:bookmarkEnd w:id="30"/>
    </w:p>
    <w:p>
      <w:pPr>
        <w:pStyle w:val="Heading2"/>
      </w:pPr>
      <w:bookmarkStart w:id="31" w:name="section_31"/>
      <w:r>
        <w:t>6.1 Архив и расследование</w:t>
      </w:r>
      <w:bookmarkEnd w:id="31"/>
    </w:p>
    <w:p>
      <w:r>
        <w:t>Откройте страницу /export-archive через меню Root. Найдите запись по автору, IP, времени, области, формату или состоянию. Сохраните идентификатор в материалах расследования и откройте предпросмотр. Он читает до 100 строк из сохранённого документа, а не из текущих сущностей БД.</w:t>
      </w:r>
    </w:p>
    <w:p>
      <w:r>
        <w:t>Для пакета выберите номер части и переходите по строкам. Откройте сведения: условия запроса, размер, SHA-256, начало и завершение передачи, её результат. Связывайте запись с аудитом по идентификатору; IP задания не следует считать доказательством личности без других данных.</w:t>
      </w:r>
    </w:p>
    <w:p>
      <w:r>
        <w:t>Предпросмотр и получение сведений отражаются в аудите. Endpoint скачивания из архива отсутствует. Доступ Root в приложении не ограничивает администратора операционной системы, имеющего доступ к диску и ключам.</w:t>
      </w:r>
    </w:p>
    <w:p>
      <w:pPr>
        <w:pStyle w:val="Heading2"/>
      </w:pPr>
      <w:bookmarkStart w:id="32" w:name="section_32"/>
      <w:r>
        <w:t>6.2 Срок хранения и роли</w:t>
      </w:r>
      <w:bookmarkEnd w:id="32"/>
    </w:p>
    <w:p>
      <w:r>
        <w:t>Через настройки архива Root задаёт срок от 1 до 30 лет. Изменение использует проверку версии: если настройку уже изменили, обновите её и повторите осознанно. Новое значение применяется только к новым заданиям; массовое изменение старых сроков не реализовано.</w:t>
      </w:r>
    </w:p>
    <w:p>
      <w:r>
        <w:t>Назначайте Personals.Export, Subdivisions.Export и IpAddresses.Export через установленный интерфейс управления ролями. Permissions зависят от Read, а экспорт архивных сотрудников и подразделений требует соответствующего ReadArchive. Exports.ReadArchive и Exports.Configure предназначены только для Root. Индивидуальные permission claims не являются источником этих полномочий.</w:t>
      </w:r>
    </w:p>
    <w:p>
      <w:pPr>
        <w:pStyle w:val="Heading1"/>
      </w:pPr>
      <w:bookmarkStart w:id="33" w:name="section_33"/>
      <w:r>
        <w:t>7 Практическое руководство для junior разработчика</w:t>
      </w:r>
      <w:bookmarkEnd w:id="33"/>
    </w:p>
    <w:p>
      <w:pPr>
        <w:pStyle w:val="Heading2"/>
      </w:pPr>
      <w:bookmarkStart w:id="34" w:name="section_34"/>
      <w:r>
        <w:t>7.1 Подготовка окружения и чтение кода</w:t>
      </w:r>
      <w:bookmarkEnd w:id="34"/>
    </w:p>
    <w:p>
      <w:r>
        <w:t>Прочитайте AGENTS.md и документацию Components/Library. Убедитесь, что работаете в ветке задачи и видите существующие изменения пользователя. Для изменений экспорта продолжайте ветку codex/data-export; для самостоятельной новой задачи создайте отдельную ветку по правилам проекта. Не изменяйте реальные подключения и данные ради локальной проверки.</w:t>
      </w:r>
    </w:p>
    <w:p>
      <w:r>
        <w:t>Начните с существующего IP-экспорта: ExportArea.IpAddresses → IpAddressExportDto → ExportSchema → ExportQueries.IpAddresses → ветвь ExportSnapshot. Затем прочитайте BuildExportRequestAsync и применение фильтра в IpAddresses/Index.razor.cs, меню в Index.razor и общий ExportActions. Такой порядок объясняет, откуда берутся поля и условия, прежде чем вы начнёте расширение.</w:t>
      </w:r>
    </w:p>
    <w:p>
      <w:pPr>
        <w:pStyle w:val="Heading2"/>
      </w:pPr>
      <w:bookmarkStart w:id="35" w:name="section_35"/>
      <w:r>
        <w:t>7.2 Разбор существующего экспорта IP адресов</w:t>
      </w:r>
      <w:bookmarkEnd w:id="35"/>
    </w:p>
    <w:p>
      <w:r>
        <w:t>В DTO четыре собственных поля. В ExportSchema массив IpFields задаёт Address, Description, Subdivision и Status. Запрос ограничивает доступ и иерархию, а проекция снимка читает название подразделения и переводит Status в русскую строку. Сотрудники, связанные с IP, не загружаются.</w:t>
      </w:r>
    </w:p>
    <w:p>
      <w:r>
        <w:t>Построение запроса в списке использует сохранённые exportSort и exportFilter. Не заменяйте их текущими редактируемыми значениями конструктора.</w:t>
      </w:r>
    </w:p>
    <w:p>
      <w:pPr>
        <w:pStyle w:val="CodeSample"/>
        <w:shd w:fill="F4F5F6"/>
      </w:pPr>
      <w:r>
        <w:t>protected async Task&lt;ExportRequest&gt; BuildExportRequestAsync(</w:t>
        <w:br/>
        <w:t xml:space="preserve">  ExportFormat format)</w:t>
        <w:br/>
        <w:t>{</w:t>
        <w:br/>
        <w:t xml:space="preserve">  await ExportTime.InitializeAsync();</w:t>
        <w:br/>
        <w:t xml:space="preserve">  return new(ExportArea.IpAddresses, format, currentMode,</w:t>
        <w:br/>
        <w:t xml:space="preserve">    hierarchyMode == SubdivisionHierarchyMode.IncludeChildren,</w:t>
        <w:br/>
        <w:t xml:space="preserve">    OrderBy: exportSort, Filter: exportFilter,</w:t>
        <w:br/>
        <w:t xml:space="preserve">    TimeZone: ExportTime.Zone!.Id);</w:t>
        <w:br/>
        <w:t>}</w:t>
      </w:r>
    </w:p>
    <w:p>
      <w:r>
        <w:t>В новой области нужны поля состояния списка и зависимости BrowserTimeService, IDataExportService и permission-снимок по образцу соседней страницы. Этот метод не выполняет выборку и не проверяет доступ: сервер повторно проверяет всё при создании и выдаче.</w:t>
      </w:r>
    </w:p>
    <w:p>
      <w:pPr>
        <w:pStyle w:val="Heading2"/>
      </w:pPr>
      <w:bookmarkStart w:id="36" w:name="section_36"/>
      <w:r>
        <w:t>7.3 Карта точек расширения</w:t>
      </w:r>
      <w:bookmarkEnd w:id="36"/>
    </w:p>
    <w:p>
      <w:r>
        <w:t>Все пути ниже относительны корню репозитория.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Что требуется при новой области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Guard/​Core/​0-Enums/​ExportEnums.​cs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Добавить устойчивое значение ExportArea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Guard/​Core/​Identity/​Permissions.​cs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Определить permission экспорта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Guard/​Core/​Identity/​PermissionDefinition.​cs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Зарегистрировать permission и зависимости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Guard/​Core/​6-Services/​Exports/​ExportContracts.​cs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Добавить DTO; при необходимости параметры поиска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Guard/​Core/​6-Services/​Exports/​ExportSchema.​cs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Название, permission, DTO и порядок полей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Guard/​Core/​6-Services/​Exports/​ExportQueries.​cs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Серверный запрос и разрешённые поля фильтра/​сортировки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Guard/​Core/​6-Services/​Exports/​DataExportService.​cs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Валидация запроса новой области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Guard/​Core/​6-Services/​Exports/​ExportAccess.​cs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Правила доступа, включая архив и удалённые записи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Guard/​Core/​6-Services/​Exports/​ExportSnapshot.​cs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Выборка ID подразделений и проекция строк в DTO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Guard/​Core/​6-Services/​Exports/​ExportProcessor.​cs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Русские названия новых полей в описании условий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Guard/​Components/​Pages/​Administrator/​&lt;область&gt;/​Index.​razor(.​cs)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Меню, применённый фильтр, построение ExportRequest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Guard.​IpRules.​Tests/​ExportTests.​cs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sz w:val="19"/>
              </w:rPr>
              <w:t>ExportIntegrationTests.​cs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Проверки схемы, данных и доступа</w:t>
            </w:r>
          </w:p>
        </w:tc>
      </w:tr>
    </w:tbl>
    <w:p>
      <w:pPr>
        <w:spacing w:after="40"/>
      </w:pPr>
    </w:p>
    <w:p>
      <w:r>
        <w:t xml:space="preserve">Архив выбирает области через </w:t>
      </w:r>
      <w:r>
        <w:rPr>
          <w:rFonts w:ascii="Consolas" w:hAnsi="Consolas"/>
          <w:sz w:val="18"/>
        </w:rPr>
        <w:t>Enum.GetValues&lt;ExportArea&gt;()</w:t>
      </w:r>
      <w:r>
        <w:t xml:space="preserve"> и </w:t>
      </w:r>
      <w:r>
        <w:rPr>
          <w:rFonts w:ascii="Consolas" w:hAnsi="Consolas"/>
          <w:sz w:val="18"/>
        </w:rPr>
        <w:t>ExportSchema.Title</w:t>
      </w:r>
      <w:r>
        <w:t>, поэтому отдельная страница архива для сущности не нужна. Для обычного подключения также не нужны новый endpoint скачивания, отдельная таблица заданий, файловое хранилище или worker.</w:t>
      </w:r>
    </w:p>
    <w:p>
      <w:pPr>
        <w:pStyle w:val="Heading2"/>
      </w:pPr>
      <w:bookmarkStart w:id="37" w:name="section_37"/>
      <w:r>
        <w:t>7.4 Пошаговое подключение новой сущности</w:t>
      </w:r>
      <w:bookmarkEnd w:id="37"/>
    </w:p>
    <w:p>
      <w:pPr>
        <w:pStyle w:val="Heading3"/>
      </w:pPr>
      <w:r>
        <w:t>1. Определить контракт</w:t>
      </w:r>
    </w:p>
    <w:p>
      <w:r>
        <w:t>До изменения кода зафиксируйте:</w:t>
      </w:r>
    </w:p>
    <w:p>
      <w:pPr>
        <w:pStyle w:val="ListBullet"/>
      </w:pPr>
      <w:r>
        <w:t>Какие собственные поля входят в экспорт и в каком порядке.</w:t>
      </w:r>
    </w:p>
    <w:p>
      <w:pPr>
        <w:pStyle w:val="ListBullet"/>
      </w:pPr>
      <w:r>
        <w:t>Как запись связана с подразделением и допустимы ли записи без подразделения.</w:t>
      </w:r>
    </w:p>
    <w:p>
      <w:pPr>
        <w:pStyle w:val="ListBullet"/>
      </w:pPr>
      <w:r>
        <w:t>Как совпадают условия списка и экспорта: статусы, иерархия, фильтр, сортировка.</w:t>
      </w:r>
    </w:p>
    <w:p>
      <w:pPr>
        <w:pStyle w:val="ListBullet"/>
      </w:pPr>
      <w:r>
        <w:t>Какие права позволяют экспортировать активные, архивные и удалённые записи.</w:t>
      </w:r>
    </w:p>
    <w:p>
      <w:pPr>
        <w:pStyle w:val="ListBullet"/>
      </w:pPr>
      <w:r>
        <w:t>Нужен ли Root переключатель «Все записи», присутствующий в конкретном списке.</w:t>
      </w:r>
    </w:p>
    <w:p>
      <w:r>
        <w:t>Не включайте полную сущность, коллекции связей или содержимое закрытой карточки ради удобства. Разрешение читать список не означает разрешения читать все сведения сущности. DTO экспорта задаёт отдельный фиксированный контракт.</w:t>
      </w:r>
    </w:p>
    <w:p>
      <w:pPr>
        <w:pStyle w:val="Heading3"/>
      </w:pPr>
      <w:r>
        <w:t>2. Добавить область и permission</w:t>
      </w:r>
    </w:p>
    <w:p>
      <w:r>
        <w:t xml:space="preserve">Новому </w:t>
      </w:r>
      <w:r>
        <w:rPr>
          <w:rFonts w:ascii="Consolas" w:hAnsi="Consolas"/>
          <w:sz w:val="18"/>
        </w:rPr>
        <w:t>ExportArea</w:t>
      </w:r>
      <w:r>
        <w:t xml:space="preserve"> присвойте новое уникальное числовое значение. Существующие значения хранятся в БД: менять их и повторно использовать удалённые нельзя. Добавьте permission в </w:t>
      </w:r>
      <w:r>
        <w:rPr>
          <w:rFonts w:ascii="Consolas" w:hAnsi="Consolas"/>
          <w:sz w:val="18"/>
        </w:rPr>
        <w:t>Permissions</w:t>
      </w:r>
      <w:r>
        <w:t xml:space="preserve"> и </w:t>
      </w:r>
      <w:r>
        <w:rPr>
          <w:rFonts w:ascii="Consolas" w:hAnsi="Consolas"/>
          <w:sz w:val="18"/>
        </w:rPr>
        <w:t>PermissionCatalog</w:t>
      </w:r>
      <w:r>
        <w:t xml:space="preserve"> согласно соседним определениям; обычный экспорт должен зависеть от права чтения области.</w:t>
      </w:r>
    </w:p>
    <w:p>
      <w:r>
        <w:t xml:space="preserve">В </w:t>
      </w:r>
      <w:r>
        <w:rPr>
          <w:rFonts w:ascii="Consolas" w:hAnsi="Consolas"/>
          <w:sz w:val="18"/>
        </w:rPr>
        <w:t>ExportSchema.Permission</w:t>
      </w:r>
      <w:r>
        <w:t xml:space="preserve"> сопоставьте область с новым permission. Root назначает право ролям через штатный интерфейс. Изменение каталога само по себе не даёт это право существующим обычным ролям.</w:t>
      </w:r>
    </w:p>
    <w:p>
      <w:pPr>
        <w:pStyle w:val="Heading3"/>
      </w:pPr>
      <w:r>
        <w:t>3. Создать DTO и зарегистрировать схему</w:t>
      </w:r>
    </w:p>
    <w:p>
      <w:r>
        <w:t>Пример будущего DTO для оборудования; имена приведены как образец, такой области в текущей реализации нет:</w:t>
      </w:r>
    </w:p>
    <w:p>
      <w:pPr>
        <w:pStyle w:val="CodeSample"/>
        <w:shd w:fill="F4F5F6"/>
      </w:pPr>
      <w:r>
        <w:t>public sealed record EquipmentExportDto(</w:t>
        <w:br/>
        <w:t xml:space="preserve">  [property: DisplayName("Наименование")] string Name,</w:t>
        <w:br/>
        <w:t xml:space="preserve">  [property: DisplayName("Инвентарный номер")] string? InventoryNumber,</w:t>
        <w:br/>
        <w:t xml:space="preserve">  [property: DisplayName("Подразделение")] string? Subdivision,</w:t>
        <w:br/>
        <w:t xml:space="preserve">  [property: DisplayName("Статус")] string Status);</w:t>
      </w:r>
    </w:p>
    <w:p>
      <w:r>
        <w:t xml:space="preserve">В </w:t>
      </w:r>
      <w:r>
        <w:rPr>
          <w:rFonts w:ascii="Consolas" w:hAnsi="Consolas"/>
          <w:sz w:val="18"/>
        </w:rPr>
        <w:t>ExportSchema</w:t>
      </w:r>
      <w:r>
        <w:t xml:space="preserve"> добавьте явный массив имён свойств в нужном порядке, ветвь </w:t>
      </w:r>
      <w:r>
        <w:rPr>
          <w:rFonts w:ascii="Consolas" w:hAnsi="Consolas"/>
          <w:sz w:val="18"/>
        </w:rPr>
        <w:t>Properties</w:t>
      </w:r>
      <w:r>
        <w:t xml:space="preserve"> с типом DTO и ветвь </w:t>
      </w:r>
      <w:r>
        <w:rPr>
          <w:rFonts w:ascii="Consolas" w:hAnsi="Consolas"/>
          <w:sz w:val="18"/>
        </w:rPr>
        <w:t>Title</w:t>
      </w:r>
      <w:r>
        <w:t xml:space="preserve"> с русским названием области. Заголовок каждого выбранного свойства обязан иметь </w:t>
      </w:r>
      <w:r>
        <w:rPr>
          <w:rFonts w:ascii="Consolas" w:hAnsi="Consolas"/>
          <w:sz w:val="18"/>
        </w:rPr>
        <w:t>DisplayName</w:t>
      </w:r>
      <w:r>
        <w:t>. Порядок объявления свойств и reflection не определяют порядок колонок — его определяет массив схемы. Лишнее свойство DTO автоматически не экспортируется.</w:t>
      </w:r>
    </w:p>
    <w:p>
      <w:r>
        <w:t xml:space="preserve">Текущий </w:t>
      </w:r>
      <w:r>
        <w:rPr>
          <w:rFonts w:ascii="Consolas" w:hAnsi="Consolas"/>
          <w:sz w:val="18"/>
        </w:rPr>
        <w:t>Cells</w:t>
      </w:r>
      <w:r>
        <w:t xml:space="preserve"> записывает </w:t>
      </w:r>
      <w:r>
        <w:rPr>
          <w:rFonts w:ascii="Consolas" w:hAnsi="Consolas"/>
          <w:sz w:val="18"/>
        </w:rPr>
        <w:t>int</w:t>
      </w:r>
      <w:r>
        <w:t xml:space="preserve"> и конечные </w:t>
      </w:r>
      <w:r>
        <w:rPr>
          <w:rFonts w:ascii="Consolas" w:hAnsi="Consolas"/>
          <w:sz w:val="18"/>
        </w:rPr>
        <w:t>double</w:t>
      </w:r>
      <w:r>
        <w:t xml:space="preserve"> как числа, </w:t>
      </w:r>
      <w:r>
        <w:rPr>
          <w:rFonts w:ascii="Consolas" w:hAnsi="Consolas"/>
          <w:sz w:val="18"/>
        </w:rPr>
        <w:t>bool</w:t>
      </w:r>
      <w:r>
        <w:t xml:space="preserve"> как логические значения с русским представлением, null как пустую ячейку. Другие типы становятся текстом через invariant culture. Если понадобятся </w:t>
      </w:r>
      <w:r>
        <w:rPr>
          <w:rFonts w:ascii="Consolas" w:hAnsi="Consolas"/>
          <w:sz w:val="18"/>
        </w:rPr>
        <w:t>decimal</w:t>
      </w:r>
      <w:r>
        <w:t xml:space="preserve">, </w:t>
      </w:r>
      <w:r>
        <w:rPr>
          <w:rFonts w:ascii="Consolas" w:hAnsi="Consolas"/>
          <w:sz w:val="18"/>
        </w:rPr>
        <w:t>long</w:t>
      </w:r>
      <w:r>
        <w:t>, даты или специальное форматирование, сначала определите нужный тип ячейки и точность, затем совместимо расширьте преобразование и тесты. Не преобразуйте денежные суммы и большие идентификаторы в double без проверки потери точности. Текстовые значения, похожие на формулу, сохраняются как текст.</w:t>
      </w:r>
    </w:p>
    <w:p>
      <w:pPr>
        <w:pStyle w:val="Heading3"/>
      </w:pPr>
      <w:r>
        <w:t>4. Реализовать серверный запрос</w:t>
      </w:r>
    </w:p>
    <w:p>
      <w:r>
        <w:t xml:space="preserve">В </w:t>
      </w:r>
      <w:r>
        <w:rPr>
          <w:rFonts w:ascii="Consolas" w:hAnsi="Consolas"/>
          <w:sz w:val="18"/>
        </w:rPr>
        <w:t>ExportQueries</w:t>
      </w:r>
      <w:r>
        <w:t xml:space="preserve"> добавьте запрос </w:t>
      </w:r>
      <w:r>
        <w:rPr>
          <w:rFonts w:ascii="Consolas" w:hAnsi="Consolas"/>
          <w:sz w:val="18"/>
        </w:rPr>
        <w:t>AsNoTracking</w:t>
      </w:r>
      <w:r>
        <w:t>, последовательно ограничивая:</w:t>
      </w:r>
    </w:p>
    <w:p>
      <w:pPr>
        <w:ind w:left="227"/>
      </w:pPr>
      <w:r>
        <w:t>1. Серверную область доступа пользователя.</w:t>
      </w:r>
    </w:p>
    <w:p>
      <w:pPr>
        <w:ind w:left="227"/>
      </w:pPr>
      <w:r>
        <w:t>2. Допустимые статусы выбранного режима.</w:t>
      </w:r>
    </w:p>
    <w:p>
      <w:pPr>
        <w:ind w:left="227"/>
      </w:pPr>
      <w:r>
        <w:t>3. Режим «Только свои / Свои и подчинённые» либо явно разрешённые все записи Root.</w:t>
      </w:r>
    </w:p>
    <w:p>
      <w:pPr>
        <w:ind w:left="227"/>
      </w:pPr>
      <w:r>
        <w:t>4. Применённый пользовательский фильтр.</w:t>
      </w:r>
    </w:p>
    <w:p>
      <w:pPr>
        <w:ind w:left="227"/>
      </w:pPr>
      <w:r>
        <w:t>5. Разрешённую сортировку со стабильным дополнительным ключом Id.</w:t>
      </w:r>
    </w:p>
    <w:p>
      <w:r>
        <w:t xml:space="preserve">Экспорт не содержит </w:t>
      </w:r>
      <w:r>
        <w:rPr>
          <w:rFonts w:ascii="Consolas" w:hAnsi="Consolas"/>
          <w:sz w:val="18"/>
        </w:rPr>
        <w:t>Skip</w:t>
      </w:r>
      <w:r>
        <w:t>/</w:t>
      </w:r>
      <w:r>
        <w:rPr>
          <w:rFonts w:ascii="Consolas" w:hAnsi="Consolas"/>
          <w:sz w:val="18"/>
        </w:rPr>
        <w:t>Take</w:t>
      </w:r>
      <w:r>
        <w:t>. Пользовательский фильтр только сужает доступную область. При отсутствии корректного собственного подразделения режим «свои» должен возвращать пустую выборку, в том числе для Root.</w:t>
      </w:r>
    </w:p>
    <w:p>
      <w:r>
        <w:t xml:space="preserve">Для сущностей, наследующих </w:t>
      </w:r>
      <w:r>
        <w:rPr>
          <w:rFonts w:ascii="Consolas" w:hAnsi="Consolas"/>
          <w:sz w:val="18"/>
        </w:rPr>
        <w:t>BaseEntity</w:t>
      </w:r>
      <w:r>
        <w:t xml:space="preserve">, можно использовать </w:t>
      </w:r>
      <w:r>
        <w:rPr>
          <w:rFonts w:ascii="Consolas" w:hAnsi="Consolas"/>
          <w:sz w:val="18"/>
        </w:rPr>
        <w:t>Statuses</w:t>
      </w:r>
      <w:r>
        <w:t>. Состояния перечислены явно: активные — Inserted, Modified, Blocked; архивные — Archived, ArchivedBlocked; удалённые — Deleted. Для другой модели статусов нужен отдельный проверенный запрос.</w:t>
      </w:r>
    </w:p>
    <w:p>
      <w:r>
        <w:t xml:space="preserve">Создайте allowlist полей сущности для </w:t>
      </w:r>
      <w:r>
        <w:rPr>
          <w:rFonts w:ascii="Consolas" w:hAnsi="Consolas"/>
          <w:sz w:val="18"/>
        </w:rPr>
        <w:t>ExportFilters.Apply</w:t>
      </w:r>
      <w:r>
        <w:t xml:space="preserve"> и </w:t>
      </w:r>
      <w:r>
        <w:rPr>
          <w:rFonts w:ascii="Consolas" w:hAnsi="Consolas"/>
          <w:sz w:val="18"/>
        </w:rPr>
        <w:t>Sort</w:t>
      </w:r>
      <w:r>
        <w:t>. Имена относятся к сущности (</w:t>
      </w:r>
      <w:r>
        <w:rPr>
          <w:rFonts w:ascii="Consolas" w:hAnsi="Consolas"/>
          <w:sz w:val="18"/>
        </w:rPr>
        <w:t>Subdivision.Name</w:t>
      </w:r>
      <w:r>
        <w:t>), а не к DTO (</w:t>
      </w:r>
      <w:r>
        <w:rPr>
          <w:rFonts w:ascii="Consolas" w:hAnsi="Consolas"/>
          <w:sz w:val="18"/>
        </w:rPr>
        <w:t>Subdivision</w:t>
      </w:r>
      <w:r>
        <w:t xml:space="preserve">). Вычисляемые неподдерживаемые поля не должны появляться в серверной сортировке. </w:t>
      </w:r>
      <w:r>
        <w:rPr>
          <w:rFonts w:ascii="Consolas" w:hAnsi="Consolas"/>
          <w:sz w:val="18"/>
        </w:rPr>
        <w:t>Sort</w:t>
      </w:r>
      <w:r>
        <w:t xml:space="preserve"> по умолчанию использует </w:t>
      </w:r>
      <w:r>
        <w:rPr>
          <w:rFonts w:ascii="Consolas" w:hAnsi="Consolas"/>
          <w:sz w:val="18"/>
        </w:rPr>
        <w:t>InsertedDate desc, Id asc</w:t>
      </w:r>
      <w:r>
        <w:t>: для сущности без этих свойств задайте подходящую сортировку явно или расширьте общий контракт.</w:t>
      </w:r>
    </w:p>
    <w:p>
      <w:r>
        <w:t>Для совпадения со списком предпочтительна общая реализация условий чтения, как сделано для сотрудников. Если запросы остаются отдельными, сравнивайте результирующие ID в интеграционных проверках.</w:t>
      </w:r>
    </w:p>
    <w:p>
      <w:pPr>
        <w:pStyle w:val="Heading3"/>
      </w:pPr>
      <w:r>
        <w:t>5. Дополнить валидацию и доступ</w:t>
      </w:r>
    </w:p>
    <w:p>
      <w:r>
        <w:t xml:space="preserve">В </w:t>
      </w:r>
      <w:r>
        <w:rPr>
          <w:rFonts w:ascii="Consolas" w:hAnsi="Consolas"/>
          <w:sz w:val="18"/>
        </w:rPr>
        <w:t>DataExportService.Validate</w:t>
      </w:r>
      <w:r>
        <w:t xml:space="preserve"> добавьте ветвь области и проверку допустимых фильтров/сортировки до создания задания. Не оставляйте новую область с одной проверкой </w:t>
      </w:r>
      <w:r>
        <w:rPr>
          <w:rFonts w:ascii="Consolas" w:hAnsi="Consolas"/>
          <w:sz w:val="18"/>
        </w:rPr>
        <w:t>Enum.IsDefined</w:t>
      </w:r>
      <w:r>
        <w:t>: это не проверяет её конкретный контракт. Текущие общие ограничения — запрос до 32768 байт и фильтр до 100 узлов с глубиной до 16. Передавайте CancellationToken до запросов БД.</w:t>
      </w:r>
    </w:p>
    <w:p>
      <w:r>
        <w:t xml:space="preserve">В </w:t>
      </w:r>
      <w:r>
        <w:rPr>
          <w:rFonts w:ascii="Consolas" w:hAnsi="Consolas"/>
          <w:sz w:val="18"/>
        </w:rPr>
        <w:t>ExportAccess.ForUserAsync</w:t>
      </w:r>
      <w:r>
        <w:t xml:space="preserve"> явно задайте право чтения архива для новой области. Текущий выбор archivePermission содержит специальный случай сотрудников и иначе использует право подразделений; новую сущность нельзя подключать, оставляя это предположение без проверки. Правило удалённых записей сейчас ограничено Root. Проверки выполняются и в фоновой обработке, и при выдаче.</w:t>
      </w:r>
    </w:p>
    <w:p>
      <w:r>
        <w:t xml:space="preserve">Текущая область </w:t>
      </w:r>
      <w:r>
        <w:rPr>
          <w:rFonts w:ascii="Consolas" w:hAnsi="Consolas"/>
          <w:sz w:val="18"/>
        </w:rPr>
        <w:t>ExportAccessScope</w:t>
      </w:r>
      <w:r>
        <w:t xml:space="preserve"> предназначена для доступа по подразделениям. Для сущности с другим правилом доступа (владелец, документ, проект, несколько подразделений) требуется отдельное серверное правило и повторная проверка перед выдачей. Нельзя считать такой случай обычным добавлением DTO.</w:t>
      </w:r>
    </w:p>
    <w:p>
      <w:pPr>
        <w:pStyle w:val="Heading3"/>
      </w:pPr>
      <w:r>
        <w:t>6. Добавить проекцию снимка</w:t>
      </w:r>
    </w:p>
    <w:p>
      <w:r>
        <w:t xml:space="preserve">В </w:t>
      </w:r>
      <w:r>
        <w:rPr>
          <w:rFonts w:ascii="Consolas" w:hAnsi="Consolas"/>
          <w:sz w:val="18"/>
        </w:rPr>
        <w:t>ExportSnapshot.CaptureAsync</w:t>
      </w:r>
      <w:r>
        <w:t xml:space="preserve"> добавьте ветвь </w:t>
      </w:r>
      <w:r>
        <w:rPr>
          <w:rFonts w:ascii="Consolas" w:hAnsi="Consolas"/>
          <w:sz w:val="18"/>
        </w:rPr>
        <w:t>request.Area</w:t>
      </w:r>
      <w:r>
        <w:t>:</w:t>
      </w:r>
    </w:p>
    <w:p>
      <w:pPr>
        <w:pStyle w:val="ListBullet"/>
      </w:pPr>
      <w:r/>
      <w:r>
        <w:rPr>
          <w:rFonts w:ascii="Consolas" w:hAnsi="Consolas"/>
          <w:sz w:val="18"/>
        </w:rPr>
        <w:t>ids</w:t>
      </w:r>
      <w:r>
        <w:t xml:space="preserve"> — запрос уникальных ID подразделений выбранных записей.</w:t>
      </w:r>
    </w:p>
    <w:p>
      <w:pPr>
        <w:pStyle w:val="ListBullet"/>
      </w:pPr>
      <w:r/>
      <w:r>
        <w:rPr>
          <w:rFonts w:ascii="Consolas" w:hAnsi="Consolas"/>
          <w:sz w:val="18"/>
        </w:rPr>
        <w:t>rows</w:t>
      </w:r>
      <w:r>
        <w:t xml:space="preserve"> — проекция в </w:t>
      </w:r>
      <w:r>
        <w:rPr>
          <w:rFonts w:ascii="Consolas" w:hAnsi="Consolas"/>
          <w:sz w:val="18"/>
        </w:rPr>
        <w:t>RawRow(SubdivisionId, ExportDto)</w:t>
      </w:r>
      <w:r>
        <w:t xml:space="preserve"> с </w:t>
      </w:r>
      <w:r>
        <w:rPr>
          <w:rFonts w:ascii="Consolas" w:hAnsi="Consolas"/>
          <w:sz w:val="18"/>
        </w:rPr>
        <w:t>AsAsyncEnumerable</w:t>
      </w:r>
      <w:r>
        <w:t>.</w:t>
      </w:r>
    </w:p>
    <w:p>
      <w:r>
        <w:t xml:space="preserve">Оба запроса должны исходить из одной отфильтрованной выборки. Проекция включает только нужные поля; коллекции связанных сущностей не загружаются. </w:t>
      </w:r>
      <w:r>
        <w:rPr>
          <w:rFonts w:ascii="Consolas" w:hAnsi="Consolas"/>
          <w:sz w:val="18"/>
        </w:rPr>
        <w:t>RawRow</w:t>
      </w:r>
      <w:r>
        <w:t xml:space="preserve"> — внутренний тип компонента снимка, а не новый публичный API.</w:t>
      </w:r>
    </w:p>
    <w:p>
      <w:r>
        <w:t>Для подразделения строка ссылается на свой Id, для зависимой сущности — на её SubdivisionId. Общий код добавит цепочку от корня до непосредственного подразделения и выровняет глубину Excel. Word содержит только таблицу DTO. Цепочка сверяется с ParentId и materialized Path; цикл, пропущенный предок, несогласованный путь или глубина свыше 64 приводят к ошибке формирования.</w:t>
      </w:r>
    </w:p>
    <w:p>
      <w:r>
        <w:t>Null SubdivisionId означает отсутствие цепочки. Текущая защита выдачи запрещает обычному пользователю выгрузку с такими строками. Решение, допускаются ли они в запросе Root, должно быть явным в правилах новой области.</w:t>
      </w:r>
    </w:p>
    <w:p>
      <w:pPr>
        <w:pStyle w:val="Heading3"/>
      </w:pPr>
      <w:r>
        <w:t>7. Подключить меню таблицы</w:t>
      </w:r>
    </w:p>
    <w:p>
      <w:r>
        <w:t xml:space="preserve">В code-behind добавьте </w:t>
      </w:r>
      <w:r>
        <w:rPr>
          <w:rFonts w:ascii="Consolas" w:hAnsi="Consolas"/>
          <w:sz w:val="18"/>
        </w:rPr>
        <w:t>BuildExportRequestAsync(ExportFormat format)</w:t>
      </w:r>
      <w:r>
        <w:t xml:space="preserve"> по образцу IP-адресов. Передавайте область, формат, текущий режим статусов, иерархию, сохранённую сортировку и </w:t>
      </w:r>
      <w:r>
        <w:rPr>
          <w:b/>
        </w:rPr>
        <w:t>применённый снимок</w:t>
      </w:r>
      <w:r>
        <w:t xml:space="preserve"> фильтра. Часовой пояс получается через </w:t>
      </w:r>
      <w:r>
        <w:rPr>
          <w:rFonts w:ascii="Consolas" w:hAnsi="Consolas"/>
          <w:sz w:val="18"/>
        </w:rPr>
        <w:t>BrowserTimeService.InitializeAsync()</w:t>
      </w:r>
      <w:r>
        <w:t xml:space="preserve"> и </w:t>
      </w:r>
      <w:r>
        <w:rPr>
          <w:rFonts w:ascii="Consolas" w:hAnsi="Consolas"/>
          <w:sz w:val="18"/>
        </w:rPr>
        <w:t>Zone.Id</w:t>
      </w:r>
      <w:r>
        <w:t>.</w:t>
      </w:r>
    </w:p>
    <w:p>
      <w:r/>
      <w:r>
        <w:rPr>
          <w:rFonts w:ascii="Consolas" w:hAnsi="Consolas"/>
          <w:sz w:val="18"/>
        </w:rPr>
        <w:t>ExportFilter</w:t>
      </w:r>
      <w:r>
        <w:t xml:space="preserve"> применяется к подразделениям и IP; сотрудники используют существующий </w:t>
      </w:r>
      <w:r>
        <w:rPr>
          <w:rFonts w:ascii="Consolas" w:hAnsi="Consolas"/>
          <w:sz w:val="18"/>
        </w:rPr>
        <w:t>PersonalFilter</w:t>
      </w:r>
      <w:r>
        <w:t xml:space="preserve">. Для обычной новой области используйте </w:t>
      </w:r>
      <w:r>
        <w:rPr>
          <w:rFonts w:ascii="Consolas" w:hAnsi="Consolas"/>
          <w:sz w:val="18"/>
        </w:rPr>
        <w:t>ExportFilters.Capture</w:t>
      </w:r>
      <w:r>
        <w:t xml:space="preserve"> при «Применить», проверьте снимок через allowlist и только после успешной проверки замените сохранённое условие. Чтение живого </w:t>
      </w:r>
      <w:r>
        <w:rPr>
          <w:rFonts w:ascii="Consolas" w:hAnsi="Consolas"/>
          <w:sz w:val="18"/>
        </w:rPr>
        <w:t>dataFilter.Filters</w:t>
      </w:r>
      <w:r>
        <w:t xml:space="preserve"> при нажатии экспорта нарушит правило применённого фильтра.</w:t>
      </w:r>
    </w:p>
    <w:p>
      <w:r>
        <w:t xml:space="preserve">Внутри </w:t>
      </w:r>
      <w:r>
        <w:rPr>
          <w:rFonts w:ascii="Consolas" w:hAnsi="Consolas"/>
          <w:sz w:val="18"/>
        </w:rPr>
        <w:t>RadzenMenuItem</w:t>
      </w:r>
      <w:r>
        <w:t xml:space="preserve"> «Меню» в шапке таблицы разместите </w:t>
      </w:r>
      <w:r>
        <w:rPr>
          <w:rFonts w:ascii="Consolas" w:hAnsi="Consolas"/>
          <w:sz w:val="18"/>
        </w:rPr>
        <w:t>ExportActions</w:t>
      </w:r>
      <w:r>
        <w:t>, защитите его проверкой permission экспорта и передайте: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Area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Новое значение ExportArea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BuildRequest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Метод BuildExportRequestAsync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Disabled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Состояние, запрещающее запуск во время загрузки списка</w:t>
            </w:r>
          </w:p>
        </w:tc>
      </w:tr>
    </w:tbl>
    <w:p>
      <w:pPr>
        <w:spacing w:after="40"/>
      </w:pPr>
    </w:p>
    <w:p>
      <w:r/>
      <w:r>
        <w:rPr>
          <w:rFonts w:ascii="Consolas" w:hAnsi="Consolas"/>
          <w:sz w:val="18"/>
        </w:rPr>
        <w:t>ExportActions</w:t>
      </w:r>
      <w:r>
        <w:t xml:space="preserve"> сейчас рендерит вложенные </w:t>
      </w:r>
      <w:r>
        <w:rPr>
          <w:rFonts w:ascii="Consolas" w:hAnsi="Consolas"/>
          <w:sz w:val="18"/>
        </w:rPr>
        <w:t>RadzenMenuItem</w:t>
      </w:r>
      <w:r>
        <w:t>, поэтому его следует помещать внутрь меню, а не в обычный стек кнопок. Он сам создаёт диалог прогресса и открывает незавершённые задания этой области. Не добавляйте собственное скачивание через JavaScript или URL к каталогу файлов.</w:t>
      </w:r>
    </w:p>
    <w:p>
      <w:pPr>
        <w:pStyle w:val="Heading3"/>
      </w:pPr>
      <w:r>
        <w:t>8. Проверить подключение</w:t>
      </w:r>
    </w:p>
    <w:p>
      <w:r>
        <w:t>Минимальная проверка новой области включает:</w:t>
      </w:r>
    </w:p>
    <w:p>
      <w:pPr>
        <w:pStyle w:val="ListBullet"/>
      </w:pPr>
      <w:r>
        <w:t>Состав и порядок колонок, DisplayName, типы, null и формулоподобный текст.</w:t>
      </w:r>
    </w:p>
    <w:p>
      <w:pPr>
        <w:pStyle w:val="ListBullet"/>
      </w:pPr>
      <w:r>
        <w:t>Excel и Word при нуле строк, обычной выборке и превышении RowsPerPart;</w:t>
      </w:r>
    </w:p>
    <w:p>
      <w:r>
        <w:t xml:space="preserve">  проверку Open XML и содержимого предпросмотра архива.</w:t>
      </w:r>
    </w:p>
    <w:p>
      <w:pPr>
        <w:pStyle w:val="ListBullet"/>
      </w:pPr>
      <w:r>
        <w:t>Совпадение ID списка и экспорта с применённым фильтром, статусом и иерархией;</w:t>
      </w:r>
    </w:p>
    <w:p>
      <w:r>
        <w:t xml:space="preserve">  изменение конструктора без «Применить» не меняет выгрузку.</w:t>
      </w:r>
    </w:p>
    <w:p>
      <w:pPr>
        <w:pStyle w:val="ListBullet"/>
      </w:pPr>
      <w:r>
        <w:t>Root, обычную роль с правом и роль без права; чужую ветвь, отсутствие</w:t>
      </w:r>
    </w:p>
    <w:p>
      <w:r>
        <w:t xml:space="preserve">  подразделения, архивные и удалённые записи.</w:t>
      </w:r>
    </w:p>
    <w:p>
      <w:pPr>
        <w:pStyle w:val="ListBullet"/>
      </w:pPr>
      <w:r>
        <w:t>Отзыв права и сужение области между запросом, обработкой и скачиванием.</w:t>
      </w:r>
    </w:p>
    <w:p>
      <w:pPr>
        <w:pStyle w:val="ListBullet"/>
      </w:pPr>
      <w:r>
        <w:t>Браузерное открытие меню, запуск, закрытие диалога и возврат к заданию.</w:t>
      </w:r>
    </w:p>
    <w:p>
      <w:r>
        <w:t>Запускайте сборку и существующий набор проверок по командам из data-export.md. Проверки PostgreSQL выполняются только на изолированной временной БД. Фактическую верстку документов проверьте в Word и Excel; проверка XML не подтверждает удобство чтения широкой таблицы.</w:t>
      </w:r>
    </w:p>
    <w:p>
      <w:pPr>
        <w:pStyle w:val="Heading2"/>
      </w:pPr>
      <w:bookmarkStart w:id="38" w:name="section_38"/>
      <w:r>
        <w:t>7.5 Изменение существующих полей и версия схемы</w:t>
      </w:r>
      <w:bookmarkEnd w:id="38"/>
    </w:p>
    <w:p>
      <w:r>
        <w:t xml:space="preserve">Добавление поля требует изменения DTO, явного массива </w:t>
      </w:r>
      <w:r>
        <w:rPr>
          <w:rFonts w:ascii="Consolas" w:hAnsi="Consolas"/>
          <w:sz w:val="18"/>
        </w:rPr>
        <w:t>ExportSchema</w:t>
      </w:r>
      <w:r>
        <w:t xml:space="preserve">, проекции снимка и проверок. Добавление допустимого фильтра дополнительно требует allowlist, валидации, настройки списка и русского названия в </w:t>
      </w:r>
      <w:r>
        <w:rPr>
          <w:rFonts w:ascii="Consolas" w:hAnsi="Consolas"/>
          <w:sz w:val="18"/>
        </w:rPr>
        <w:t>Conditions</w:t>
      </w:r>
      <w:r>
        <w:t>. Состав выводимых полей и состав фильтруемых полей могут различаться.</w:t>
      </w:r>
    </w:p>
    <w:p>
      <w:r>
        <w:t xml:space="preserve">В текущей реализации </w:t>
      </w:r>
      <w:r>
        <w:rPr>
          <w:rFonts w:ascii="Consolas" w:hAnsi="Consolas"/>
          <w:sz w:val="18"/>
        </w:rPr>
        <w:t>SchemaVersion = 1</w:t>
      </w:r>
      <w:r>
        <w:t>, а worker принимает только версию 1. Это общая версия, а не полноценный реестр версий каждой области. Сохранённый ExportRequest не содержит снимка DTO: незавершённое задание будет обработано кодом, действующим после обновления приложения.</w:t>
      </w:r>
    </w:p>
    <w:p>
      <w:r>
        <w:t>Поэтому перед изменением состава или смысла полей определите судьбу очереди. Для первой эксплуатации можно завершить Queued/Processing до обновления, а готовые файлы сохранить. При дальнейшем росте поддержите отдельные версии контрактов и обработчиков либо явное завершение несовместимых заданий с понятной ошибкой. Простое увеличение номера без поддержки версии в worker сделает задания ошибочными.</w:t>
      </w:r>
    </w:p>
    <w:p>
      <w:r>
        <w:t>Сформированные файлы сохраняют свои заголовки: Root-предпросмотр читает документ, а не новую DTO-схему. Добавление значения ExportArea обычно не требует миграции экспортных таблиц. Изменения модели новой сущности или метаданных архива требуют обычной EF-миграции; прежнюю AddDataExport не редактируйте.</w:t>
      </w:r>
    </w:p>
    <w:p>
      <w:pPr>
        <w:pStyle w:val="Heading2"/>
      </w:pPr>
      <w:bookmarkStart w:id="39" w:name="section_39"/>
      <w:r>
        <w:t>7.6 Пример регистрации новой области</w:t>
      </w:r>
      <w:bookmarkEnd w:id="39"/>
    </w:p>
    <w:p>
      <w:r>
        <w:t>Для учебного примера Equipment предполагается уже существующая сущность оборудования с Name, InventoryNumber, SubdivisionId, Subdivision и Status. Эта область пока отсутствует в Guard. Ниже показана форма изменений, а не готовый патч: согласуйте состав полей и используйте фактические имена своей сущности.</w:t>
      </w:r>
    </w:p>
    <w:p>
      <w:r>
        <w:t>В ExportArea можно добавить Equipment = 4, сохранив существующие значения. В Permissions.Equipment должны существовать Read и Export, а PermissionCatalog должен зарегистрировать Export с зависимостью Read. Это серверный контракт: одного скрытия кнопки в UI недостаточно.</w:t>
      </w:r>
    </w:p>
    <w:p>
      <w:pPr>
        <w:pStyle w:val="CodeSample"/>
        <w:shd w:fill="F4F5F6"/>
      </w:pPr>
      <w:r>
        <w:t>private static readonly string[] EquipmentFields =</w:t>
        <w:br/>
        <w:t xml:space="preserve">  ["Name", "InventoryNumber", "Subdivision", "Status"];</w:t>
        <w:br/>
        <w:br/>
        <w:t>// Новые ветви в существующих switch ExportSchema:</w:t>
        <w:br/>
        <w:t>ExportArea.Equipment =&gt; "Оборудование"</w:t>
        <w:br/>
        <w:t>ExportArea.Equipment =&gt; Permissions.Equipment.Export</w:t>
        <w:br/>
        <w:t>ExportArea.Equipment =&gt;</w:t>
        <w:br/>
        <w:t xml:space="preserve">  (typeof(EquipmentExportDto), EquipmentFields)</w:t>
      </w:r>
    </w:p>
    <w:p>
      <w:r>
        <w:t>Три ветви относятся соответственно к Title, Permission и Properties; не вставляйте их как один switch. DTO EquipmentExportDto приведён выше. Обновите Validate, ExportAccess, запрос и CaptureAsync до открытия меню пользователям. Иначе Enum.IsDefined примет область, а обработка останется неполной.</w:t>
      </w:r>
    </w:p>
    <w:p>
      <w:pPr>
        <w:pStyle w:val="CodeSample"/>
        <w:shd w:fill="F4F5F6"/>
      </w:pPr>
      <w:r>
        <w:t>@if (Access?.Has(Permissions.Equipment.Export) == true) {</w:t>
        <w:br/>
        <w:t xml:space="preserve">  &lt;RadzenMenu&gt;</w:t>
        <w:br/>
        <w:t xml:space="preserve">    &lt;RadzenMenuItem Text="Меню" Icon="menu"&gt;</w:t>
        <w:br/>
        <w:t xml:space="preserve">      &lt;Guard.Components.Exports.ExportActions</w:t>
        <w:br/>
        <w:t xml:space="preserve">        Area="ExportArea.Equipment"</w:t>
        <w:br/>
        <w:t xml:space="preserve">        BuildRequest="BuildExportRequestAsync"</w:t>
        <w:br/>
        <w:t xml:space="preserve">        Disabled="isLoading" /&gt;</w:t>
        <w:br/>
        <w:t xml:space="preserve">    &lt;/RadzenMenuItem&gt;</w:t>
        <w:br/>
        <w:t xml:space="preserve">  &lt;/RadzenMenu&gt;</w:t>
        <w:br/>
        <w:t>}</w:t>
      </w:r>
    </w:p>
    <w:p>
      <w:r>
        <w:t>Пример размещается в HeaderTemplate таблицы. Он предполагает уже реализованный BuildExportRequestAsync и переменные компонента. Общие стили шапки и положение статусов перенесите из существующих трёх списков; не создавайте отдельную страницу скачивания.</w:t>
      </w:r>
    </w:p>
    <w:p>
      <w:pPr>
        <w:pStyle w:val="Heading2"/>
      </w:pPr>
      <w:bookmarkStart w:id="40" w:name="section_40"/>
      <w:r>
        <w:t>7.7 Типичные ошибки и диагностика</w:t>
      </w:r>
      <w:bookmarkEnd w:id="4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Симптом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Вероятная причина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Действие разработчика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Поле DTO отсутствует в файле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Нет регистрации или проекции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Сверить массив, DisplayName и Select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Файл содержит новые неприменённые условия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Читается живой dataFilter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Использовать снимок, сохранённый при Применить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При пустом пути выгружается чужая ветвь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Пустой путь принят за полный доступ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Возвращать пустую область, Root разрешать явно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Worker отказывает в новой области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 обновлены permission или Validate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Проверить все точки расширения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Ошибка сортировки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Поле DTO вместо сущности или нет allowlist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Проверить SortProperty и разрешённые поля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После обновления очередь падает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Несовместимая версия контракта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Завершить очередь или поддержать прежнюю версию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Повторная выдача получает 409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Попытка уже потреблена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Создать новое задание; БД вручную не править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Индикатор не движется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Нулевая ширина контейнера Radzen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Indeterminate, Value=100, ShowValue=false</w:t>
            </w:r>
          </w:p>
        </w:tc>
      </w:tr>
    </w:tbl>
    <w:p>
      <w:pPr>
        <w:spacing w:after="40"/>
      </w:pPr>
    </w:p>
    <w:p>
      <w:r>
        <w:t>При работе со списками первая загрузка, фильтр, сортировка и экспорт должны использовать согласованную серверную область. Не возвращайте отложенный запрос из QueryAsync после освобождения контекста. Передавайте CancellationToken; не выполняйте параллельные операции на одном DbContext.</w:t>
      </w:r>
    </w:p>
    <w:p>
      <w:pPr>
        <w:pStyle w:val="Heading2"/>
      </w:pPr>
      <w:bookmarkStart w:id="41" w:name="section_41"/>
      <w:r>
        <w:t>7.8 Чек лист завершения подключения</w:t>
      </w:r>
      <w:bookmarkEnd w:id="41"/>
    </w:p>
    <w:p>
      <w:pPr>
        <w:ind w:left="227"/>
      </w:pPr>
      <w:r>
        <w:t>1. Оба формата дают фиксированные поля с правильными заголовками и типами.</w:t>
      </w:r>
    </w:p>
    <w:p>
      <w:pPr>
        <w:ind w:left="227"/>
      </w:pPr>
      <w:r>
        <w:t>2. Выгрузка совпадает со списком по применённым условиям и охватывает все страницы.</w:t>
      </w:r>
    </w:p>
    <w:p>
      <w:pPr>
        <w:ind w:left="227"/>
      </w:pPr>
      <w:r>
        <w:t>3. Чужая ветвь, отозванное право и отсутствие подразделения проверены сервером.</w:t>
      </w:r>
    </w:p>
    <w:p>
      <w:pPr>
        <w:ind w:left="227"/>
      </w:pPr>
      <w:r>
        <w:t>4. Цепочка Excel включает прямое подразделение и сверена с ParentId и Path.</w:t>
      </w:r>
    </w:p>
    <w:p>
      <w:pPr>
        <w:ind w:left="227"/>
      </w:pPr>
      <w:r>
        <w:t>5. Пустой файл, несколько частей и Root-предпросмотр проверены.</w:t>
      </w:r>
    </w:p>
    <w:p>
      <w:pPr>
        <w:ind w:left="227"/>
      </w:pPr>
      <w:r>
        <w:t>6. Меню, индикатор, закрытие и возврат к заданию работают в браузере.</w:t>
      </w:r>
    </w:p>
    <w:p>
      <w:pPr>
        <w:ind w:left="227"/>
      </w:pPr>
      <w:r>
        <w:t>7. Выполнены сборка, содержательные проверки и diff; непроверенные сценарии указаны.</w:t>
      </w:r>
    </w:p>
    <w:p>
      <w:pPr>
        <w:ind w:left="227"/>
      </w:pPr>
      <w:r>
        <w:t>8. Результат представлен на проверку; слияние main ожидает явного подтверждения.</w:t>
      </w:r>
    </w:p>
    <w:p>
      <w:pPr>
        <w:pStyle w:val="Heading1"/>
      </w:pPr>
      <w:bookmarkStart w:id="42" w:name="section_42"/>
      <w:r>
        <w:t>8 Проверка изменений</w:t>
      </w:r>
      <w:bookmarkEnd w:id="42"/>
    </w:p>
    <w:p>
      <w:pPr>
        <w:pStyle w:val="Heading2"/>
      </w:pPr>
      <w:bookmarkStart w:id="43" w:name="section_43"/>
      <w:r>
        <w:t>8.1 Команды и безопасная среда</w:t>
      </w:r>
      <w:bookmarkEnd w:id="43"/>
    </w:p>
    <w:p>
      <w:r>
        <w:t>Команды выполняются из корня репозитория. Перед работой проверьте ветку и git status. Продолжайте текущую задачу в её ветке, сохраняйте изменения пользователя и не сливайте main без явного подтверждения.</w:t>
      </w:r>
    </w:p>
    <w:p>
      <w:pPr>
        <w:pStyle w:val="CodeSample"/>
        <w:shd w:fill="F4F5F6"/>
      </w:pPr>
      <w:r>
        <w:t>dotnet restore Guard.slnx</w:t>
        <w:br/>
        <w:t>dotnet build Guard.slnx --no-restore</w:t>
        <w:br/>
        <w:t>dotnet run --project Guard.IpRules.Tests/Guard.IpRules.Tests.csproj</w:t>
      </w:r>
    </w:p>
    <w:p>
      <w:r>
        <w:t>Restore нужен при изменении пакетов или отсутствии зависимостей. Не запускайте приложение только ради сборки: старт может создавать БД, а Development — начальные данные. Никогда не направляйте проверку очистки на неизвестную БД или рабочий архив.</w:t>
      </w:r>
    </w:p>
    <w:p>
      <w:r>
        <w:t>Интеграционный набор PostgreSQL использует localhost и создаёт собственную временную guard_ip_test_&lt;UUID&gt;. Он удаляет только эту тестовую БД. Перед запуском убедитесь, что локальное подключение предназначено для проверки, не выводя секреты.</w:t>
      </w:r>
    </w:p>
    <w:p>
      <w:pPr>
        <w:pStyle w:val="CodeSample"/>
        <w:shd w:fill="F4F5F6"/>
      </w:pPr>
      <w:r>
        <w:t>dotnet run --project Guard.IpRules.Tests/Guard.IpRules.Tests.csproj -- --postgres</w:t>
        <w:br/>
        <w:t xml:space="preserve">  Guard/appsettings.json</w:t>
      </w:r>
    </w:p>
    <w:p>
      <w:pPr>
        <w:pStyle w:val="Heading2"/>
      </w:pPr>
      <w:bookmarkStart w:id="44" w:name="section_44"/>
      <w:r>
        <w:t>8.2 Матрица приёмки</w:t>
      </w:r>
      <w:bookmarkEnd w:id="4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Ноль строк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Файл с заголовками и сообщением, без ошибки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Один и несколько результатов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Правильные поля, типы, порядок и числа строк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Превышение RowsPerPart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ZIP, одинаковая схема частей, полный результат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Фильтр изменён без Применить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Выгрузка использует прежнее условие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Чужая ветвь и отсутствие подразделения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Нет утечки строк через фильтр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Отзыв права до выдачи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Скачивание запрещено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Нет antiforgery или повторная передача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Отказ endpoint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Повреждение или усечение копии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Ошибка целостности, файл не выдан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Перезапуск в Processing или Delivering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Восстановление согласно разделу 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Истечение срока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Просмотр закрыт, очистка и обезличивание выполнены</w:t>
            </w:r>
          </w:p>
        </w:tc>
      </w:tr>
    </w:tbl>
    <w:p>
      <w:pPr>
        <w:spacing w:after="40"/>
      </w:pPr>
    </w:p>
    <w:p>
      <w:pPr>
        <w:pStyle w:val="Heading2"/>
      </w:pPr>
      <w:bookmarkStart w:id="45" w:name="section_45"/>
      <w:r>
        <w:t>8.3 Браузер и Office</w:t>
      </w:r>
      <w:bookmarkEnd w:id="45"/>
    </w:p>
    <w:p>
      <w:r>
        <w:t>Проверьте первое открытие таблицы, применение и очистку фильтра, сортировку, пагинацию, статусы и иерархию. Затем откройте меню, запустите оба формата, закройте диалог и вернитесь к заданию. Индикатор должен двигаться, Ready — давать форму скачивания, повторная выдача — отклоняться сервером.</w:t>
      </w:r>
    </w:p>
    <w:p>
      <w:r>
        <w:t>В Word и Excel проверьте кириллицу, переносы, широкие колонки, повтор заголовка Word, метки автора, страницы, уровни и работу сводной таблицы Excel. Open XML validation проверяет структуру документа, но не его удобство чтения.</w:t>
      </w:r>
    </w:p>
    <w:p>
      <w:r>
        <w:t>На текущем этапе сборка и 898 автоматических проверок прошли, а основные UI-сценарии проверены на временной среде. Нагрузочная проверка больших объёмов и полноценная приёмка документов в Microsoft Office остаются отдельными работами; эти результаты не заменяют проверку будущих изменений.</w:t>
      </w:r>
    </w:p>
    <w:p>
      <w:pPr>
        <w:pStyle w:val="Heading1"/>
      </w:pPr>
      <w:bookmarkStart w:id="46" w:name="section_46"/>
      <w:r>
        <w:t>9 Развёртывание и эксплуатация</w:t>
      </w:r>
      <w:bookmarkEnd w:id="46"/>
    </w:p>
    <w:p>
      <w:pPr>
        <w:pStyle w:val="Heading2"/>
      </w:pPr>
      <w:bookmarkStart w:id="47" w:name="section_47"/>
      <w:r>
        <w:t>9.1 Миграция и параметры</w:t>
      </w:r>
      <w:bookmarkEnd w:id="47"/>
    </w:p>
    <w:p>
      <w:r>
        <w:t>Миграция 20261014132937_AddDataExport создаёт реестр заданий, артефактов, попыток передачи и настройки хранения. Применяйте её на предназначенной среде после резервирования и проверки. Приложение не выполняет database update автоматически. Существующие роли не получают новые permissions при миграции.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Настройка Exports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Значение по умолчанию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Directory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App_Data/​Exports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Каталог файлов и рабочих данных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RowsPerPart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50000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Максимум строк части документа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MaxQueuedPerUser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Лимит Queued, Processing и Ready пользователя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TimeoutMinutes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Таймаут обработки worker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MinimumFreeBytes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268435456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Минимальный запас свободного места</w:t>
            </w:r>
          </w:p>
        </w:tc>
      </w:tr>
    </w:tbl>
    <w:p>
      <w:pPr>
        <w:spacing w:after="40"/>
      </w:pPr>
    </w:p>
    <w:p>
      <w:pPr>
        <w:pStyle w:val="CodeSample"/>
        <w:shd w:fill="F4F5F6"/>
      </w:pPr>
      <w:r>
        <w:t>{</w:t>
        <w:br/>
        <w:t xml:space="preserve">  "Exports": {</w:t>
        <w:br/>
        <w:t xml:space="preserve">    "Directory": "App_Data/Exports",</w:t>
        <w:br/>
        <w:t xml:space="preserve">    "RowsPerPart": 50000,</w:t>
        <w:br/>
        <w:t xml:space="preserve">    "MaxQueuedPerUser": 3,</w:t>
        <w:br/>
        <w:t xml:space="preserve">    "TimeoutMinutes": 30,</w:t>
        <w:br/>
        <w:t xml:space="preserve">    "MinimumFreeBytes": 268435456</w:t>
        <w:br/>
        <w:t xml:space="preserve">  }</w:t>
        <w:br/>
        <w:t>}</w:t>
      </w:r>
    </w:p>
    <w:p>
      <w:r>
        <w:t>Для целевого сервера используйте абсолютный Directory вне публикации и wwwroot. Каталог внутри wwwroot запрещён. Порог свободного места — страховка, а не резервирование диска под целый файл. Меняйте подключения и секреты штатным способом конфигурации; примеры руководства не содержат credentials.</w:t>
      </w:r>
    </w:p>
    <w:p>
      <w:pPr>
        <w:pStyle w:val="Heading2"/>
      </w:pPr>
      <w:bookmarkStart w:id="48" w:name="section_48"/>
      <w:r>
        <w:t>9.2 Ключи и доступ к диску</w:t>
      </w:r>
      <w:bookmarkEnd w:id="48"/>
    </w:p>
    <w:p>
      <w:r>
        <w:t>На Windows ACL каталога допускает учётную запись приложения и локальных администраторов; на Unix каталоги создаются с 0700. Постоянные ключи Data Protection храните отдельно от архива и резервируйте на весь его срок. Используются DataProtection:KeyDirectory, ApplicationName и CertificateThumbprint.</w:t>
      </w:r>
    </w:p>
    <w:p>
      <w:r>
        <w:t>Не удаляйте старые ключи и не меняйте ApplicationName без плана миграции. При защите сертификатом нужен доступ к закрытому ключу. Рабочий подкаталог содержит временные открытые файлы: для защиты диска и удалённых блоков применяйте шифрование тома. Work не требуется включать в backup.</w:t>
      </w:r>
    </w:p>
    <w:p>
      <w:pPr>
        <w:pStyle w:val="Heading2"/>
      </w:pPr>
      <w:bookmarkStart w:id="49" w:name="section_49"/>
      <w:r>
        <w:t>9.3 Резервирование и восстановление</w:t>
      </w:r>
      <w:bookmarkEnd w:id="49"/>
    </w:p>
    <w:p>
      <w:r>
        <w:t>Резервируйте согласованно основную БД, архив и ключи. На изолированной среде восстановите комплект, проверьте наличие артефакта, расшифровку, размер и SHA-256, затем Root-предпросмотр. Не проверяйте восстановление выдачей рабочего файла пользователю.</w:t>
      </w:r>
    </w:p>
    <w:p>
      <w:r>
        <w:t>Политика backup должна учитывать срок хранения: удалённый из текущего архива файл может оставаться в старой копии. При смене сервера сохраняйте криптографический контекст и проверяйте права учётной записи приложения.</w:t>
      </w:r>
    </w:p>
    <w:p>
      <w:pPr>
        <w:pStyle w:val="Heading2"/>
      </w:pPr>
      <w:bookmarkStart w:id="50" w:name="section_50"/>
      <w:r>
        <w:t>9.4 Очистка и диагностика</w:t>
      </w:r>
      <w:bookmarkEnd w:id="50"/>
    </w:p>
    <w:p>
      <w:r>
        <w:t>Очистка просроченных заданий выполняется примерно каждые 30 секунд пакетами до 100. При ошибке удаления операция повторяется; состояние Expired появляется после выполненной очистки. Сверка объектов без реестра выполняется ежедневно и удаляет подходящие файлы старше суток.</w:t>
      </w:r>
    </w:p>
    <w:p>
      <w:r>
        <w:t>Контролируйте свободное место, объём архива и work, возраст Queued/Processing, частоту Failed, длительность формирования, работоспособность ключей и очистки. Эти показатели — рекомендации эксплуатации; отдельный готовый dashboard метрик сервис пока не предоставляет.</w:t>
      </w:r>
    </w:p>
    <w:p>
      <w:r>
        <w:t>При разборе ошибки начните с номера задания, состояния, текста ошибки, наличия артефакта и времени последнего действия. Затем проверьте ILogger и аудит. Не исправляйте Ready вручную и не восстанавливайте возможность повторной выдачи изменением DeliveryAttempts.</w:t>
      </w:r>
    </w:p>
    <w:p>
      <w:pPr>
        <w:pStyle w:val="Heading2"/>
      </w:pPr>
      <w:bookmarkStart w:id="51" w:name="section_51"/>
      <w:r>
        <w:t>9.5 Рост объёмов и количества сущностей</w:t>
      </w:r>
      <w:bookmarkEnd w:id="51"/>
    </w:p>
    <w:p>
      <w:r>
        <w:t>Длинная выгрузка задерживает остальные задания последовательного worker. Строки обрабатываются потоком, но набор подразделений и предков находится в памяти. Транзакция чтения удерживается во время выборки. Оценивайте SQL, индексы, длительность транзакции, рабочий диск и число уникальных подразделений.</w:t>
      </w:r>
    </w:p>
    <w:p>
      <w:r>
        <w:t>Добавление областей обычно не требует отдельных очередей и таблиц архива. При повторении ветвей Schema, Validate, Queries, Snapshot и Access можно отдельной задачей ввести реестр провайдеров по ExportArea. Провайдер должен объединять версию контракта, DTO-схему, валидацию, запрос и доступ; общий pipeline хранения и выдачи сохраняется.</w:t>
      </w:r>
    </w:p>
    <w:p>
      <w:r>
        <w:t>Параллельные worker, несколько серверов и внешнее объектное хранилище требуют отдельного проектирования блокировок и восстановления. Увеличение таймаута не устраняет неэффективный запрос. Не делайте параллельные операции на одном DbContext.</w:t>
      </w:r>
    </w:p>
    <w:p>
      <w:pPr>
        <w:pStyle w:val="Heading1"/>
      </w:pPr>
      <w:bookmarkStart w:id="52" w:name="section_52"/>
      <w:r>
        <w:t>10 Приложения</w:t>
      </w:r>
      <w:bookmarkEnd w:id="52"/>
    </w:p>
    <w:p>
      <w:pPr>
        <w:pStyle w:val="Heading2"/>
      </w:pPr>
      <w:bookmarkStart w:id="53" w:name="section_53"/>
      <w:r>
        <w:t>10.1 Интерфейс сервиса</w:t>
      </w:r>
      <w:bookmarkEnd w:id="5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Метод IDataExportService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CreateAsync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Создать задание и получить Guid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GetAsync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Получить состояние собственного задания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GetActiveAsync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Получить собственные незавершённые задания области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CancelAsync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Запросить отмену собственного задания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SearchArchiveAsync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Root-поиск и пагинация реестра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PreviewAsync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Root-предпросмотр части документа и строк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GetArchiveDetailsAsync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Root-сведения об условиях и передаче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GetRetentionAsync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Прочитать настройку хранения для Root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SaveRetentionAsync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Изменить срок с проверкой версии для Root</w:t>
            </w:r>
          </w:p>
        </w:tc>
      </w:tr>
    </w:tbl>
    <w:p>
      <w:pPr>
        <w:spacing w:after="40"/>
      </w:pPr>
    </w:p>
    <w:p>
      <w:r>
        <w:t>Публичные операции принимают CancellationToken. Для отмены вызова передайте токен; для отмены задания вызовите CancelAsync. Эти действия различаются: отмена клиентского ожидания сама по себе не удаляет сохранённый запрос.</w:t>
      </w:r>
    </w:p>
    <w:p>
      <w:pPr>
        <w:pStyle w:val="Heading2"/>
      </w:pPr>
      <w:bookmarkStart w:id="54" w:name="section_54"/>
      <w:r>
        <w:t>10.2 Параметры запроса</w:t>
      </w:r>
      <w:bookmarkEnd w:id="5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Параметр ExportRequest</w:t>
            </w:r>
          </w:p>
        </w:tc>
        <w:tc>
          <w:tcPr>
            <w:tcW w:type="dxa" w:w="6870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Area и Format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Поддерживаемая область и Excel либо Word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Mode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Active по умолчанию, либо Archived или Deleted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IncludeChildren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Включать потомков собственного подразделения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AllSubdivisions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Все подразделения; допускается только Root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OrderBy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Проверяемая сортировка по разрешённым полям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Filter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Сериализованный снимок общих фильтров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PersonalFilter</w:t>
            </w:r>
          </w:p>
        </w:tc>
        <w:tc>
          <w:tcPr>
            <w:tcW w:type="dxa" w:w="6870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Специализированный фильтр сотрудников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TimeZone</w:t>
            </w:r>
          </w:p>
        </w:tc>
        <w:tc>
          <w:tcPr>
            <w:tcW w:type="dxa" w:w="6870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ID часового пояса; по умолчанию UTC</w:t>
            </w:r>
          </w:p>
        </w:tc>
      </w:tr>
    </w:tbl>
    <w:p>
      <w:pPr>
        <w:spacing w:after="40"/>
      </w:pPr>
    </w:p>
    <w:p>
      <w:r>
        <w:t>Пример вызова существующей области из авторизованного прикладного контекста. Последующий запрос GetAsync отслеживает состояние; метод CreateAsync сам файл не возвращает.</w:t>
      </w:r>
    </w:p>
    <w:p>
      <w:pPr>
        <w:pStyle w:val="CodeSample"/>
        <w:shd w:fill="F4F5F6"/>
      </w:pPr>
      <w:r>
        <w:t>var request = new ExportRequest(</w:t>
        <w:br/>
        <w:t xml:space="preserve">  Area: ExportArea.IpAddresses,</w:t>
        <w:br/>
        <w:t xml:space="preserve">  Format: ExportFormat.Excel,</w:t>
        <w:br/>
        <w:t xml:space="preserve">  Mode: DataViewMode.Active,</w:t>
        <w:br/>
        <w:t xml:space="preserve">  IncludeChildren: true,</w:t>
        <w:br/>
        <w:t xml:space="preserve">  OrderBy: "Address asc",</w:t>
        <w:br/>
        <w:t xml:space="preserve">  Filter: appliedExportFilter,</w:t>
        <w:br/>
        <w:t xml:space="preserve">  TimeZone: "UTC");</w:t>
        <w:br/>
        <w:t>var jobId = await exportService.CreateAsync(request, ct);</w:t>
        <w:br/>
        <w:t>var state = await exportService.GetAsync(jobId, ct);</w:t>
      </w:r>
    </w:p>
    <w:p>
      <w:pPr>
        <w:pStyle w:val="Heading2"/>
      </w:pPr>
      <w:bookmarkStart w:id="55" w:name="section_55"/>
      <w:r>
        <w:t>10.3 Permissions</w:t>
      </w:r>
      <w:bookmarkEnd w:id="5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35"/>
        <w:gridCol w:w="2729"/>
        <w:gridCol w:w="4047"/>
      </w:tblGrid>
      <w:tr>
        <w:trPr>
          <w:cantSplit/>
          <w:tblHeader/>
        </w:trPr>
        <w:tc>
          <w:tcPr>
            <w:tcW w:type="dxa" w:w="2635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Permission</w:t>
            </w:r>
          </w:p>
        </w:tc>
        <w:tc>
          <w:tcPr>
            <w:tcW w:type="dxa" w:w="2729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Для кого</w:t>
            </w:r>
          </w:p>
        </w:tc>
        <w:tc>
          <w:tcPr>
            <w:tcW w:type="dxa" w:w="4047"/>
            <w:vAlign w:val="center"/>
            <w:shd w:fill="E7EDF2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Зависимость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Personals.​Export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Роль сотрудника с доступом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Personals.​Read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Subdivisions.​Export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Роль сотрудника с доступом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Subdivisions.​Read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IpAddresses.​Export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Роль сотрудника с доступом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IpAddresses.​Read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Exports.​ReadArchive</w:t>
            </w:r>
          </w:p>
        </w:tc>
        <w:tc>
          <w:tcPr>
            <w:tcW w:type="dxa" w:w="2729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Только Root</w:t>
            </w:r>
          </w:p>
        </w:tc>
        <w:tc>
          <w:tcPr>
            <w:tcW w:type="dxa" w:w="4047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Проверка Root в сервисе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Exports.​Configure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Только Root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Exports.​ReadArchive</w:t>
            </w:r>
          </w:p>
        </w:tc>
      </w:tr>
    </w:tbl>
    <w:p>
      <w:pPr>
        <w:spacing w:after="40"/>
      </w:pPr>
    </w:p>
    <w:p>
      <w:r>
        <w:t>Permissions сотрудников и подразделений ReadArchive дополнительно регулируют архивные строки. Не путайте их с Exports.ReadArchive, который открывает архив файлов расследования.</w:t>
      </w:r>
    </w:p>
    <w:p>
      <w:pPr>
        <w:pStyle w:val="Heading2"/>
      </w:pPr>
      <w:bookmarkStart w:id="56" w:name="section_56"/>
      <w:r>
        <w:t>10.4 Термины и документация проекта</w:t>
      </w:r>
      <w:bookmarkEnd w:id="56"/>
    </w:p>
    <w:p>
      <w:r>
        <w:t>DTO — фиксированный контракт полей результата. Снимок — согласованные строки БД на момент обработки. Артефакт — защищённая копия итогового файла. Security stamp — маркер состояния учётной записи. SHA-256 — контрольная сумма байтов файла. Antiforgery — защита POST-запроса от подделки через чужой сайт. Worker — фоновый обработчик очереди.</w:t>
      </w:r>
    </w:p>
    <w:p>
      <w:r>
        <w:t>Основные источники в репозитории: docs/data-export.md, docs/data-export-extension-guide.md, docs/role-permissions.md, AGENTS.md. Реализация находится в Guard/Core/6-Services/Exports; UI — Guard/Components/Exports и Guard/Components/Pages/Root/Exports. Проверки — Guard.IpRules.Tests/ExportTests.cs и ExportIntegrationTests.cs.</w:t>
      </w:r>
    </w:p>
    <w:p>
      <w:r>
        <w:t>Обновляйте руководство вместе с изменениями контракта и поведения. Числовые значения ExportArea и AuditEventType сохранены в БД; их изменение требует явной политики совместимости. Ветка реализации ожидает проверки пользователя и не считается автоматически слитой в main.</w:t>
      </w:r>
    </w:p>
    <w:sectPr w:rsidR="00FC693F" w:rsidRPr="0006063C" w:rsidSect="00034616">
      <w:pgSz w:w="11906" w:h="16838"/>
      <w:pgMar w:top="1134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Guard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20" w:line="269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9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69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9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 w:eastAsia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 w:eastAsia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 Sample"/>
    <w:pPr>
      <w:keepLines/>
      <w:spacing w:line="240" w:lineRule="auto" w:before="60" w:after="60"/>
      <w:ind w:left="142" w:right="14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Сервис экспорта Guard</dc:title>
  <dc:subject>Описание сценариев и руководство по использованию и расширению</dc:subject>
  <dc:creator>Guard</dc:creator>
  <cp:keywords>Guard, экспорт, Excel, Word, DTO, архив, руководство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